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66122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11"/>
        <w:spacing w:after="0"/>
        <w:rPr>
          <w:sz w:val="20"/>
          <w:szCs w:val="20"/>
          <w:color w:val="auto"/>
        </w:rPr>
      </w:pPr>
      <w:r>
        <w:rPr>
          <w:rFonts w:ascii="Arial" w:cs="Arial" w:eastAsia="Arial" w:hAnsi="Arial"/>
          <w:sz w:val="25"/>
          <w:szCs w:val="25"/>
          <w:b w:val="1"/>
          <w:bCs w:val="1"/>
          <w:color w:val="auto"/>
        </w:rPr>
        <w:t>UNITED STATES</w:t>
      </w:r>
    </w:p>
    <w:p>
      <w:pPr>
        <w:jc w:val="center"/>
        <w:ind w:right="11"/>
        <w:spacing w:after="0" w:line="211" w:lineRule="auto"/>
        <w:rPr>
          <w:sz w:val="20"/>
          <w:szCs w:val="20"/>
          <w:color w:val="auto"/>
        </w:rPr>
      </w:pPr>
      <w:r>
        <w:rPr>
          <w:rFonts w:ascii="Arial" w:cs="Arial" w:eastAsia="Arial" w:hAnsi="Arial"/>
          <w:sz w:val="25"/>
          <w:szCs w:val="25"/>
          <w:b w:val="1"/>
          <w:bCs w:val="1"/>
          <w:color w:val="auto"/>
        </w:rPr>
        <w:t>SECURITIES AND EXCHANGE COMMISSION</w:t>
      </w:r>
    </w:p>
    <w:p>
      <w:pPr>
        <w:jc w:val="center"/>
        <w:ind w:right="11"/>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55880</wp:posOffset>
            </wp:positionV>
            <wp:extent cx="16554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40" w:lineRule="exact"/>
        <w:rPr>
          <w:sz w:val="24"/>
          <w:szCs w:val="24"/>
          <w:color w:val="auto"/>
        </w:rPr>
      </w:pPr>
    </w:p>
    <w:p>
      <w:pPr>
        <w:jc w:val="center"/>
        <w:ind w:right="11"/>
        <w:spacing w:after="0"/>
        <w:rPr>
          <w:sz w:val="20"/>
          <w:szCs w:val="20"/>
          <w:color w:val="auto"/>
        </w:rPr>
      </w:pPr>
      <w:r>
        <w:rPr>
          <w:rFonts w:ascii="Arial" w:cs="Arial" w:eastAsia="Arial" w:hAnsi="Arial"/>
          <w:sz w:val="25"/>
          <w:szCs w:val="25"/>
          <w:b w:val="1"/>
          <w:bCs w:val="1"/>
          <w:color w:val="auto"/>
        </w:rPr>
        <w:t>FORM 10-K</w:t>
      </w:r>
    </w:p>
    <w:p>
      <w:pPr>
        <w:spacing w:after="0" w:line="41" w:lineRule="exact"/>
        <w:rPr>
          <w:sz w:val="24"/>
          <w:szCs w:val="24"/>
          <w:color w:val="auto"/>
        </w:rPr>
      </w:pPr>
    </w:p>
    <w:p>
      <w:pPr>
        <w:ind w:left="189" w:hanging="189"/>
        <w:spacing w:after="0"/>
        <w:tabs>
          <w:tab w:leader="none" w:pos="189" w:val="left"/>
        </w:tabs>
        <w:numPr>
          <w:ilvl w:val="0"/>
          <w:numId w:val="1"/>
        </w:numPr>
        <w:rPr>
          <w:rFonts w:ascii="MS PGothic" w:cs="MS PGothic" w:eastAsia="MS PGothic" w:hAnsi="MS PGothic"/>
          <w:sz w:val="14"/>
          <w:szCs w:val="14"/>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2" w:lineRule="exact"/>
        <w:rPr>
          <w:sz w:val="24"/>
          <w:szCs w:val="24"/>
          <w:color w:val="auto"/>
        </w:rPr>
      </w:pPr>
    </w:p>
    <w:p>
      <w:pPr>
        <w:ind w:left="249"/>
        <w:spacing w:after="0"/>
        <w:rPr>
          <w:sz w:val="20"/>
          <w:szCs w:val="20"/>
          <w:color w:val="auto"/>
        </w:rPr>
      </w:pPr>
      <w:r>
        <w:rPr>
          <w:rFonts w:ascii="Arial" w:cs="Arial" w:eastAsia="Arial" w:hAnsi="Arial"/>
          <w:sz w:val="14"/>
          <w:szCs w:val="14"/>
          <w:b w:val="1"/>
          <w:bCs w:val="1"/>
          <w:color w:val="auto"/>
        </w:rPr>
        <w:t>For the fiscal year ended December 31, 2017</w:t>
      </w:r>
    </w:p>
    <w:p>
      <w:pPr>
        <w:jc w:val="center"/>
        <w:ind w:right="11"/>
        <w:spacing w:after="0"/>
        <w:rPr>
          <w:sz w:val="20"/>
          <w:szCs w:val="20"/>
          <w:color w:val="auto"/>
        </w:rPr>
      </w:pPr>
      <w:r>
        <w:rPr>
          <w:rFonts w:ascii="Arial" w:cs="Arial" w:eastAsia="Arial" w:hAnsi="Arial"/>
          <w:sz w:val="14"/>
          <w:szCs w:val="14"/>
          <w:b w:val="1"/>
          <w:bCs w:val="1"/>
          <w:color w:val="auto"/>
        </w:rPr>
        <w:t>OR</w:t>
      </w:r>
    </w:p>
    <w:p>
      <w:pPr>
        <w:spacing w:after="0" w:line="16" w:lineRule="exact"/>
        <w:rPr>
          <w:sz w:val="24"/>
          <w:szCs w:val="24"/>
          <w:color w:val="auto"/>
        </w:rPr>
      </w:pPr>
    </w:p>
    <w:p>
      <w:pPr>
        <w:ind w:left="9"/>
        <w:spacing w:after="0" w:line="207" w:lineRule="exact"/>
        <w:rPr>
          <w:sz w:val="24"/>
          <w:szCs w:val="24"/>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3" w:lineRule="exact"/>
        <w:rPr>
          <w:sz w:val="24"/>
          <w:szCs w:val="24"/>
          <w:color w:val="auto"/>
        </w:rPr>
      </w:pPr>
    </w:p>
    <w:p>
      <w:pPr>
        <w:ind w:left="249"/>
        <w:spacing w:after="0"/>
        <w:rPr>
          <w:sz w:val="20"/>
          <w:szCs w:val="20"/>
          <w:color w:val="auto"/>
        </w:rPr>
      </w:pPr>
      <w:r>
        <w:rPr>
          <w:rFonts w:ascii="Arial" w:cs="Arial" w:eastAsia="Arial" w:hAnsi="Arial"/>
          <w:sz w:val="14"/>
          <w:szCs w:val="14"/>
          <w:b w:val="1"/>
          <w:bCs w:val="1"/>
          <w:color w:val="auto"/>
        </w:rPr>
        <w:t>For the transition period from ________ to ________</w:t>
      </w:r>
    </w:p>
    <w:p>
      <w:pPr>
        <w:spacing w:after="0" w:line="32"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Commission File Number 001-37635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68580</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45" w:lineRule="exact"/>
        <w:rPr>
          <w:sz w:val="24"/>
          <w:szCs w:val="24"/>
          <w:color w:val="auto"/>
        </w:rPr>
      </w:pPr>
    </w:p>
    <w:p>
      <w:pPr>
        <w:jc w:val="center"/>
        <w:ind w:right="11"/>
        <w:spacing w:after="0"/>
        <w:rPr>
          <w:sz w:val="20"/>
          <w:szCs w:val="20"/>
          <w:color w:val="auto"/>
        </w:rPr>
      </w:pPr>
      <w:r>
        <w:rPr>
          <w:rFonts w:ascii="Arial" w:cs="Arial" w:eastAsia="Arial" w:hAnsi="Arial"/>
          <w:sz w:val="25"/>
          <w:szCs w:val="25"/>
          <w:b w:val="1"/>
          <w:bCs w:val="1"/>
          <w:color w:val="auto"/>
        </w:rPr>
        <w:t>AXSOME THERAPEUTICS, INC.</w:t>
      </w:r>
    </w:p>
    <w:p>
      <w:pPr>
        <w:jc w:val="center"/>
        <w:ind w:right="11"/>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57" w:lineRule="exact"/>
        <w:rPr>
          <w:sz w:val="24"/>
          <w:szCs w:val="24"/>
          <w:color w:val="auto"/>
        </w:rPr>
      </w:pPr>
    </w:p>
    <w:tbl>
      <w:tblPr>
        <w:tblLayout w:type="fixed"/>
        <w:tblInd w:w="1449" w:type="dxa"/>
        <w:tblCellMar>
          <w:top w:w="0" w:type="dxa"/>
          <w:left w:w="0" w:type="dxa"/>
          <w:bottom w:w="0" w:type="dxa"/>
          <w:right w:w="0" w:type="dxa"/>
        </w:tblCellMar>
      </w:tblPr>
      <w:tr>
        <w:trPr>
          <w:trHeight w:val="207"/>
        </w:trPr>
        <w:tc>
          <w:tcPr>
            <w:tcW w:w="4060" w:type="dxa"/>
            <w:vAlign w:val="bottom"/>
          </w:tcPr>
          <w:p>
            <w:pPr>
              <w:jc w:val="center"/>
              <w:ind w:right="1678"/>
              <w:spacing w:after="0"/>
              <w:rPr>
                <w:sz w:val="20"/>
                <w:szCs w:val="20"/>
                <w:color w:val="auto"/>
              </w:rPr>
            </w:pPr>
            <w:r>
              <w:rPr>
                <w:rFonts w:ascii="Arial" w:cs="Arial" w:eastAsia="Arial" w:hAnsi="Arial"/>
                <w:sz w:val="18"/>
                <w:szCs w:val="18"/>
                <w:b w:val="1"/>
                <w:bCs w:val="1"/>
                <w:color w:val="auto"/>
                <w:w w:val="93"/>
              </w:rPr>
              <w:t>Delaware</w:t>
            </w:r>
          </w:p>
        </w:tc>
        <w:tc>
          <w:tcPr>
            <w:tcW w:w="2820" w:type="dxa"/>
            <w:vAlign w:val="bottom"/>
          </w:tcPr>
          <w:p>
            <w:pPr>
              <w:jc w:val="right"/>
              <w:ind w:right="21"/>
              <w:spacing w:after="0"/>
              <w:rPr>
                <w:sz w:val="20"/>
                <w:szCs w:val="20"/>
                <w:color w:val="auto"/>
              </w:rPr>
            </w:pPr>
            <w:r>
              <w:rPr>
                <w:rFonts w:ascii="Arial" w:cs="Arial" w:eastAsia="Arial" w:hAnsi="Arial"/>
                <w:sz w:val="18"/>
                <w:szCs w:val="18"/>
                <w:b w:val="1"/>
                <w:bCs w:val="1"/>
                <w:color w:val="auto"/>
              </w:rPr>
              <w:t>45-4241907</w:t>
            </w:r>
          </w:p>
        </w:tc>
        <w:tc>
          <w:tcPr>
            <w:tcW w:w="0" w:type="dxa"/>
            <w:vAlign w:val="bottom"/>
          </w:tcPr>
          <w:p>
            <w:pPr>
              <w:spacing w:after="0"/>
              <w:rPr>
                <w:sz w:val="1"/>
                <w:szCs w:val="1"/>
                <w:color w:val="auto"/>
              </w:rPr>
            </w:pPr>
          </w:p>
        </w:tc>
      </w:tr>
      <w:tr>
        <w:trPr>
          <w:trHeight w:val="135"/>
        </w:trPr>
        <w:tc>
          <w:tcPr>
            <w:tcW w:w="4060" w:type="dxa"/>
            <w:vAlign w:val="bottom"/>
          </w:tcPr>
          <w:p>
            <w:pPr>
              <w:jc w:val="center"/>
              <w:ind w:right="1678"/>
              <w:spacing w:after="0" w:line="135" w:lineRule="exact"/>
              <w:rPr>
                <w:sz w:val="20"/>
                <w:szCs w:val="20"/>
                <w:color w:val="auto"/>
              </w:rPr>
            </w:pPr>
            <w:r>
              <w:rPr>
                <w:rFonts w:ascii="Arial" w:cs="Arial" w:eastAsia="Arial" w:hAnsi="Arial"/>
                <w:sz w:val="14"/>
                <w:szCs w:val="14"/>
                <w:color w:val="auto"/>
                <w:w w:val="94"/>
              </w:rPr>
              <w:t>(State or other jurisdiction of</w:t>
            </w:r>
          </w:p>
        </w:tc>
        <w:tc>
          <w:tcPr>
            <w:tcW w:w="2820" w:type="dxa"/>
            <w:vAlign w:val="bottom"/>
          </w:tcPr>
          <w:p>
            <w:pPr>
              <w:jc w:val="center"/>
              <w:ind w:left="1681"/>
              <w:spacing w:after="0" w:line="135"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4060" w:type="dxa"/>
            <w:vAlign w:val="bottom"/>
          </w:tcPr>
          <w:p>
            <w:pPr>
              <w:jc w:val="center"/>
              <w:ind w:right="1678"/>
              <w:spacing w:after="0"/>
              <w:rPr>
                <w:sz w:val="20"/>
                <w:szCs w:val="20"/>
                <w:color w:val="auto"/>
              </w:rPr>
            </w:pPr>
            <w:r>
              <w:rPr>
                <w:rFonts w:ascii="Arial" w:cs="Arial" w:eastAsia="Arial" w:hAnsi="Arial"/>
                <w:sz w:val="14"/>
                <w:szCs w:val="14"/>
                <w:color w:val="auto"/>
                <w:w w:val="95"/>
              </w:rPr>
              <w:t>incorporation or organization)</w:t>
            </w:r>
          </w:p>
        </w:tc>
        <w:tc>
          <w:tcPr>
            <w:tcW w:w="2820" w:type="dxa"/>
            <w:vAlign w:val="bottom"/>
          </w:tcPr>
          <w:p>
            <w:pPr>
              <w:jc w:val="center"/>
              <w:ind w:left="1681"/>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196"/>
        </w:trPr>
        <w:tc>
          <w:tcPr>
            <w:tcW w:w="4060" w:type="dxa"/>
            <w:vAlign w:val="bottom"/>
          </w:tcPr>
          <w:p>
            <w:pPr>
              <w:jc w:val="center"/>
              <w:ind w:right="1678"/>
              <w:spacing w:after="0" w:line="196" w:lineRule="exact"/>
              <w:rPr>
                <w:sz w:val="20"/>
                <w:szCs w:val="20"/>
                <w:color w:val="auto"/>
              </w:rPr>
            </w:pPr>
            <w:r>
              <w:rPr>
                <w:rFonts w:ascii="Arial" w:cs="Arial" w:eastAsia="Arial" w:hAnsi="Arial"/>
                <w:sz w:val="18"/>
                <w:szCs w:val="18"/>
                <w:b w:val="1"/>
                <w:bCs w:val="1"/>
                <w:color w:val="auto"/>
                <w:w w:val="91"/>
              </w:rPr>
              <w:t>25 Broadway</w:t>
            </w:r>
          </w:p>
        </w:tc>
        <w:tc>
          <w:tcPr>
            <w:tcW w:w="2820" w:type="dxa"/>
            <w:vAlign w:val="bottom"/>
            <w:vMerge w:val="restart"/>
          </w:tcPr>
          <w:p>
            <w:pPr>
              <w:jc w:val="right"/>
              <w:ind w:right="221"/>
              <w:spacing w:after="0"/>
              <w:rPr>
                <w:sz w:val="20"/>
                <w:szCs w:val="20"/>
                <w:color w:val="auto"/>
              </w:rPr>
            </w:pPr>
            <w:r>
              <w:rPr>
                <w:rFonts w:ascii="Arial" w:cs="Arial" w:eastAsia="Arial" w:hAnsi="Arial"/>
                <w:sz w:val="18"/>
                <w:szCs w:val="18"/>
                <w:b w:val="1"/>
                <w:bCs w:val="1"/>
                <w:color w:val="auto"/>
              </w:rPr>
              <w:t>10004</w:t>
            </w:r>
          </w:p>
        </w:tc>
        <w:tc>
          <w:tcPr>
            <w:tcW w:w="0" w:type="dxa"/>
            <w:vAlign w:val="bottom"/>
          </w:tcPr>
          <w:p>
            <w:pPr>
              <w:spacing w:after="0"/>
              <w:rPr>
                <w:sz w:val="1"/>
                <w:szCs w:val="1"/>
                <w:color w:val="auto"/>
              </w:rPr>
            </w:pPr>
          </w:p>
        </w:tc>
      </w:tr>
      <w:tr>
        <w:trPr>
          <w:trHeight w:val="176"/>
        </w:trPr>
        <w:tc>
          <w:tcPr>
            <w:tcW w:w="4060" w:type="dxa"/>
            <w:vAlign w:val="bottom"/>
          </w:tcPr>
          <w:p>
            <w:pPr>
              <w:jc w:val="center"/>
              <w:ind w:right="1678"/>
              <w:spacing w:after="0" w:line="176" w:lineRule="exact"/>
              <w:rPr>
                <w:sz w:val="20"/>
                <w:szCs w:val="20"/>
                <w:color w:val="auto"/>
              </w:rPr>
            </w:pPr>
            <w:r>
              <w:rPr>
                <w:rFonts w:ascii="Arial" w:cs="Arial" w:eastAsia="Arial" w:hAnsi="Arial"/>
                <w:sz w:val="18"/>
                <w:szCs w:val="18"/>
                <w:b w:val="1"/>
                <w:bCs w:val="1"/>
                <w:color w:val="auto"/>
                <w:w w:val="91"/>
              </w:rPr>
              <w:t>9</w:t>
            </w:r>
            <w:r>
              <w:rPr>
                <w:rFonts w:ascii="Arial" w:cs="Arial" w:eastAsia="Arial" w:hAnsi="Arial"/>
                <w:sz w:val="8"/>
                <w:szCs w:val="8"/>
                <w:b w:val="1"/>
                <w:bCs w:val="1"/>
                <w:color w:val="auto"/>
                <w:w w:val="91"/>
              </w:rPr>
              <w:t>th</w:t>
            </w:r>
            <w:r>
              <w:rPr>
                <w:rFonts w:ascii="Arial" w:cs="Arial" w:eastAsia="Arial" w:hAnsi="Arial"/>
                <w:sz w:val="18"/>
                <w:szCs w:val="18"/>
                <w:b w:val="1"/>
                <w:bCs w:val="1"/>
                <w:color w:val="auto"/>
                <w:w w:val="91"/>
              </w:rPr>
              <w:t xml:space="preserve"> Floor</w:t>
            </w:r>
          </w:p>
        </w:tc>
        <w:tc>
          <w:tcPr>
            <w:tcW w:w="2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60" w:type="dxa"/>
            <w:vAlign w:val="bottom"/>
          </w:tcPr>
          <w:p>
            <w:pPr>
              <w:jc w:val="center"/>
              <w:ind w:right="1678"/>
              <w:spacing w:after="0" w:line="176" w:lineRule="exact"/>
              <w:rPr>
                <w:sz w:val="20"/>
                <w:szCs w:val="20"/>
                <w:color w:val="auto"/>
              </w:rPr>
            </w:pPr>
            <w:r>
              <w:rPr>
                <w:rFonts w:ascii="Arial" w:cs="Arial" w:eastAsia="Arial" w:hAnsi="Arial"/>
                <w:sz w:val="18"/>
                <w:szCs w:val="18"/>
                <w:b w:val="1"/>
                <w:bCs w:val="1"/>
                <w:color w:val="auto"/>
                <w:w w:val="93"/>
              </w:rPr>
              <w:t>New York, New York</w:t>
            </w:r>
          </w:p>
        </w:tc>
        <w:tc>
          <w:tcPr>
            <w:tcW w:w="2820" w:type="dxa"/>
            <w:vAlign w:val="bottom"/>
          </w:tcPr>
          <w:p>
            <w:pPr>
              <w:jc w:val="center"/>
              <w:ind w:left="1681"/>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r>
        <w:trPr>
          <w:trHeight w:val="182"/>
        </w:trPr>
        <w:tc>
          <w:tcPr>
            <w:tcW w:w="4060" w:type="dxa"/>
            <w:vAlign w:val="bottom"/>
          </w:tcPr>
          <w:p>
            <w:pPr>
              <w:jc w:val="center"/>
              <w:ind w:right="1678"/>
              <w:spacing w:after="0"/>
              <w:rPr>
                <w:sz w:val="20"/>
                <w:szCs w:val="20"/>
                <w:color w:val="auto"/>
              </w:rPr>
            </w:pPr>
            <w:r>
              <w:rPr>
                <w:rFonts w:ascii="Arial" w:cs="Arial" w:eastAsia="Arial" w:hAnsi="Arial"/>
                <w:sz w:val="14"/>
                <w:szCs w:val="14"/>
                <w:color w:val="auto"/>
                <w:w w:val="95"/>
              </w:rPr>
              <w:t>(Address of principal executive offices)</w:t>
            </w:r>
          </w:p>
        </w:tc>
        <w:tc>
          <w:tcPr>
            <w:tcW w:w="2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769"/>
        <w:spacing w:after="0"/>
        <w:rPr>
          <w:sz w:val="20"/>
          <w:szCs w:val="20"/>
          <w:color w:val="auto"/>
        </w:rPr>
      </w:pPr>
      <w:r>
        <w:rPr>
          <w:rFonts w:ascii="Arial" w:cs="Arial" w:eastAsia="Arial" w:hAnsi="Arial"/>
          <w:sz w:val="18"/>
          <w:szCs w:val="18"/>
          <w:b w:val="1"/>
          <w:bCs w:val="1"/>
          <w:color w:val="auto"/>
        </w:rPr>
        <w:t>Registrant’s telephone number, including area code: (212) 332-3241</w:t>
      </w:r>
    </w:p>
    <w:p>
      <w:pPr>
        <w:spacing w:after="0" w:line="27" w:lineRule="exact"/>
        <w:rPr>
          <w:sz w:val="24"/>
          <w:szCs w:val="24"/>
          <w:color w:val="auto"/>
        </w:rPr>
      </w:pPr>
    </w:p>
    <w:p>
      <w:pPr>
        <w:ind w:left="300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0409"/>
          </w:cols>
          <w:pgMar w:left="751" w:top="220" w:right="739" w:bottom="1440" w:gutter="0" w:footer="0" w:header="0"/>
        </w:sectPr>
      </w:pPr>
    </w:p>
    <w:p>
      <w:pPr>
        <w:spacing w:after="0" w:line="13" w:lineRule="exact"/>
        <w:rPr>
          <w:sz w:val="24"/>
          <w:szCs w:val="24"/>
          <w:color w:val="auto"/>
        </w:rPr>
      </w:pPr>
    </w:p>
    <w:p>
      <w:pPr>
        <w:jc w:val="center"/>
        <w:ind w:right="491"/>
        <w:spacing w:after="0"/>
        <w:rPr>
          <w:sz w:val="20"/>
          <w:szCs w:val="20"/>
          <w:color w:val="auto"/>
        </w:rPr>
      </w:pPr>
      <w:r>
        <w:rPr>
          <w:rFonts w:ascii="Arial" w:cs="Arial" w:eastAsia="Arial" w:hAnsi="Arial"/>
          <w:sz w:val="12"/>
          <w:szCs w:val="12"/>
          <w:color w:val="auto"/>
        </w:rPr>
        <w:t>Common Stock, Par Value $0.0001 Per Share</w:t>
      </w:r>
    </w:p>
    <w:p>
      <w:pPr>
        <w:jc w:val="center"/>
        <w:ind w:right="491"/>
        <w:spacing w:after="0"/>
        <w:rPr>
          <w:sz w:val="20"/>
          <w:szCs w:val="20"/>
          <w:color w:val="auto"/>
        </w:rPr>
      </w:pPr>
      <w:r>
        <w:rPr>
          <w:rFonts w:ascii="Arial" w:cs="Arial" w:eastAsia="Arial" w:hAnsi="Arial"/>
          <w:sz w:val="14"/>
          <w:szCs w:val="14"/>
          <w:color w:val="auto"/>
        </w:rPr>
        <w:t>(Title of Class)</w:t>
      </w:r>
    </w:p>
    <w:p>
      <w:pPr>
        <w:spacing w:after="0" w:line="20" w:lineRule="exact"/>
        <w:rPr>
          <w:sz w:val="24"/>
          <w:szCs w:val="24"/>
          <w:color w:val="auto"/>
        </w:rPr>
      </w:pPr>
      <w:r>
        <w:rPr>
          <w:sz w:val="24"/>
          <w:szCs w:val="24"/>
          <w:color w:val="auto"/>
        </w:rPr>
        <w:br w:type="column"/>
      </w:r>
    </w:p>
    <w:p>
      <w:pPr>
        <w:jc w:val="center"/>
        <w:ind w:right="1220"/>
        <w:spacing w:after="0" w:line="225" w:lineRule="auto"/>
        <w:rPr>
          <w:sz w:val="20"/>
          <w:szCs w:val="20"/>
          <w:color w:val="auto"/>
        </w:rPr>
      </w:pPr>
      <w:r>
        <w:rPr>
          <w:rFonts w:ascii="Arial" w:cs="Arial" w:eastAsia="Arial" w:hAnsi="Arial"/>
          <w:sz w:val="14"/>
          <w:szCs w:val="14"/>
          <w:color w:val="auto"/>
        </w:rPr>
        <w:t>Nasdaq Global Market</w:t>
      </w:r>
    </w:p>
    <w:p>
      <w:pPr>
        <w:jc w:val="center"/>
        <w:ind w:right="1220"/>
        <w:spacing w:after="0"/>
        <w:rPr>
          <w:sz w:val="20"/>
          <w:szCs w:val="20"/>
          <w:color w:val="auto"/>
        </w:rPr>
      </w:pPr>
      <w:r>
        <w:rPr>
          <w:rFonts w:ascii="Arial" w:cs="Arial" w:eastAsia="Arial" w:hAnsi="Arial"/>
          <w:sz w:val="13"/>
          <w:szCs w:val="13"/>
          <w:color w:val="auto"/>
        </w:rPr>
        <w:t>(Name of Each Exchange on Which Registered)</w:t>
      </w:r>
    </w:p>
    <w:p>
      <w:pPr>
        <w:spacing w:after="0" w:line="129" w:lineRule="exact"/>
        <w:rPr>
          <w:sz w:val="24"/>
          <w:szCs w:val="24"/>
          <w:color w:val="auto"/>
        </w:rPr>
      </w:pPr>
    </w:p>
    <w:p>
      <w:pPr>
        <w:sectPr>
          <w:pgSz w:w="11900" w:h="16838" w:orient="portrait"/>
          <w:cols w:equalWidth="0" w:num="2">
            <w:col w:w="5689" w:space="720"/>
            <w:col w:w="4000"/>
          </w:cols>
          <w:pgMar w:left="751" w:top="220" w:right="739" w:bottom="1440" w:gutter="0" w:footer="0" w:header="0"/>
          <w:type w:val="continuous"/>
        </w:sectPr>
      </w:pPr>
    </w:p>
    <w:p>
      <w:pPr>
        <w:jc w:val="center"/>
        <w:ind w:right="-8"/>
        <w:spacing w:after="0"/>
        <w:rPr>
          <w:sz w:val="20"/>
          <w:szCs w:val="20"/>
          <w:color w:val="auto"/>
        </w:rPr>
      </w:pPr>
      <w:r>
        <w:rPr>
          <w:rFonts w:ascii="Arial" w:cs="Arial" w:eastAsia="Arial" w:hAnsi="Arial"/>
          <w:sz w:val="18"/>
          <w:szCs w:val="18"/>
          <w:b w:val="1"/>
          <w:bCs w:val="1"/>
          <w:color w:val="auto"/>
        </w:rPr>
        <w:t>Securities registered pursuant to Section 12(g) of the Act:</w:t>
      </w:r>
    </w:p>
    <w:p>
      <w:pPr>
        <w:jc w:val="center"/>
        <w:ind w:right="-8"/>
        <w:spacing w:after="0"/>
        <w:rPr>
          <w:sz w:val="20"/>
          <w:szCs w:val="20"/>
          <w:color w:val="auto"/>
        </w:rPr>
      </w:pPr>
      <w:r>
        <w:rPr>
          <w:rFonts w:ascii="Arial" w:cs="Arial" w:eastAsia="Arial" w:hAnsi="Arial"/>
          <w:sz w:val="14"/>
          <w:szCs w:val="14"/>
          <w:color w:val="auto"/>
        </w:rPr>
        <w:t>None</w:t>
      </w:r>
    </w:p>
    <w:p>
      <w:pPr>
        <w:spacing w:after="0" w:line="2" w:lineRule="exact"/>
        <w:rPr>
          <w:sz w:val="24"/>
          <w:szCs w:val="24"/>
          <w:color w:val="auto"/>
        </w:rPr>
      </w:pPr>
    </w:p>
    <w:p>
      <w:pPr>
        <w:ind w:left="649"/>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ind w:left="649"/>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 w:lineRule="exact"/>
        <w:rPr>
          <w:sz w:val="24"/>
          <w:szCs w:val="24"/>
          <w:color w:val="auto"/>
        </w:rPr>
      </w:pPr>
    </w:p>
    <w:p>
      <w:pPr>
        <w:ind w:left="649"/>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ind w:left="649"/>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5" w:lineRule="exact"/>
        <w:rPr>
          <w:sz w:val="24"/>
          <w:szCs w:val="24"/>
          <w:color w:val="auto"/>
        </w:rPr>
      </w:pPr>
    </w:p>
    <w:p>
      <w:pPr>
        <w:ind w:left="9" w:right="20" w:firstLine="648"/>
        <w:spacing w:after="0" w:line="15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ind w:left="9" w:right="240" w:firstLine="648"/>
        <w:spacing w:after="0" w:line="153"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ind w:left="9" w:right="520" w:firstLine="648"/>
        <w:spacing w:after="0" w:line="162"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ind w:left="9" w:firstLine="648"/>
        <w:spacing w:after="0" w:line="220" w:lineRule="auto"/>
        <w:rPr>
          <w:sz w:val="20"/>
          <w:szCs w:val="20"/>
          <w:color w:val="auto"/>
        </w:rPr>
      </w:pPr>
      <w:r>
        <w:rPr>
          <w:rFonts w:ascii="Arial" w:cs="Arial" w:eastAsia="Arial" w:hAnsi="Arial"/>
          <w:sz w:val="14"/>
          <w:szCs w:val="14"/>
          <w:color w:val="auto"/>
        </w:rPr>
        <w:t>Indicate by check mark whether the registrant is a large accelerated filed, an accelerated filer, a non-accelerated filer, a smaller reporting company or an emerging growth company. See definitions of “large accelerated filer,” “accelerated filer,” “smaller reporting company” , and “emerging growth company” in Rule 12b-2 of the Exchange Act). (Check one):</w:t>
      </w:r>
    </w:p>
    <w:p>
      <w:pPr>
        <w:sectPr>
          <w:pgSz w:w="11900" w:h="16838" w:orient="portrait"/>
          <w:cols w:equalWidth="0" w:num="1">
            <w:col w:w="10409"/>
          </w:cols>
          <w:pgMar w:left="751" w:top="220" w:right="739" w:bottom="1440" w:gutter="0" w:footer="0" w:header="0"/>
          <w:type w:val="continuous"/>
        </w:sectPr>
      </w:pPr>
    </w:p>
    <w:p>
      <w:pPr>
        <w:ind w:left="1749"/>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18" w:lineRule="exact"/>
        <w:rPr>
          <w:sz w:val="24"/>
          <w:szCs w:val="24"/>
          <w:color w:val="auto"/>
        </w:rPr>
      </w:pPr>
    </w:p>
    <w:p>
      <w:pPr>
        <w:ind w:left="1789"/>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142"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37" w:lineRule="exact"/>
        <w:rPr>
          <w:sz w:val="24"/>
          <w:szCs w:val="24"/>
          <w:color w:val="auto"/>
        </w:rPr>
      </w:pPr>
    </w:p>
    <w:p>
      <w:pPr>
        <w:sectPr>
          <w:pgSz w:w="11900" w:h="16838" w:orient="portrait"/>
          <w:cols w:equalWidth="0" w:num="2">
            <w:col w:w="4349" w:space="720"/>
            <w:col w:w="5340"/>
          </w:cols>
          <w:pgMar w:left="751" w:top="220" w:right="739" w:bottom="1440" w:gutter="0" w:footer="0" w:header="0"/>
          <w:type w:val="continuous"/>
        </w:sectPr>
      </w:pPr>
    </w:p>
    <w:p>
      <w:pPr>
        <w:ind w:left="9" w:right="300" w:firstLine="648"/>
        <w:spacing w:after="0" w:line="13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left="649"/>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ind w:left="9" w:firstLine="648"/>
        <w:spacing w:after="0" w:line="224" w:lineRule="auto"/>
        <w:rPr>
          <w:sz w:val="20"/>
          <w:szCs w:val="20"/>
          <w:color w:val="auto"/>
        </w:rPr>
      </w:pPr>
      <w:r>
        <w:rPr>
          <w:rFonts w:ascii="Arial" w:cs="Arial" w:eastAsia="Arial" w:hAnsi="Arial"/>
          <w:sz w:val="14"/>
          <w:szCs w:val="14"/>
          <w:color w:val="auto"/>
        </w:rPr>
        <w:t>The aggregate market value of voting common stock held by non-affiliates of the registrant (assuming for purposes of this calculation, without conceding, that all executive officers and directors are “affiliates”) was approximately $85.5 million as of June 30, 2017, based on the closing sale price of such stock as reported on the Nasdaq Global Market.</w:t>
      </w:r>
    </w:p>
    <w:p>
      <w:pPr>
        <w:spacing w:after="0" w:line="8" w:lineRule="exact"/>
        <w:rPr>
          <w:sz w:val="24"/>
          <w:szCs w:val="24"/>
          <w:color w:val="auto"/>
        </w:rPr>
      </w:pPr>
    </w:p>
    <w:p>
      <w:pPr>
        <w:ind w:left="649"/>
        <w:spacing w:after="0"/>
        <w:rPr>
          <w:sz w:val="20"/>
          <w:szCs w:val="20"/>
          <w:color w:val="auto"/>
        </w:rPr>
      </w:pPr>
      <w:r>
        <w:rPr>
          <w:rFonts w:ascii="Arial" w:cs="Arial" w:eastAsia="Arial" w:hAnsi="Arial"/>
          <w:sz w:val="14"/>
          <w:szCs w:val="14"/>
          <w:color w:val="auto"/>
        </w:rPr>
        <w:t>There were 25,492,992 shares of the registrant’s common stock outstanding as of March 2, 2018.</w:t>
      </w:r>
    </w:p>
    <w:p>
      <w:pPr>
        <w:spacing w:after="0" w:line="28"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ind w:left="29" w:right="20" w:firstLine="638"/>
        <w:spacing w:after="0" w:line="222" w:lineRule="auto"/>
        <w:rPr>
          <w:sz w:val="20"/>
          <w:szCs w:val="20"/>
          <w:color w:val="auto"/>
        </w:rPr>
      </w:pPr>
      <w:r>
        <w:rPr>
          <w:rFonts w:ascii="Arial" w:cs="Arial" w:eastAsia="Arial" w:hAnsi="Arial"/>
          <w:sz w:val="13"/>
          <w:szCs w:val="13"/>
          <w:color w:val="auto"/>
        </w:rPr>
        <w:t>Portions of the registrant's definitive proxy statement for its 2018 Annual Meeting of Stockholders (the "Proxy Statement"), to be filed within 120 days of the registrant's fiscal year ended December 31, 2017, are incorporated by reference in Part III of this Annual Report on Form 10-K. Except with respect to information specifically incorporated by</w:t>
      </w:r>
    </w:p>
    <w:p>
      <w:pPr>
        <w:jc w:val="center"/>
        <w:ind w:right="-8"/>
        <w:spacing w:after="0"/>
        <w:rPr>
          <w:sz w:val="20"/>
          <w:szCs w:val="20"/>
          <w:color w:val="auto"/>
        </w:rPr>
      </w:pPr>
      <w:r>
        <w:rPr>
          <w:rFonts w:ascii="Arial" w:cs="Arial" w:eastAsia="Arial" w:hAnsi="Arial"/>
          <w:sz w:val="14"/>
          <w:szCs w:val="14"/>
          <w:color w:val="auto"/>
        </w:rPr>
        <w:t>reference in this Annual Report on Form 10-K, the Proxy Statement is not deemed to be filed as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661225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313690</wp:posOffset>
            </wp:positionV>
            <wp:extent cx="66122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09"/>
          </w:cols>
          <w:pgMar w:left="751" w:top="220" w:right="73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left="760" w:right="1520"/>
        <w:spacing w:after="0" w:line="226" w:lineRule="auto"/>
        <w:rPr>
          <w:sz w:val="20"/>
          <w:szCs w:val="20"/>
          <w:color w:val="auto"/>
        </w:rPr>
      </w:pPr>
      <w:r>
        <w:rPr>
          <w:rFonts w:ascii="Arial" w:cs="Arial" w:eastAsia="Arial" w:hAnsi="Arial"/>
          <w:sz w:val="18"/>
          <w:szCs w:val="18"/>
          <w:b w:val="1"/>
          <w:bCs w:val="1"/>
          <w:color w:val="auto"/>
        </w:rPr>
        <w:t>AXSOME THERAPEUTICS, INC. ANNUAL REPORT ON FORM 10-K FOR THE FISCAL YEAR ENDED DECEMBER 31, 2017</w:t>
      </w:r>
    </w:p>
    <w:p>
      <w:pPr>
        <w:spacing w:after="0" w:line="118"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13"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SPECIAL CAUTIONARY NOTICE REGARDING FORWARD-LOOKING STATEMENTS</w:t>
        </w:r>
      </w:hyperlink>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vMerge w:val="restart"/>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ITEM 1</w:t>
              </w:r>
            </w:hyperlink>
          </w:p>
        </w:tc>
        <w:tc>
          <w:tcPr>
            <w:tcW w:w="400" w:type="dxa"/>
            <w:vAlign w:val="bottom"/>
            <w:gridSpan w:val="2"/>
            <w:vMerge w:val="restart"/>
          </w:tcPr>
          <w:p>
            <w:pPr>
              <w:spacing w:after="0"/>
              <w:rPr>
                <w:sz w:val="17"/>
                <w:szCs w:val="17"/>
                <w:color w:val="auto"/>
              </w:rPr>
            </w:pPr>
          </w:p>
        </w:tc>
        <w:tc>
          <w:tcPr>
            <w:tcW w:w="640" w:type="dxa"/>
            <w:vAlign w:val="bottom"/>
            <w:vMerge w:val="restart"/>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2600" w:type="dxa"/>
            <w:vAlign w:val="bottom"/>
            <w:gridSpan w:val="6"/>
            <w:vMerge w:val="restart"/>
          </w:tcPr>
          <w:p>
            <w:pPr>
              <w:spacing w:after="0"/>
              <w:rPr>
                <w:sz w:val="17"/>
                <w:szCs w:val="17"/>
                <w:color w:val="auto"/>
              </w:rPr>
            </w:pPr>
          </w:p>
        </w:tc>
        <w:tc>
          <w:tcPr>
            <w:tcW w:w="600" w:type="dxa"/>
            <w:vAlign w:val="bottom"/>
            <w:gridSpan w:val="2"/>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0" w:type="dxa"/>
            <w:vAlign w:val="bottom"/>
          </w:tcPr>
          <w:p>
            <w:pPr>
              <w:spacing w:after="0"/>
              <w:rPr>
                <w:sz w:val="1"/>
                <w:szCs w:val="1"/>
                <w:color w:val="auto"/>
              </w:rPr>
            </w:pPr>
          </w:p>
        </w:tc>
      </w:tr>
      <w:tr>
        <w:trPr>
          <w:trHeight w:val="161"/>
        </w:trPr>
        <w:tc>
          <w:tcPr>
            <w:tcW w:w="580" w:type="dxa"/>
            <w:vAlign w:val="bottom"/>
            <w:tcBorders>
              <w:bottom w:val="single" w:sz="8" w:color="0000EE"/>
            </w:tcBorders>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640" w:type="dxa"/>
            <w:vAlign w:val="bottom"/>
            <w:tcBorders>
              <w:bottom w:val="single" w:sz="8" w:color="0000EE"/>
            </w:tcBorders>
            <w:vMerge w:val="continue"/>
          </w:tcPr>
          <w:p>
            <w:pPr>
              <w:spacing w:after="0"/>
              <w:rPr>
                <w:sz w:val="13"/>
                <w:szCs w:val="13"/>
                <w:color w:val="auto"/>
              </w:rPr>
            </w:pPr>
          </w:p>
        </w:tc>
        <w:tc>
          <w:tcPr>
            <w:tcW w:w="2600" w:type="dxa"/>
            <w:vAlign w:val="bottom"/>
            <w:gridSpan w:val="6"/>
            <w:vMerge w:val="continue"/>
          </w:tcPr>
          <w:p>
            <w:pPr>
              <w:spacing w:after="0"/>
              <w:rPr>
                <w:sz w:val="13"/>
                <w:szCs w:val="13"/>
                <w:color w:val="auto"/>
              </w:rPr>
            </w:pPr>
          </w:p>
        </w:tc>
        <w:tc>
          <w:tcPr>
            <w:tcW w:w="58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rFonts w:ascii="Arial" w:cs="Arial" w:eastAsia="Arial" w:hAnsi="Arial"/>
                <w:sz w:val="18"/>
                <w:szCs w:val="18"/>
                <w:color w:val="0000EE"/>
                <w:w w:val="97"/>
              </w:rPr>
            </w:pPr>
            <w:hyperlink w:anchor="page53">
              <w:r>
                <w:rPr>
                  <w:rFonts w:ascii="Arial" w:cs="Arial" w:eastAsia="Arial" w:hAnsi="Arial"/>
                  <w:sz w:val="18"/>
                  <w:szCs w:val="18"/>
                  <w:color w:val="0000EE"/>
                  <w:w w:val="97"/>
                </w:rPr>
                <w:t>ITEM 1A</w:t>
              </w:r>
            </w:hyperlink>
          </w:p>
        </w:tc>
        <w:tc>
          <w:tcPr>
            <w:tcW w:w="260" w:type="dxa"/>
            <w:vAlign w:val="bottom"/>
          </w:tcPr>
          <w:p>
            <w:pPr>
              <w:spacing w:after="0"/>
              <w:rPr>
                <w:sz w:val="17"/>
                <w:szCs w:val="17"/>
                <w:color w:val="auto"/>
              </w:rPr>
            </w:pPr>
          </w:p>
        </w:tc>
        <w:tc>
          <w:tcPr>
            <w:tcW w:w="3840" w:type="dxa"/>
            <w:vAlign w:val="bottom"/>
            <w:gridSpan w:val="9"/>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Risk Factors</w:t>
              </w:r>
            </w:hyperlink>
          </w:p>
        </w:tc>
        <w:tc>
          <w:tcPr>
            <w:tcW w:w="0" w:type="dxa"/>
            <w:vAlign w:val="bottom"/>
          </w:tcPr>
          <w:p>
            <w:pPr>
              <w:spacing w:after="0"/>
              <w:rPr>
                <w:sz w:val="1"/>
                <w:szCs w:val="1"/>
                <w:color w:val="auto"/>
              </w:rPr>
            </w:pPr>
          </w:p>
        </w:tc>
      </w:tr>
      <w:tr>
        <w:trPr>
          <w:trHeight w:val="20"/>
        </w:trPr>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rFonts w:ascii="Arial" w:cs="Arial" w:eastAsia="Arial" w:hAnsi="Arial"/>
                <w:sz w:val="18"/>
                <w:szCs w:val="18"/>
                <w:color w:val="0000EE"/>
                <w:w w:val="97"/>
              </w:rPr>
            </w:pPr>
            <w:hyperlink w:anchor="page107">
              <w:r>
                <w:rPr>
                  <w:rFonts w:ascii="Arial" w:cs="Arial" w:eastAsia="Arial" w:hAnsi="Arial"/>
                  <w:sz w:val="18"/>
                  <w:szCs w:val="18"/>
                  <w:color w:val="0000EE"/>
                  <w:w w:val="97"/>
                </w:rPr>
                <w:t>ITEM 1B</w:t>
              </w:r>
            </w:hyperlink>
          </w:p>
        </w:tc>
        <w:tc>
          <w:tcPr>
            <w:tcW w:w="260" w:type="dxa"/>
            <w:vAlign w:val="bottom"/>
          </w:tcPr>
          <w:p>
            <w:pPr>
              <w:spacing w:after="0"/>
              <w:rPr>
                <w:sz w:val="17"/>
                <w:szCs w:val="17"/>
                <w:color w:val="auto"/>
              </w:rPr>
            </w:pPr>
          </w:p>
        </w:tc>
        <w:tc>
          <w:tcPr>
            <w:tcW w:w="3840" w:type="dxa"/>
            <w:vAlign w:val="bottom"/>
            <w:gridSpan w:val="9"/>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Unresolved Staff Comments</w:t>
              </w:r>
            </w:hyperlink>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tcPr>
          <w:p>
            <w:pPr>
              <w:spacing w:after="0" w:line="196" w:lineRule="exact"/>
              <w:rPr>
                <w:rFonts w:ascii="Arial" w:cs="Arial" w:eastAsia="Arial" w:hAnsi="Arial"/>
                <w:sz w:val="18"/>
                <w:szCs w:val="18"/>
                <w:color w:val="0000EE"/>
                <w:w w:val="96"/>
              </w:rPr>
            </w:pPr>
            <w:hyperlink w:anchor="page107">
              <w:r>
                <w:rPr>
                  <w:rFonts w:ascii="Arial" w:cs="Arial" w:eastAsia="Arial" w:hAnsi="Arial"/>
                  <w:sz w:val="18"/>
                  <w:szCs w:val="18"/>
                  <w:color w:val="0000EE"/>
                  <w:w w:val="96"/>
                </w:rPr>
                <w:t>ITEM 2</w:t>
              </w:r>
            </w:hyperlink>
          </w:p>
        </w:tc>
        <w:tc>
          <w:tcPr>
            <w:tcW w:w="14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Properties</w:t>
              </w:r>
            </w:hyperlink>
          </w:p>
        </w:tc>
        <w:tc>
          <w:tcPr>
            <w:tcW w:w="18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line="196" w:lineRule="exact"/>
              <w:rPr>
                <w:rFonts w:ascii="Arial" w:cs="Arial" w:eastAsia="Arial" w:hAnsi="Arial"/>
                <w:sz w:val="18"/>
                <w:szCs w:val="18"/>
                <w:color w:val="0000EE"/>
                <w:w w:val="96"/>
              </w:rPr>
            </w:pPr>
            <w:hyperlink w:anchor="page107">
              <w:r>
                <w:rPr>
                  <w:rFonts w:ascii="Arial" w:cs="Arial" w:eastAsia="Arial" w:hAnsi="Arial"/>
                  <w:sz w:val="18"/>
                  <w:szCs w:val="18"/>
                  <w:color w:val="0000EE"/>
                  <w:w w:val="96"/>
                </w:rPr>
                <w:t>ITEM 3</w:t>
              </w:r>
            </w:hyperlink>
          </w:p>
        </w:tc>
        <w:tc>
          <w:tcPr>
            <w:tcW w:w="400" w:type="dxa"/>
            <w:vAlign w:val="bottom"/>
            <w:gridSpan w:val="2"/>
          </w:tcPr>
          <w:p>
            <w:pPr>
              <w:spacing w:after="0"/>
              <w:rPr>
                <w:sz w:val="17"/>
                <w:szCs w:val="17"/>
                <w:color w:val="auto"/>
              </w:rPr>
            </w:pPr>
          </w:p>
        </w:tc>
        <w:tc>
          <w:tcPr>
            <w:tcW w:w="3840" w:type="dxa"/>
            <w:vAlign w:val="bottom"/>
            <w:gridSpan w:val="9"/>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Legal Proceedings</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line="196" w:lineRule="exact"/>
              <w:rPr>
                <w:rFonts w:ascii="Arial" w:cs="Arial" w:eastAsia="Arial" w:hAnsi="Arial"/>
                <w:sz w:val="18"/>
                <w:szCs w:val="18"/>
                <w:color w:val="0000EE"/>
                <w:w w:val="96"/>
              </w:rPr>
            </w:pPr>
            <w:hyperlink w:anchor="page107">
              <w:r>
                <w:rPr>
                  <w:rFonts w:ascii="Arial" w:cs="Arial" w:eastAsia="Arial" w:hAnsi="Arial"/>
                  <w:sz w:val="18"/>
                  <w:szCs w:val="18"/>
                  <w:color w:val="0000EE"/>
                  <w:w w:val="96"/>
                </w:rPr>
                <w:t>ITEM 4</w:t>
              </w:r>
            </w:hyperlink>
          </w:p>
        </w:tc>
        <w:tc>
          <w:tcPr>
            <w:tcW w:w="400" w:type="dxa"/>
            <w:vAlign w:val="bottom"/>
            <w:gridSpan w:val="2"/>
          </w:tcPr>
          <w:p>
            <w:pPr>
              <w:spacing w:after="0"/>
              <w:rPr>
                <w:sz w:val="17"/>
                <w:szCs w:val="17"/>
                <w:color w:val="auto"/>
              </w:rPr>
            </w:pPr>
          </w:p>
        </w:tc>
        <w:tc>
          <w:tcPr>
            <w:tcW w:w="3840" w:type="dxa"/>
            <w:vAlign w:val="bottom"/>
            <w:gridSpan w:val="9"/>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Mine Safety Disclosures</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left="720"/>
        <w:spacing w:after="0"/>
        <w:rPr>
          <w:rFonts w:ascii="Arial" w:cs="Arial" w:eastAsia="Arial" w:hAnsi="Arial"/>
          <w:sz w:val="18"/>
          <w:szCs w:val="18"/>
          <w:b w:val="1"/>
          <w:bCs w:val="1"/>
          <w:u w:val="single" w:color="auto"/>
          <w:color w:val="0000EE"/>
        </w:rPr>
      </w:pPr>
      <w:hyperlink w:anchor="page108">
        <w:r>
          <w:rPr>
            <w:rFonts w:ascii="Arial" w:cs="Arial" w:eastAsia="Arial" w:hAnsi="Arial"/>
            <w:sz w:val="18"/>
            <w:szCs w:val="18"/>
            <w:b w:val="1"/>
            <w:bCs w:val="1"/>
            <w:u w:val="single" w:color="auto"/>
            <w:color w:val="0000EE"/>
          </w:rPr>
          <w:t>PART II</w:t>
        </w:r>
      </w:hyperlink>
    </w:p>
    <w:p>
      <w:pPr>
        <w:spacing w:after="0" w:line="148" w:lineRule="exact"/>
        <w:rPr>
          <w:sz w:val="20"/>
          <w:szCs w:val="20"/>
          <w:color w:val="auto"/>
        </w:rPr>
      </w:pPr>
    </w:p>
    <w:p>
      <w:pPr>
        <w:ind w:left="980" w:hanging="971"/>
        <w:spacing w:after="0" w:line="212" w:lineRule="auto"/>
        <w:tabs>
          <w:tab w:leader="none" w:pos="960" w:val="left"/>
        </w:tabs>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ITEM 5</w:t>
        </w:r>
      </w:hyperlink>
      <w:r>
        <w:rPr>
          <w:rFonts w:ascii="Arial" w:cs="Arial" w:eastAsia="Arial" w:hAnsi="Arial"/>
          <w:sz w:val="18"/>
          <w:szCs w:val="18"/>
          <w:u w:val="single" w:color="auto"/>
          <w:color w:val="0000EE"/>
        </w:rPr>
        <w:tab/>
      </w:r>
      <w:hyperlink w:anchor="page108">
        <w:r>
          <w:rPr>
            <w:rFonts w:ascii="Arial" w:cs="Arial" w:eastAsia="Arial" w:hAnsi="Arial"/>
            <w:sz w:val="18"/>
            <w:szCs w:val="18"/>
            <w:u w:val="single" w:color="auto"/>
            <w:color w:val="0000EE"/>
          </w:rPr>
          <w:t>Market for Registrant’s Common Equity, Related Stockholder Matters and Issuer Purchases of Equity</w:t>
        </w:r>
      </w:hyperlink>
      <w:r>
        <w:rPr>
          <w:rFonts w:ascii="Arial" w:cs="Arial" w:eastAsia="Arial" w:hAnsi="Arial"/>
          <w:sz w:val="18"/>
          <w:szCs w:val="18"/>
          <w:u w:val="single" w:color="auto"/>
          <w:color w:val="0000EE"/>
        </w:rPr>
        <w:t xml:space="preserve"> </w:t>
      </w:r>
      <w:hyperlink w:anchor="page108">
        <w:r>
          <w:rPr>
            <w:rFonts w:ascii="Arial" w:cs="Arial" w:eastAsia="Arial" w:hAnsi="Arial"/>
            <w:sz w:val="18"/>
            <w:szCs w:val="18"/>
            <w:u w:val="single" w:color="auto"/>
            <w:color w:val="0000EE"/>
          </w:rPr>
          <w:t>Securities</w:t>
        </w:r>
      </w:hyperlink>
    </w:p>
    <w:p>
      <w:pPr>
        <w:spacing w:after="0" w:line="1" w:lineRule="exact"/>
        <w:rPr>
          <w:rFonts w:ascii="Arial" w:cs="Arial" w:eastAsia="Arial" w:hAnsi="Arial"/>
          <w:sz w:val="18"/>
          <w:szCs w:val="18"/>
          <w:u w:val="single" w:color="auto"/>
          <w:color w:val="0000EE"/>
        </w:rPr>
      </w:pPr>
    </w:p>
    <w:p>
      <w:pPr>
        <w:spacing w:after="0"/>
        <w:tabs>
          <w:tab w:leader="none" w:pos="960" w:val="left"/>
        </w:tabs>
        <w:rPr>
          <w:rFonts w:ascii="Arial" w:cs="Arial" w:eastAsia="Arial" w:hAnsi="Arial"/>
          <w:sz w:val="16"/>
          <w:szCs w:val="16"/>
          <w:u w:val="single" w:color="auto"/>
          <w:color w:val="0000EE"/>
        </w:rPr>
      </w:pPr>
      <w:hyperlink w:anchor="page111">
        <w:r>
          <w:rPr>
            <w:rFonts w:ascii="Arial" w:cs="Arial" w:eastAsia="Arial" w:hAnsi="Arial"/>
            <w:sz w:val="18"/>
            <w:szCs w:val="18"/>
            <w:u w:val="single" w:color="auto"/>
            <w:color w:val="0000EE"/>
          </w:rPr>
          <w:t>ITEM 6</w:t>
        </w:r>
      </w:hyperlink>
      <w:r>
        <w:rPr>
          <w:rFonts w:ascii="Arial" w:cs="Arial" w:eastAsia="Arial" w:hAnsi="Arial"/>
          <w:sz w:val="18"/>
          <w:szCs w:val="18"/>
          <w:u w:val="single" w:color="auto"/>
          <w:color w:val="0000EE"/>
        </w:rPr>
        <w:tab/>
      </w:r>
      <w:hyperlink w:anchor="page111">
        <w:r>
          <w:rPr>
            <w:rFonts w:ascii="Arial" w:cs="Arial" w:eastAsia="Arial" w:hAnsi="Arial"/>
            <w:sz w:val="16"/>
            <w:szCs w:val="16"/>
            <w:u w:val="single" w:color="auto"/>
            <w:color w:val="0000EE"/>
          </w:rPr>
          <w:t>Selected Financial Data</w:t>
        </w:r>
      </w:hyperlink>
    </w:p>
    <w:p>
      <w:pPr>
        <w:spacing w:after="0" w:line="7" w:lineRule="exact"/>
        <w:rPr>
          <w:sz w:val="20"/>
          <w:szCs w:val="20"/>
          <w:color w:val="auto"/>
        </w:rPr>
      </w:pPr>
    </w:p>
    <w:p>
      <w:pPr>
        <w:ind w:right="860"/>
        <w:spacing w:after="0" w:line="250" w:lineRule="auto"/>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ITEM 7 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125">
        <w:r>
          <w:rPr>
            <w:rFonts w:ascii="Arial" w:cs="Arial" w:eastAsia="Arial" w:hAnsi="Arial"/>
            <w:sz w:val="18"/>
            <w:szCs w:val="18"/>
            <w:u w:val="single" w:color="auto"/>
            <w:color w:val="0000EE"/>
          </w:rPr>
          <w:t>ITEM 7A Quantitative and Qualitative Disclosure About Market Risk</w:t>
        </w:r>
      </w:hyperlink>
    </w:p>
    <w:p>
      <w:pPr>
        <w:spacing w:after="0" w:line="1" w:lineRule="exact"/>
        <w:rPr>
          <w:sz w:val="20"/>
          <w:szCs w:val="20"/>
          <w:color w:val="auto"/>
        </w:rPr>
      </w:pPr>
    </w:p>
    <w:p>
      <w:pPr>
        <w:spacing w:after="0"/>
        <w:tabs>
          <w:tab w:leader="none" w:pos="960" w:val="left"/>
        </w:tabs>
        <w:rPr>
          <w:rFonts w:ascii="Arial" w:cs="Arial" w:eastAsia="Arial" w:hAnsi="Arial"/>
          <w:sz w:val="16"/>
          <w:szCs w:val="16"/>
          <w:u w:val="single" w:color="auto"/>
          <w:color w:val="0000EE"/>
        </w:rPr>
      </w:pPr>
      <w:hyperlink w:anchor="page125">
        <w:r>
          <w:rPr>
            <w:rFonts w:ascii="Arial" w:cs="Arial" w:eastAsia="Arial" w:hAnsi="Arial"/>
            <w:sz w:val="18"/>
            <w:szCs w:val="18"/>
            <w:u w:val="single" w:color="auto"/>
            <w:color w:val="0000EE"/>
          </w:rPr>
          <w:t>ITEM 8</w:t>
        </w:r>
      </w:hyperlink>
      <w:r>
        <w:rPr>
          <w:rFonts w:ascii="Arial" w:cs="Arial" w:eastAsia="Arial" w:hAnsi="Arial"/>
          <w:sz w:val="18"/>
          <w:szCs w:val="18"/>
          <w:u w:val="single" w:color="auto"/>
          <w:color w:val="0000EE"/>
        </w:rPr>
        <w:tab/>
      </w:r>
      <w:hyperlink w:anchor="page125">
        <w:r>
          <w:rPr>
            <w:rFonts w:ascii="Arial" w:cs="Arial" w:eastAsia="Arial" w:hAnsi="Arial"/>
            <w:sz w:val="16"/>
            <w:szCs w:val="16"/>
            <w:u w:val="single" w:color="auto"/>
            <w:color w:val="0000EE"/>
          </w:rPr>
          <w:t>Financial Statements and Supplementary Data</w:t>
        </w:r>
      </w:hyperlink>
    </w:p>
    <w:p>
      <w:pPr>
        <w:spacing w:after="0" w:line="9" w:lineRule="exact"/>
        <w:rPr>
          <w:sz w:val="20"/>
          <w:szCs w:val="20"/>
          <w:color w:val="auto"/>
        </w:rPr>
      </w:pPr>
    </w:p>
    <w:p>
      <w:pPr>
        <w:spacing w:after="0"/>
        <w:tabs>
          <w:tab w:leader="none" w:pos="960" w:val="left"/>
        </w:tabs>
        <w:rPr>
          <w:rFonts w:ascii="Arial" w:cs="Arial" w:eastAsia="Arial" w:hAnsi="Arial"/>
          <w:sz w:val="16"/>
          <w:szCs w:val="16"/>
          <w:u w:val="single" w:color="auto"/>
          <w:color w:val="0000EE"/>
        </w:rPr>
      </w:pPr>
      <w:hyperlink w:anchor="page125">
        <w:r>
          <w:rPr>
            <w:rFonts w:ascii="Arial" w:cs="Arial" w:eastAsia="Arial" w:hAnsi="Arial"/>
            <w:sz w:val="18"/>
            <w:szCs w:val="18"/>
            <w:u w:val="single" w:color="auto"/>
            <w:color w:val="0000EE"/>
          </w:rPr>
          <w:t>ITEM 9</w:t>
        </w:r>
      </w:hyperlink>
      <w:r>
        <w:rPr>
          <w:rFonts w:ascii="Arial" w:cs="Arial" w:eastAsia="Arial" w:hAnsi="Arial"/>
          <w:sz w:val="18"/>
          <w:szCs w:val="18"/>
          <w:u w:val="single" w:color="auto"/>
          <w:color w:val="0000EE"/>
        </w:rPr>
        <w:tab/>
      </w:r>
      <w:hyperlink w:anchor="page125">
        <w:r>
          <w:rPr>
            <w:rFonts w:ascii="Arial" w:cs="Arial" w:eastAsia="Arial" w:hAnsi="Arial"/>
            <w:sz w:val="16"/>
            <w:szCs w:val="16"/>
            <w:u w:val="single" w:color="auto"/>
            <w:color w:val="0000EE"/>
          </w:rPr>
          <w:t>Changes in and Disagreements With Accountants on Accounting and Financial Disclosure</w:t>
        </w:r>
      </w:hyperlink>
    </w:p>
    <w:p>
      <w:pPr>
        <w:spacing w:after="0" w:line="9" w:lineRule="exact"/>
        <w:rPr>
          <w:sz w:val="20"/>
          <w:szCs w:val="20"/>
          <w:color w:val="auto"/>
        </w:rPr>
      </w:pPr>
    </w:p>
    <w:p>
      <w:pPr>
        <w:spacing w:after="0"/>
        <w:tabs>
          <w:tab w:leader="none" w:pos="960" w:val="left"/>
        </w:tabs>
        <w:rPr>
          <w:rFonts w:ascii="Arial" w:cs="Arial" w:eastAsia="Arial" w:hAnsi="Arial"/>
          <w:sz w:val="15"/>
          <w:szCs w:val="15"/>
          <w:u w:val="single" w:color="auto"/>
          <w:color w:val="0000EE"/>
        </w:rPr>
      </w:pPr>
      <w:hyperlink w:anchor="page125">
        <w:r>
          <w:rPr>
            <w:rFonts w:ascii="Arial" w:cs="Arial" w:eastAsia="Arial" w:hAnsi="Arial"/>
            <w:sz w:val="18"/>
            <w:szCs w:val="18"/>
            <w:u w:val="single" w:color="auto"/>
            <w:color w:val="0000EE"/>
          </w:rPr>
          <w:t>ITEM 9A</w:t>
        </w:r>
      </w:hyperlink>
      <w:r>
        <w:rPr>
          <w:rFonts w:ascii="Arial" w:cs="Arial" w:eastAsia="Arial" w:hAnsi="Arial"/>
          <w:sz w:val="18"/>
          <w:szCs w:val="18"/>
          <w:u w:val="single" w:color="auto"/>
          <w:color w:val="0000EE"/>
        </w:rPr>
        <w:tab/>
      </w:r>
      <w:hyperlink w:anchor="page125">
        <w:r>
          <w:rPr>
            <w:rFonts w:ascii="Arial" w:cs="Arial" w:eastAsia="Arial" w:hAnsi="Arial"/>
            <w:sz w:val="15"/>
            <w:szCs w:val="15"/>
            <w:u w:val="single" w:color="auto"/>
            <w:color w:val="0000EE"/>
          </w:rPr>
          <w:t>Controls and Procedures</w:t>
        </w:r>
      </w:hyperlink>
    </w:p>
    <w:p>
      <w:pPr>
        <w:spacing w:after="0" w:line="9" w:lineRule="exact"/>
        <w:rPr>
          <w:sz w:val="20"/>
          <w:szCs w:val="20"/>
          <w:color w:val="auto"/>
        </w:rPr>
      </w:pPr>
    </w:p>
    <w:p>
      <w:pPr>
        <w:spacing w:after="0"/>
        <w:tabs>
          <w:tab w:leader="none" w:pos="960" w:val="left"/>
        </w:tabs>
        <w:rPr>
          <w:rFonts w:ascii="Arial" w:cs="Arial" w:eastAsia="Arial" w:hAnsi="Arial"/>
          <w:sz w:val="16"/>
          <w:szCs w:val="16"/>
          <w:u w:val="single" w:color="auto"/>
          <w:color w:val="0000EE"/>
        </w:rPr>
      </w:pPr>
      <w:hyperlink w:anchor="page126">
        <w:r>
          <w:rPr>
            <w:rFonts w:ascii="Arial" w:cs="Arial" w:eastAsia="Arial" w:hAnsi="Arial"/>
            <w:sz w:val="18"/>
            <w:szCs w:val="18"/>
            <w:u w:val="single" w:color="auto"/>
            <w:color w:val="0000EE"/>
          </w:rPr>
          <w:t>ITEM 9B</w:t>
        </w:r>
      </w:hyperlink>
      <w:r>
        <w:rPr>
          <w:rFonts w:ascii="Arial" w:cs="Arial" w:eastAsia="Arial" w:hAnsi="Arial"/>
          <w:sz w:val="18"/>
          <w:szCs w:val="18"/>
          <w:u w:val="single" w:color="auto"/>
          <w:color w:val="0000EE"/>
        </w:rPr>
        <w:tab/>
      </w:r>
      <w:hyperlink w:anchor="page126">
        <w:r>
          <w:rPr>
            <w:rFonts w:ascii="Arial" w:cs="Arial" w:eastAsia="Arial" w:hAnsi="Arial"/>
            <w:sz w:val="16"/>
            <w:szCs w:val="16"/>
            <w:u w:val="single" w:color="auto"/>
            <w:color w:val="0000EE"/>
          </w:rPr>
          <w:t>Other Information</w:t>
        </w:r>
      </w:hyperlink>
    </w:p>
    <w:p>
      <w:pPr>
        <w:spacing w:after="0" w:line="166" w:lineRule="exact"/>
        <w:rPr>
          <w:sz w:val="20"/>
          <w:szCs w:val="20"/>
          <w:color w:val="auto"/>
        </w:rPr>
      </w:pPr>
    </w:p>
    <w:p>
      <w:pPr>
        <w:jc w:val="center"/>
        <w:ind w:left="720"/>
        <w:spacing w:after="0"/>
        <w:rPr>
          <w:rFonts w:ascii="Arial" w:cs="Arial" w:eastAsia="Arial" w:hAnsi="Arial"/>
          <w:sz w:val="18"/>
          <w:szCs w:val="18"/>
          <w:b w:val="1"/>
          <w:bCs w:val="1"/>
          <w:u w:val="single" w:color="auto"/>
          <w:color w:val="0000EE"/>
        </w:rPr>
      </w:pPr>
      <w:hyperlink w:anchor="page126">
        <w:r>
          <w:rPr>
            <w:rFonts w:ascii="Arial" w:cs="Arial" w:eastAsia="Arial" w:hAnsi="Arial"/>
            <w:sz w:val="18"/>
            <w:szCs w:val="18"/>
            <w:b w:val="1"/>
            <w:bCs w:val="1"/>
            <w:u w:val="single" w:color="auto"/>
            <w:color w:val="0000EE"/>
          </w:rPr>
          <w:t>PART III</w:t>
        </w:r>
      </w:hyperlink>
    </w:p>
    <w:p>
      <w:pPr>
        <w:spacing w:after="0" w:line="148" w:lineRule="exact"/>
        <w:rPr>
          <w:sz w:val="20"/>
          <w:szCs w:val="20"/>
          <w:color w:val="auto"/>
        </w:rPr>
      </w:pPr>
    </w:p>
    <w:p>
      <w:pPr>
        <w:ind w:right="3220"/>
        <w:spacing w:after="0" w:line="258" w:lineRule="auto"/>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ITEM 10 Directors, Executive Officers and Corporate Governance</w:t>
        </w:r>
      </w:hyperlink>
      <w:r>
        <w:rPr>
          <w:rFonts w:ascii="Arial" w:cs="Arial" w:eastAsia="Arial" w:hAnsi="Arial"/>
          <w:sz w:val="18"/>
          <w:szCs w:val="18"/>
          <w:u w:val="single" w:color="auto"/>
          <w:color w:val="0000EE"/>
        </w:rPr>
        <w:t xml:space="preserve"> </w:t>
      </w:r>
      <w:hyperlink w:anchor="page126">
        <w:r>
          <w:rPr>
            <w:rFonts w:ascii="Arial" w:cs="Arial" w:eastAsia="Arial" w:hAnsi="Arial"/>
            <w:sz w:val="18"/>
            <w:szCs w:val="18"/>
            <w:u w:val="single" w:color="auto"/>
            <w:color w:val="0000EE"/>
          </w:rPr>
          <w:t>ITEM 11 Executive Compensation</w:t>
        </w:r>
      </w:hyperlink>
    </w:p>
    <w:p>
      <w:pPr>
        <w:spacing w:after="0" w:line="1" w:lineRule="exact"/>
        <w:rPr>
          <w:sz w:val="20"/>
          <w:szCs w:val="20"/>
          <w:color w:val="auto"/>
        </w:rPr>
      </w:pPr>
    </w:p>
    <w:p>
      <w:pPr>
        <w:ind w:right="40"/>
        <w:spacing w:after="0" w:line="255" w:lineRule="auto"/>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ITEM 12 Security Ownership of Certain Beneficial Owners and Management and Related Stockholder Matters</w:t>
        </w:r>
      </w:hyperlink>
      <w:r>
        <w:rPr>
          <w:rFonts w:ascii="Arial" w:cs="Arial" w:eastAsia="Arial" w:hAnsi="Arial"/>
          <w:sz w:val="18"/>
          <w:szCs w:val="18"/>
          <w:u w:val="single" w:color="auto"/>
          <w:color w:val="0000EE"/>
        </w:rPr>
        <w:t xml:space="preserve"> </w:t>
      </w:r>
      <w:hyperlink w:anchor="page126">
        <w:r>
          <w:rPr>
            <w:rFonts w:ascii="Arial" w:cs="Arial" w:eastAsia="Arial" w:hAnsi="Arial"/>
            <w:sz w:val="18"/>
            <w:szCs w:val="18"/>
            <w:u w:val="single" w:color="auto"/>
            <w:color w:val="0000EE"/>
          </w:rPr>
          <w:t>ITEM 13 Certain Relationships and Related Transactions and Director Independence</w:t>
        </w:r>
      </w:hyperlink>
      <w:r>
        <w:rPr>
          <w:rFonts w:ascii="Arial" w:cs="Arial" w:eastAsia="Arial" w:hAnsi="Arial"/>
          <w:sz w:val="18"/>
          <w:szCs w:val="18"/>
          <w:u w:val="single" w:color="auto"/>
          <w:color w:val="0000EE"/>
        </w:rPr>
        <w:t xml:space="preserve"> </w:t>
      </w:r>
      <w:hyperlink w:anchor="page127">
        <w:r>
          <w:rPr>
            <w:rFonts w:ascii="Arial" w:cs="Arial" w:eastAsia="Arial" w:hAnsi="Arial"/>
            <w:sz w:val="18"/>
            <w:szCs w:val="18"/>
            <w:u w:val="single" w:color="auto"/>
            <w:color w:val="0000EE"/>
          </w:rPr>
          <w:t>ITEM 14 Principal Accountant Fees and Services</w:t>
        </w:r>
      </w:hyperlink>
    </w:p>
    <w:p>
      <w:pPr>
        <w:spacing w:after="0" w:line="146" w:lineRule="exact"/>
        <w:rPr>
          <w:rFonts w:ascii="Arial" w:cs="Arial" w:eastAsia="Arial" w:hAnsi="Arial"/>
          <w:sz w:val="18"/>
          <w:szCs w:val="18"/>
          <w:u w:val="single" w:color="auto"/>
          <w:color w:val="0000EE"/>
        </w:rPr>
      </w:pPr>
    </w:p>
    <w:p>
      <w:pPr>
        <w:jc w:val="center"/>
        <w:ind w:left="720"/>
        <w:spacing w:after="0"/>
        <w:rPr>
          <w:rFonts w:ascii="Arial" w:cs="Arial" w:eastAsia="Arial" w:hAnsi="Arial"/>
          <w:sz w:val="18"/>
          <w:szCs w:val="18"/>
          <w:b w:val="1"/>
          <w:bCs w:val="1"/>
          <w:u w:val="single" w:color="auto"/>
          <w:color w:val="0000EE"/>
        </w:rPr>
      </w:pPr>
      <w:hyperlink w:anchor="page128">
        <w:r>
          <w:rPr>
            <w:rFonts w:ascii="Arial" w:cs="Arial" w:eastAsia="Arial" w:hAnsi="Arial"/>
            <w:sz w:val="18"/>
            <w:szCs w:val="18"/>
            <w:b w:val="1"/>
            <w:bCs w:val="1"/>
            <w:u w:val="single" w:color="auto"/>
            <w:color w:val="0000EE"/>
          </w:rPr>
          <w:t>PART IV</w:t>
        </w:r>
      </w:hyperlink>
    </w:p>
    <w:p>
      <w:pPr>
        <w:spacing w:after="0" w:line="148" w:lineRule="exact"/>
        <w:rPr>
          <w:rFonts w:ascii="Arial" w:cs="Arial" w:eastAsia="Arial" w:hAnsi="Arial"/>
          <w:sz w:val="18"/>
          <w:szCs w:val="18"/>
          <w:u w:val="single" w:color="auto"/>
          <w:color w:val="0000EE"/>
        </w:rPr>
      </w:pPr>
    </w:p>
    <w:p>
      <w:pPr>
        <w:spacing w:after="0"/>
        <w:tabs>
          <w:tab w:leader="none" w:pos="960" w:val="left"/>
        </w:tabs>
        <w:rPr>
          <w:rFonts w:ascii="Arial" w:cs="Arial" w:eastAsia="Arial" w:hAnsi="Arial"/>
          <w:sz w:val="16"/>
          <w:szCs w:val="16"/>
          <w:u w:val="single" w:color="auto"/>
          <w:color w:val="0000EE"/>
        </w:rPr>
      </w:pPr>
      <w:hyperlink w:anchor="page128">
        <w:r>
          <w:rPr>
            <w:rFonts w:ascii="Arial" w:cs="Arial" w:eastAsia="Arial" w:hAnsi="Arial"/>
            <w:sz w:val="18"/>
            <w:szCs w:val="18"/>
            <w:u w:val="single" w:color="auto"/>
            <w:color w:val="0000EE"/>
          </w:rPr>
          <w:t>ITEM 15</w:t>
        </w:r>
      </w:hyperlink>
      <w:r>
        <w:rPr>
          <w:rFonts w:ascii="Arial" w:cs="Arial" w:eastAsia="Arial" w:hAnsi="Arial"/>
          <w:sz w:val="18"/>
          <w:szCs w:val="18"/>
          <w:u w:val="single" w:color="auto"/>
          <w:color w:val="0000EE"/>
        </w:rPr>
        <w:tab/>
      </w:r>
      <w:hyperlink w:anchor="page128">
        <w:r>
          <w:rPr>
            <w:rFonts w:ascii="Arial" w:cs="Arial" w:eastAsia="Arial" w:hAnsi="Arial"/>
            <w:sz w:val="16"/>
            <w:szCs w:val="16"/>
            <w:u w:val="single" w:color="auto"/>
            <w:color w:val="0000EE"/>
          </w:rPr>
          <w:t>Exhibits and Financial Statement Schedules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left="7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Page</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107</w:t>
      </w: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108</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111</w:t>
      </w:r>
    </w:p>
    <w:p>
      <w:pPr>
        <w:spacing w:after="0" w:line="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126</w:t>
      </w: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127</w:t>
      </w: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128</w:t>
      </w:r>
    </w:p>
    <w:p>
      <w:pPr>
        <w:sectPr>
          <w:pgSz w:w="11900" w:h="16838" w:orient="portrait"/>
          <w:cols w:equalWidth="0" w:num="2">
            <w:col w:w="8300" w:space="320"/>
            <w:col w:w="440"/>
          </w:cols>
          <w:pgMar w:left="1420" w:top="111"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w:t>
      </w:r>
    </w:p>
    <w:p>
      <w:pPr>
        <w:spacing w:after="0" w:line="185" w:lineRule="exact"/>
        <w:rPr>
          <w:sz w:val="20"/>
          <w:szCs w:val="20"/>
          <w:color w:val="auto"/>
        </w:rPr>
      </w:pPr>
    </w:p>
    <w:p>
      <w:pPr>
        <w:jc w:val="center"/>
        <w:ind w:right="-40"/>
        <w:spacing w:after="0" w:line="207" w:lineRule="exact"/>
        <w:rPr>
          <w:sz w:val="20"/>
          <w:szCs w:val="20"/>
          <w:color w:val="auto"/>
        </w:rPr>
      </w:pPr>
      <w:r>
        <w:rPr>
          <w:rFonts w:ascii="Arial" w:cs="Arial" w:eastAsia="Arial" w:hAnsi="Arial"/>
          <w:sz w:val="18"/>
          <w:szCs w:val="18"/>
          <w:b w:val="1"/>
          <w:bCs w:val="1"/>
          <w:color w:val="auto"/>
        </w:rPr>
        <w:t>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189" w:lineRule="exact"/>
        <w:rPr>
          <w:sz w:val="20"/>
          <w:szCs w:val="20"/>
          <w:color w:val="auto"/>
        </w:rPr>
      </w:pPr>
    </w:p>
    <w:p>
      <w:pPr>
        <w:ind w:right="19" w:firstLine="648"/>
        <w:spacing w:after="0" w:line="234" w:lineRule="auto"/>
        <w:rPr>
          <w:sz w:val="20"/>
          <w:szCs w:val="20"/>
          <w:color w:val="auto"/>
        </w:rPr>
      </w:pPr>
      <w:r>
        <w:rPr>
          <w:rFonts w:ascii="Arial" w:cs="Arial" w:eastAsia="Arial" w:hAnsi="Arial"/>
          <w:sz w:val="16"/>
          <w:szCs w:val="16"/>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pacing w:after="0" w:line="111" w:lineRule="exact"/>
        <w:rPr>
          <w:sz w:val="20"/>
          <w:szCs w:val="20"/>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increases or decreases in expenses;</w:t>
      </w:r>
    </w:p>
    <w:p>
      <w:pPr>
        <w:ind w:left="660" w:right="499"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that we may acquire or in-license;</w:t>
      </w:r>
    </w:p>
    <w:p>
      <w:pPr>
        <w:spacing w:after="0" w:line="1" w:lineRule="exact"/>
        <w:rPr>
          <w:rFonts w:ascii="Arial" w:cs="Arial" w:eastAsia="Arial" w:hAnsi="Arial"/>
          <w:sz w:val="18"/>
          <w:szCs w:val="18"/>
          <w:color w:val="auto"/>
        </w:rPr>
      </w:pPr>
    </w:p>
    <w:p>
      <w:pPr>
        <w:ind w:left="660" w:right="79"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the sufficiency of our existing capital resources combined with future anticipated cash flows to finance our operating requirements;</w:t>
      </w:r>
    </w:p>
    <w:p>
      <w:pPr>
        <w:ind w:left="660" w:right="679"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incurring capital expenditures to expand our research and development and manufacturing capabilities;</w:t>
      </w:r>
    </w:p>
    <w:p>
      <w:pPr>
        <w:ind w:left="66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generating revenue or becoming profitable on a sustained basis;</w:t>
      </w:r>
    </w:p>
    <w:p>
      <w:pPr>
        <w:ind w:left="66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enter into marketing and other partnership agreements;</w:t>
      </w:r>
    </w:p>
    <w:p>
      <w:pPr>
        <w:ind w:left="66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enter into product acquisition and in-licensing transactions;</w:t>
      </w:r>
    </w:p>
    <w:p>
      <w:pPr>
        <w:ind w:left="660" w:right="439"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build our own commercial infrastructure to manufacture, market and sell our product candidates;</w:t>
      </w:r>
    </w:p>
    <w:p>
      <w:pPr>
        <w:ind w:left="66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losses;</w:t>
      </w:r>
    </w:p>
    <w:p>
      <w:pPr>
        <w:ind w:left="66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obtain and maintain intellectual property protection for our product candidates;</w:t>
      </w:r>
    </w:p>
    <w:p>
      <w:pPr>
        <w:ind w:left="66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acceptance of our products by doctors, patients, or payors;</w:t>
      </w:r>
    </w:p>
    <w:p>
      <w:pPr>
        <w:ind w:left="66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price and its volatility;</w:t>
      </w:r>
    </w:p>
    <w:p>
      <w:pPr>
        <w:ind w:left="66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attract and retain key personnel;</w:t>
      </w:r>
    </w:p>
    <w:p>
      <w:pPr>
        <w:ind w:left="66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third-party manufacturers;</w:t>
      </w:r>
    </w:p>
    <w:p>
      <w:pPr>
        <w:ind w:left="66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future capital requirements; and</w:t>
      </w: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strategy.</w:t>
      </w:r>
    </w:p>
    <w:p>
      <w:pPr>
        <w:spacing w:after="0" w:line="128" w:lineRule="exact"/>
        <w:rPr>
          <w:sz w:val="20"/>
          <w:szCs w:val="20"/>
          <w:color w:val="auto"/>
        </w:rPr>
      </w:pPr>
    </w:p>
    <w:p>
      <w:pPr>
        <w:jc w:val="both"/>
        <w:ind w:right="199" w:firstLine="648"/>
        <w:spacing w:after="0" w:line="289" w:lineRule="auto"/>
        <w:rPr>
          <w:sz w:val="20"/>
          <w:szCs w:val="20"/>
          <w:color w:val="auto"/>
        </w:rPr>
      </w:pPr>
      <w:r>
        <w:rPr>
          <w:rFonts w:ascii="Arial" w:cs="Arial" w:eastAsia="Arial" w:hAnsi="Arial"/>
          <w:sz w:val="16"/>
          <w:szCs w:val="16"/>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84" w:lineRule="exact"/>
        <w:rPr>
          <w:sz w:val="20"/>
          <w:szCs w:val="20"/>
          <w:color w:val="auto"/>
        </w:rPr>
      </w:pPr>
    </w:p>
    <w:p>
      <w:pPr>
        <w:jc w:val="both"/>
        <w:ind w:right="179" w:firstLine="648"/>
        <w:spacing w:after="0" w:line="224" w:lineRule="auto"/>
        <w:rPr>
          <w:sz w:val="20"/>
          <w:szCs w:val="20"/>
          <w:color w:val="auto"/>
        </w:rPr>
      </w:pPr>
      <w:r>
        <w:rPr>
          <w:rFonts w:ascii="Arial" w:cs="Arial" w:eastAsia="Arial" w:hAnsi="Arial"/>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89"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i w:val="1"/>
          <w:iCs w:val="1"/>
          <w:color w:val="auto"/>
        </w:rPr>
        <w:t>Unless the context requires otherwise, references in this report to “Axsome,” “Company,” “we,” “us” and “our” and similar designations refer to Axsome Therapeutics, Inc. and our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right="40" w:firstLine="648"/>
        <w:spacing w:after="0" w:line="179" w:lineRule="exact"/>
        <w:rPr>
          <w:sz w:val="20"/>
          <w:szCs w:val="20"/>
          <w:color w:val="auto"/>
        </w:rPr>
      </w:pPr>
      <w:r>
        <w:rPr>
          <w:rFonts w:ascii="Arial" w:cs="Arial" w:eastAsia="Arial" w:hAnsi="Arial"/>
          <w:sz w:val="16"/>
          <w:szCs w:val="16"/>
          <w:color w:val="auto"/>
        </w:rPr>
        <w:t>We are a clinical-stage biopharmaceutical company developing novel therapies for the management of central nervous system, or CNS, disorders for which there are limited treatment options. By focusing on this therapeutic area, we are addressing significant and growing markets where current treatment options are limited or inadequate. Our product candidate portfolio includes five CNS product candidates, AXS</w:t>
      </w:r>
      <w:r>
        <w:rPr>
          <w:rFonts w:ascii="MS PGothic" w:cs="MS PGothic" w:eastAsia="MS PGothic" w:hAnsi="MS PGothic"/>
          <w:sz w:val="16"/>
          <w:szCs w:val="16"/>
          <w:color w:val="auto"/>
        </w:rPr>
        <w:t>‑</w:t>
      </w:r>
      <w:r>
        <w:rPr>
          <w:rFonts w:ascii="Arial" w:cs="Arial" w:eastAsia="Arial" w:hAnsi="Arial"/>
          <w:sz w:val="16"/>
          <w:szCs w:val="16"/>
          <w:color w:val="auto"/>
        </w:rPr>
        <w:t>05, AXS-09, AXS</w:t>
      </w:r>
      <w:r>
        <w:rPr>
          <w:rFonts w:ascii="MS PGothic" w:cs="MS PGothic" w:eastAsia="MS PGothic" w:hAnsi="MS PGothic"/>
          <w:sz w:val="16"/>
          <w:szCs w:val="16"/>
          <w:color w:val="auto"/>
        </w:rPr>
        <w:t>‑</w:t>
      </w:r>
      <w:r>
        <w:rPr>
          <w:rFonts w:ascii="Arial" w:cs="Arial" w:eastAsia="Arial" w:hAnsi="Arial"/>
          <w:sz w:val="16"/>
          <w:szCs w:val="16"/>
          <w:color w:val="auto"/>
        </w:rPr>
        <w:t>02, AXS-07, and AXS-06 which we are developing for multiple indications. We are conducting a Phase 3 trial with AXS-05 in treatment resistant depression, or TRD, which we refer to as the STRIDE-1 study, and a Phase 2/3 trial in agitation associated with Alzheimer's disease, or AD, which we refer to as the ADVANCE-1 study. Additionally, AXS-05 is being developed for smoking cessation. AXS-09 is being developed for CNS disorders. We are also conducting a Phase 3 trial with AXS-02 in knee osteoarthritis, or OA, associated with bone marrow lesions, or BMLs, pursuant to a Special Protocol Assessment, or SPA, which we refer to as the COAST-1 study. We also plan to initiate a Phase 3 trial with AXS-02 in chronic low back pain, or CLBP, associated with Modic changes, or MCs. AXS-07 is initially being developed for the acute treatment of migraine. Lastly, AXS-06 is being developed for the treatment of osteoarthritis and rheumatoid arthritis and for the reduction of the risk of nonsteroidal anti-inflammatory drug, or NSAID, associated gastric ulcers. Additionally, we are currently evaluating other preclinical product candidates, which we intend to develop for CNS disorders. We aim to become a fully integrated biopharmaceutical company that develops and commercializes differentiated therapies that expand the treatment options available to caregivers and improve the lives of patients living with CNS disorders.</w:t>
      </w:r>
    </w:p>
    <w:p>
      <w:pPr>
        <w:spacing w:after="0" w:line="167" w:lineRule="exact"/>
        <w:rPr>
          <w:sz w:val="20"/>
          <w:szCs w:val="20"/>
          <w:color w:val="auto"/>
        </w:rPr>
      </w:pPr>
    </w:p>
    <w:p>
      <w:pPr>
        <w:ind w:firstLine="648"/>
        <w:spacing w:after="0" w:line="182" w:lineRule="exact"/>
        <w:rPr>
          <w:sz w:val="20"/>
          <w:szCs w:val="20"/>
          <w:color w:val="auto"/>
        </w:rPr>
      </w:pPr>
      <w:r>
        <w:rPr>
          <w:rFonts w:ascii="Arial" w:cs="Arial" w:eastAsia="Arial" w:hAnsi="Arial"/>
          <w:sz w:val="18"/>
          <w:szCs w:val="18"/>
          <w:color w:val="auto"/>
        </w:rPr>
        <w:t>AXS</w:t>
      </w:r>
      <w:r>
        <w:rPr>
          <w:rFonts w:ascii="MS PGothic" w:cs="MS PGothic" w:eastAsia="MS PGothic" w:hAnsi="MS PGothic"/>
          <w:sz w:val="18"/>
          <w:szCs w:val="18"/>
          <w:color w:val="auto"/>
        </w:rPr>
        <w:t>‑</w:t>
      </w:r>
      <w:r>
        <w:rPr>
          <w:rFonts w:ascii="Arial" w:cs="Arial" w:eastAsia="Arial" w:hAnsi="Arial"/>
          <w:sz w:val="18"/>
          <w:szCs w:val="18"/>
          <w:color w:val="auto"/>
        </w:rPr>
        <w:t>05, is an innovative oral fixed</w:t>
      </w:r>
      <w:r>
        <w:rPr>
          <w:rFonts w:ascii="MS PGothic" w:cs="MS PGothic" w:eastAsia="MS PGothic" w:hAnsi="MS PGothic"/>
          <w:sz w:val="18"/>
          <w:szCs w:val="18"/>
          <w:color w:val="auto"/>
        </w:rPr>
        <w:t>‑</w:t>
      </w:r>
      <w:r>
        <w:rPr>
          <w:rFonts w:ascii="Arial" w:cs="Arial" w:eastAsia="Arial" w:hAnsi="Arial"/>
          <w:sz w:val="18"/>
          <w:szCs w:val="18"/>
          <w:color w:val="auto"/>
        </w:rPr>
        <w:t>dose combination of dextromethorphan, or DM, and bupropion. We are developing AXS</w:t>
      </w:r>
      <w:r>
        <w:rPr>
          <w:rFonts w:ascii="MS PGothic" w:cs="MS PGothic" w:eastAsia="MS PGothic" w:hAnsi="MS PGothic"/>
          <w:sz w:val="18"/>
          <w:szCs w:val="18"/>
          <w:color w:val="auto"/>
        </w:rPr>
        <w:t>‑</w:t>
      </w:r>
      <w:r>
        <w:rPr>
          <w:rFonts w:ascii="Arial" w:cs="Arial" w:eastAsia="Arial" w:hAnsi="Arial"/>
          <w:sz w:val="18"/>
          <w:szCs w:val="18"/>
          <w:color w:val="auto"/>
        </w:rPr>
        <w:t>05 initially for the following three indications: TRD, agitation associated with AD, and as an aid to smoking cessation. DM is active at multiple CNS receptors but is rapidly and extensively metabolized in humans. As a result, it is difficult to attain potential therapeutic plasma levels of DM when it is dosed as a single agent. AXS</w:t>
      </w:r>
      <w:r>
        <w:rPr>
          <w:rFonts w:ascii="MS PGothic" w:cs="MS PGothic" w:eastAsia="MS PGothic" w:hAnsi="MS PGothic"/>
          <w:sz w:val="18"/>
          <w:szCs w:val="18"/>
          <w:color w:val="auto"/>
        </w:rPr>
        <w:t>‑</w:t>
      </w:r>
      <w:r>
        <w:rPr>
          <w:rFonts w:ascii="Arial" w:cs="Arial" w:eastAsia="Arial" w:hAnsi="Arial"/>
          <w:sz w:val="18"/>
          <w:szCs w:val="18"/>
          <w:color w:val="auto"/>
        </w:rPr>
        <w:t>05 uses bupropion as a novel drug delivery method to inhibit DM metabolism and increase its bioavailability. We have demonstrated in three Phase 1 trials that DM plasma levels are substantially increased into a potentially therapeutic range with the co</w:t>
      </w:r>
      <w:r>
        <w:rPr>
          <w:rFonts w:ascii="MS PGothic" w:cs="MS PGothic" w:eastAsia="MS PGothic" w:hAnsi="MS PGothic"/>
          <w:sz w:val="18"/>
          <w:szCs w:val="18"/>
          <w:color w:val="auto"/>
        </w:rPr>
        <w:t>‑</w:t>
      </w:r>
      <w:r>
        <w:rPr>
          <w:rFonts w:ascii="Arial" w:cs="Arial" w:eastAsia="Arial" w:hAnsi="Arial"/>
          <w:sz w:val="18"/>
          <w:szCs w:val="18"/>
          <w:color w:val="auto"/>
        </w:rPr>
        <w:t>administration of bupropion. Bupropion is itself active at distinct CNS receptors providing the potential for an additive or synergistic effect. We intend to seek U.S. Food and Drug Administration, or FDA ,approval for AXS</w:t>
      </w:r>
      <w:r>
        <w:rPr>
          <w:rFonts w:ascii="MS PGothic" w:cs="MS PGothic" w:eastAsia="MS PGothic" w:hAnsi="MS PGothic"/>
          <w:sz w:val="18"/>
          <w:szCs w:val="18"/>
          <w:color w:val="auto"/>
        </w:rPr>
        <w:t>‑</w:t>
      </w:r>
      <w:r>
        <w:rPr>
          <w:rFonts w:ascii="Arial" w:cs="Arial" w:eastAsia="Arial" w:hAnsi="Arial"/>
          <w:sz w:val="18"/>
          <w:szCs w:val="18"/>
          <w:color w:val="auto"/>
        </w:rPr>
        <w:t>05 utilizing the 505(b)(2) regulatory development pathway.</w:t>
      </w:r>
    </w:p>
    <w:p>
      <w:pPr>
        <w:spacing w:after="0" w:line="166" w:lineRule="exact"/>
        <w:rPr>
          <w:sz w:val="20"/>
          <w:szCs w:val="20"/>
          <w:color w:val="auto"/>
        </w:rPr>
      </w:pPr>
    </w:p>
    <w:p>
      <w:pPr>
        <w:ind w:right="100" w:firstLine="648"/>
        <w:spacing w:after="0" w:line="225" w:lineRule="auto"/>
        <w:rPr>
          <w:sz w:val="20"/>
          <w:szCs w:val="20"/>
          <w:color w:val="auto"/>
        </w:rPr>
      </w:pPr>
      <w:r>
        <w:rPr>
          <w:rFonts w:ascii="Arial" w:cs="Arial" w:eastAsia="Arial" w:hAnsi="Arial"/>
          <w:sz w:val="17"/>
          <w:szCs w:val="17"/>
          <w:color w:val="auto"/>
        </w:rPr>
        <w:t xml:space="preserve">AXS-09 is a novel, oral medicine combination of esbupropion and DM, which is being developed for the treatment of CNS disorders. AXS-09 contains esbupropion, the chirally pure S-enantiomer of bupropion, as compared to our first generation product candidate AXS-05 which contains racemic bupropion, equal amounts of the </w:t>
      </w:r>
      <w:r>
        <w:rPr>
          <w:rFonts w:ascii="Arial" w:cs="Arial" w:eastAsia="Arial" w:hAnsi="Arial"/>
          <w:sz w:val="17"/>
          <w:szCs w:val="17"/>
          <w:i w:val="1"/>
          <w:iCs w:val="1"/>
          <w:color w:val="auto"/>
        </w:rPr>
        <w:t>S</w:t>
      </w:r>
      <w:r>
        <w:rPr>
          <w:rFonts w:ascii="Arial" w:cs="Arial" w:eastAsia="Arial" w:hAnsi="Arial"/>
          <w:sz w:val="17"/>
          <w:szCs w:val="17"/>
          <w:color w:val="auto"/>
        </w:rPr>
        <w:t xml:space="preserve">- and </w:t>
      </w:r>
      <w:r>
        <w:rPr>
          <w:rFonts w:ascii="Arial" w:cs="Arial" w:eastAsia="Arial" w:hAnsi="Arial"/>
          <w:sz w:val="17"/>
          <w:szCs w:val="17"/>
          <w:i w:val="1"/>
          <w:iCs w:val="1"/>
          <w:color w:val="auto"/>
        </w:rPr>
        <w:t>R</w:t>
      </w:r>
      <w:r>
        <w:rPr>
          <w:rFonts w:ascii="Arial" w:cs="Arial" w:eastAsia="Arial" w:hAnsi="Arial"/>
          <w:sz w:val="17"/>
          <w:szCs w:val="17"/>
          <w:color w:val="auto"/>
        </w:rPr>
        <w:t xml:space="preserve">-enantiomers. We have demonstrated in a Phase 1 trial that DM plasma levels are substantially increased into a potentially therapeutic range with repeated administration of AXS-09. The increased DM concentrations with AXS-09 are comparabale to those achieved with AXS-05. Results of this Phase 1 trial coupled with preclinical data also indicate the potential for enhanced absorption and therapeutic effect of the </w:t>
      </w:r>
      <w:r>
        <w:rPr>
          <w:rFonts w:ascii="Arial" w:cs="Arial" w:eastAsia="Arial" w:hAnsi="Arial"/>
          <w:sz w:val="17"/>
          <w:szCs w:val="17"/>
          <w:i w:val="1"/>
          <w:iCs w:val="1"/>
          <w:color w:val="auto"/>
        </w:rPr>
        <w:t>S</w:t>
      </w:r>
      <w:r>
        <w:rPr>
          <w:rFonts w:ascii="Arial" w:cs="Arial" w:eastAsia="Arial" w:hAnsi="Arial"/>
          <w:sz w:val="17"/>
          <w:szCs w:val="17"/>
          <w:color w:val="auto"/>
        </w:rPr>
        <w:t xml:space="preserve">-enantiomer as compared to the </w:t>
      </w:r>
      <w:r>
        <w:rPr>
          <w:rFonts w:ascii="Arial" w:cs="Arial" w:eastAsia="Arial" w:hAnsi="Arial"/>
          <w:sz w:val="17"/>
          <w:szCs w:val="17"/>
          <w:i w:val="1"/>
          <w:iCs w:val="1"/>
          <w:color w:val="auto"/>
        </w:rPr>
        <w:t>R</w:t>
      </w:r>
      <w:r>
        <w:rPr>
          <w:rFonts w:ascii="Arial" w:cs="Arial" w:eastAsia="Arial" w:hAnsi="Arial"/>
          <w:sz w:val="17"/>
          <w:szCs w:val="17"/>
          <w:color w:val="auto"/>
        </w:rPr>
        <w:t>-enantiomer.</w:t>
      </w:r>
    </w:p>
    <w:p>
      <w:pPr>
        <w:spacing w:after="0" w:line="162"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AXS</w:t>
      </w:r>
      <w:r>
        <w:rPr>
          <w:rFonts w:ascii="MS PGothic" w:cs="MS PGothic" w:eastAsia="MS PGothic" w:hAnsi="MS PGothic"/>
          <w:sz w:val="17"/>
          <w:szCs w:val="17"/>
          <w:color w:val="auto"/>
        </w:rPr>
        <w:t>‑</w:t>
      </w:r>
      <w:r>
        <w:rPr>
          <w:rFonts w:ascii="Arial" w:cs="Arial" w:eastAsia="Arial" w:hAnsi="Arial"/>
          <w:sz w:val="17"/>
          <w:szCs w:val="17"/>
          <w:color w:val="auto"/>
        </w:rPr>
        <w:t>02, disodium zoledronate tetrahydrate, is a potentially first</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class, oral, targeted, non</w:t>
      </w:r>
      <w:r>
        <w:rPr>
          <w:rFonts w:ascii="MS PGothic" w:cs="MS PGothic" w:eastAsia="MS PGothic" w:hAnsi="MS PGothic"/>
          <w:sz w:val="17"/>
          <w:szCs w:val="17"/>
          <w:color w:val="auto"/>
        </w:rPr>
        <w:t>‑</w:t>
      </w:r>
      <w:r>
        <w:rPr>
          <w:rFonts w:ascii="Arial" w:cs="Arial" w:eastAsia="Arial" w:hAnsi="Arial"/>
          <w:sz w:val="17"/>
          <w:szCs w:val="17"/>
          <w:color w:val="auto"/>
        </w:rPr>
        <w:t>opioid therapeutic for chronic pain. AXS</w:t>
      </w:r>
      <w:r>
        <w:rPr>
          <w:rFonts w:ascii="MS PGothic" w:cs="MS PGothic" w:eastAsia="MS PGothic" w:hAnsi="MS PGothic"/>
          <w:sz w:val="17"/>
          <w:szCs w:val="17"/>
          <w:color w:val="auto"/>
        </w:rPr>
        <w:t>‑</w:t>
      </w:r>
      <w:r>
        <w:rPr>
          <w:rFonts w:ascii="Arial" w:cs="Arial" w:eastAsia="Arial" w:hAnsi="Arial"/>
          <w:sz w:val="17"/>
          <w:szCs w:val="17"/>
          <w:color w:val="auto"/>
        </w:rPr>
        <w:t>02 is a potent inhibitor of osteoclasts, which are bone remodeling cells that break down bone tissue. We are initially developing AXS</w:t>
      </w:r>
      <w:r>
        <w:rPr>
          <w:rFonts w:ascii="MS PGothic" w:cs="MS PGothic" w:eastAsia="MS PGothic" w:hAnsi="MS PGothic"/>
          <w:sz w:val="17"/>
          <w:szCs w:val="17"/>
          <w:color w:val="auto"/>
        </w:rPr>
        <w:t>‑</w:t>
      </w:r>
      <w:r>
        <w:rPr>
          <w:rFonts w:ascii="Arial" w:cs="Arial" w:eastAsia="Arial" w:hAnsi="Arial"/>
          <w:sz w:val="17"/>
          <w:szCs w:val="17"/>
          <w:color w:val="auto"/>
        </w:rPr>
        <w:t>02 for the treatment of pain in the following two conditions: knee OA associated with BMLs and CLBP associated with type 1 or mixed type 1 and type 2 MCs. These conditions exhibit target lesions or specific pathology that we believe may be addressed by the mechanisms of action of AXS</w:t>
      </w:r>
      <w:r>
        <w:rPr>
          <w:rFonts w:ascii="MS PGothic" w:cs="MS PGothic" w:eastAsia="MS PGothic" w:hAnsi="MS PGothic"/>
          <w:sz w:val="17"/>
          <w:szCs w:val="17"/>
          <w:color w:val="auto"/>
        </w:rPr>
        <w:t>‑</w:t>
      </w:r>
      <w:r>
        <w:rPr>
          <w:rFonts w:ascii="Arial" w:cs="Arial" w:eastAsia="Arial" w:hAnsi="Arial"/>
          <w:sz w:val="17"/>
          <w:szCs w:val="17"/>
          <w:color w:val="auto"/>
        </w:rPr>
        <w:t>02, such as inhibition of osteoclast activity. These mechanisms may result in a reduction of pain in these conditions. We have successfully completed a Phase 1 trial of AXS</w:t>
      </w:r>
      <w:r>
        <w:rPr>
          <w:rFonts w:ascii="MS PGothic" w:cs="MS PGothic" w:eastAsia="MS PGothic" w:hAnsi="MS PGothic"/>
          <w:sz w:val="17"/>
          <w:szCs w:val="17"/>
          <w:color w:val="auto"/>
        </w:rPr>
        <w:t>‑</w:t>
      </w:r>
      <w:r>
        <w:rPr>
          <w:rFonts w:ascii="Arial" w:cs="Arial" w:eastAsia="Arial" w:hAnsi="Arial"/>
          <w:sz w:val="17"/>
          <w:szCs w:val="17"/>
          <w:color w:val="auto"/>
        </w:rPr>
        <w:t>02 to characterize the pharmacokinetics of zoledronic acid and its effects on markers of bone resorption after oral administration of AXS</w:t>
      </w:r>
      <w:r>
        <w:rPr>
          <w:rFonts w:ascii="MS PGothic" w:cs="MS PGothic" w:eastAsia="MS PGothic" w:hAnsi="MS PGothic"/>
          <w:sz w:val="17"/>
          <w:szCs w:val="17"/>
          <w:color w:val="auto"/>
        </w:rPr>
        <w:t>‑</w:t>
      </w:r>
      <w:r>
        <w:rPr>
          <w:rFonts w:ascii="Arial" w:cs="Arial" w:eastAsia="Arial" w:hAnsi="Arial"/>
          <w:sz w:val="17"/>
          <w:szCs w:val="17"/>
          <w:color w:val="auto"/>
        </w:rPr>
        <w:t>02. The results of our Phase 1 trial demonstrated that oral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189" w:lineRule="exact"/>
        <w:rPr>
          <w:sz w:val="20"/>
          <w:szCs w:val="20"/>
          <w:color w:val="auto"/>
        </w:rPr>
      </w:pPr>
      <w:r>
        <w:rPr>
          <w:rFonts w:ascii="Arial" w:cs="Arial" w:eastAsia="Arial" w:hAnsi="Arial"/>
          <w:sz w:val="18"/>
          <w:szCs w:val="18"/>
          <w:color w:val="auto"/>
        </w:rPr>
        <w:t>administration of AXS</w:t>
      </w:r>
      <w:r>
        <w:rPr>
          <w:rFonts w:ascii="MS PGothic" w:cs="MS PGothic" w:eastAsia="MS PGothic" w:hAnsi="MS PGothic"/>
          <w:sz w:val="18"/>
          <w:szCs w:val="18"/>
          <w:color w:val="auto"/>
        </w:rPr>
        <w:t>‑</w:t>
      </w:r>
      <w:r>
        <w:rPr>
          <w:rFonts w:ascii="Arial" w:cs="Arial" w:eastAsia="Arial" w:hAnsi="Arial"/>
          <w:sz w:val="18"/>
          <w:szCs w:val="18"/>
          <w:color w:val="auto"/>
        </w:rPr>
        <w:t>02 tablets resulted in rapid absorption of zoledronic acid, which is the active molecule in AXS</w:t>
      </w:r>
      <w:r>
        <w:rPr>
          <w:rFonts w:ascii="MS PGothic" w:cs="MS PGothic" w:eastAsia="MS PGothic" w:hAnsi="MS PGothic"/>
          <w:sz w:val="18"/>
          <w:szCs w:val="18"/>
          <w:color w:val="auto"/>
        </w:rPr>
        <w:t>‑</w:t>
      </w:r>
      <w:r>
        <w:rPr>
          <w:rFonts w:ascii="Arial" w:cs="Arial" w:eastAsia="Arial" w:hAnsi="Arial"/>
          <w:sz w:val="18"/>
          <w:szCs w:val="18"/>
          <w:color w:val="auto"/>
        </w:rPr>
        <w:t>02 and the free acid form of disodium zoledronate tetrahydrate, and substantial suppression of bone resorption markers, which are proteins indicative of bone tissue breakdown. We intend to seek FDA approval for AXS</w:t>
      </w:r>
      <w:r>
        <w:rPr>
          <w:rFonts w:ascii="MS PGothic" w:cs="MS PGothic" w:eastAsia="MS PGothic" w:hAnsi="MS PGothic"/>
          <w:sz w:val="18"/>
          <w:szCs w:val="18"/>
          <w:color w:val="auto"/>
        </w:rPr>
        <w:t>‑</w:t>
      </w:r>
      <w:r>
        <w:rPr>
          <w:rFonts w:ascii="Arial" w:cs="Arial" w:eastAsia="Arial" w:hAnsi="Arial"/>
          <w:sz w:val="18"/>
          <w:szCs w:val="18"/>
          <w:color w:val="auto"/>
        </w:rPr>
        <w:t>02 utilizing the 505(b)(2) regulatory development pathway.</w:t>
      </w:r>
    </w:p>
    <w:p>
      <w:pPr>
        <w:spacing w:after="0" w:line="163" w:lineRule="exact"/>
        <w:rPr>
          <w:sz w:val="20"/>
          <w:szCs w:val="20"/>
          <w:color w:val="auto"/>
        </w:rPr>
      </w:pPr>
    </w:p>
    <w:p>
      <w:pPr>
        <w:ind w:right="100" w:firstLine="648"/>
        <w:spacing w:after="0" w:line="219" w:lineRule="auto"/>
        <w:rPr>
          <w:sz w:val="20"/>
          <w:szCs w:val="20"/>
          <w:color w:val="auto"/>
        </w:rPr>
      </w:pPr>
      <w:r>
        <w:rPr>
          <w:rFonts w:ascii="Arial" w:cs="Arial" w:eastAsia="Arial" w:hAnsi="Arial"/>
          <w:sz w:val="16"/>
          <w:szCs w:val="16"/>
          <w:color w:val="auto"/>
        </w:rPr>
        <w:t>AXS-07, is a novel, oral, fixed-dose combination of MoSEIC™, or Molecular Solubility Enhanced Inclusion Complex, meloxicam and rizatriptan. We are developing AXS-07 initially for the acute treatment of migraine. Meloxicam is a long-acting nonsteroidal anti-inflammatory drug, or NSAID, with COX-2, an enzyme involved in inflammation and pain pathways, preferential inhibition and potent pain-relieving effects. However standard meloxicam has an extended time to maximum plasma concentration, or T</w:t>
      </w:r>
      <w:r>
        <w:rPr>
          <w:rFonts w:ascii="Arial" w:cs="Arial" w:eastAsia="Arial" w:hAnsi="Arial"/>
          <w:sz w:val="26"/>
          <w:szCs w:val="26"/>
          <w:color w:val="auto"/>
          <w:vertAlign w:val="subscript"/>
        </w:rPr>
        <w:t>max</w:t>
      </w:r>
      <w:r>
        <w:rPr>
          <w:rFonts w:ascii="Arial" w:cs="Arial" w:eastAsia="Arial" w:hAnsi="Arial"/>
          <w:sz w:val="16"/>
          <w:szCs w:val="16"/>
          <w:color w:val="auto"/>
        </w:rPr>
        <w:t>, which delays its onset of action. AXS-07 utilizes our proprietary MoSEIC™</w:t>
      </w:r>
    </w:p>
    <w:p>
      <w:pPr>
        <w:spacing w:after="0" w:line="3" w:lineRule="exact"/>
        <w:rPr>
          <w:sz w:val="20"/>
          <w:szCs w:val="20"/>
          <w:color w:val="auto"/>
        </w:rPr>
      </w:pPr>
    </w:p>
    <w:p>
      <w:pPr>
        <w:ind w:right="100"/>
        <w:spacing w:after="0" w:line="211" w:lineRule="auto"/>
        <w:rPr>
          <w:sz w:val="20"/>
          <w:szCs w:val="20"/>
          <w:color w:val="auto"/>
        </w:rPr>
      </w:pPr>
      <w:r>
        <w:rPr>
          <w:rFonts w:ascii="Arial" w:cs="Arial" w:eastAsia="Arial" w:hAnsi="Arial"/>
          <w:sz w:val="18"/>
          <w:szCs w:val="18"/>
          <w:color w:val="auto"/>
        </w:rPr>
        <w:t>technology to substantially increase the solubility and speed the absorption of meloxicam while potentially maintaining durability of action. Meloxicam is a new molecular entity for migraine enabled by our MoSEIC™ technology. Rizatriptan is a 5-HT1B/D agonist that inhibits calcitonin gene-related peptide (CGRP)-mediated vasodilation, has been shown to have central trigeminal antinociceptive activity, and may reduce the release of inflammatory mediators from trigeminal nerves. Rizatriptan is approved as a single agent for the acute treatment of migraine. We intend to seek FDA approval for AXS-07 utilizing the 505(b)(2) regulatory development pathway.</w:t>
      </w:r>
    </w:p>
    <w:p>
      <w:pPr>
        <w:spacing w:after="0" w:line="162" w:lineRule="exact"/>
        <w:rPr>
          <w:sz w:val="20"/>
          <w:szCs w:val="20"/>
          <w:color w:val="auto"/>
        </w:rPr>
      </w:pPr>
    </w:p>
    <w:p>
      <w:pPr>
        <w:ind w:right="160" w:firstLine="648"/>
        <w:spacing w:after="0" w:line="222" w:lineRule="auto"/>
        <w:rPr>
          <w:sz w:val="20"/>
          <w:szCs w:val="20"/>
          <w:color w:val="auto"/>
        </w:rPr>
      </w:pPr>
      <w:r>
        <w:rPr>
          <w:rFonts w:ascii="Arial" w:cs="Arial" w:eastAsia="Arial" w:hAnsi="Arial"/>
          <w:sz w:val="16"/>
          <w:szCs w:val="16"/>
          <w:color w:val="auto"/>
        </w:rPr>
        <w:t>AXS-06, is a novel, oral, non-opioid, fixed-dose combination of MoSEIC™ meloxicam and esomeprazole. We are developing AXS-06 initially for the treatment of osteoarthritis and rheumatoid arthritis. Esomeprazole is a proton pump inhibitor which lowers stomach acidity and which has been shown to reduce the occurrence of NSAID-induced gastrointestinal ulcers. AXS-06 is designed to provide rapid, effective pain relief, and to reduce the risk of NSAID-induced ulcers, with convenient once-daily dosing. We have successfully completed a Phase 1 trial of AXS-06 to characterize the pharmacokinetics of meloxicam and esomeprazole after oral administration of AXS-06. The results of our Phase 1 trial demonstrated that the median T</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for meloxicam, the trial's primary endpoint, was nine times faster for AXS-06 as</w:t>
      </w:r>
    </w:p>
    <w:p>
      <w:pPr>
        <w:spacing w:after="0" w:line="1" w:lineRule="exact"/>
        <w:rPr>
          <w:sz w:val="20"/>
          <w:szCs w:val="20"/>
          <w:color w:val="auto"/>
        </w:rPr>
      </w:pPr>
    </w:p>
    <w:p>
      <w:pPr>
        <w:ind w:right="900"/>
        <w:spacing w:after="0" w:line="226" w:lineRule="auto"/>
        <w:rPr>
          <w:sz w:val="20"/>
          <w:szCs w:val="20"/>
          <w:color w:val="auto"/>
        </w:rPr>
      </w:pPr>
      <w:r>
        <w:rPr>
          <w:rFonts w:ascii="Arial" w:cs="Arial" w:eastAsia="Arial" w:hAnsi="Arial"/>
          <w:sz w:val="18"/>
          <w:szCs w:val="18"/>
          <w:color w:val="auto"/>
        </w:rPr>
        <w:t>compared to standard meloxicam. We intend to seek FDA approval for AXS 06 utilizing the 505(b)(2) regulatory development pathway.</w:t>
      </w:r>
    </w:p>
    <w:p>
      <w:pPr>
        <w:spacing w:after="0" w:line="161" w:lineRule="exact"/>
        <w:rPr>
          <w:sz w:val="20"/>
          <w:szCs w:val="20"/>
          <w:color w:val="auto"/>
        </w:rPr>
      </w:pPr>
    </w:p>
    <w:p>
      <w:pPr>
        <w:ind w:right="140" w:firstLine="648"/>
        <w:spacing w:after="0" w:line="189" w:lineRule="exact"/>
        <w:rPr>
          <w:sz w:val="20"/>
          <w:szCs w:val="20"/>
          <w:color w:val="auto"/>
        </w:rPr>
      </w:pPr>
      <w:r>
        <w:rPr>
          <w:rFonts w:ascii="Arial" w:cs="Arial" w:eastAsia="Arial" w:hAnsi="Arial"/>
          <w:sz w:val="18"/>
          <w:szCs w:val="18"/>
          <w:color w:val="auto"/>
        </w:rPr>
        <w:t>Our product candidates are protected through a combination of patents, trade secrets, and proprietary know</w:t>
      </w:r>
      <w:r>
        <w:rPr>
          <w:rFonts w:ascii="MS PGothic" w:cs="MS PGothic" w:eastAsia="MS PGothic" w:hAnsi="MS PGothic"/>
          <w:sz w:val="18"/>
          <w:szCs w:val="18"/>
          <w:color w:val="auto"/>
        </w:rPr>
        <w:t>‑</w:t>
      </w:r>
      <w:r>
        <w:rPr>
          <w:rFonts w:ascii="Arial" w:cs="Arial" w:eastAsia="Arial" w:hAnsi="Arial"/>
          <w:sz w:val="18"/>
          <w:szCs w:val="18"/>
          <w:color w:val="auto"/>
        </w:rPr>
        <w:t>how. If approved, they may also be eligible for periods of regulatory exclusivity. Our intellectual property portfolio includes U.S. patents with claims extending to 2034 for AXS</w:t>
      </w:r>
      <w:r>
        <w:rPr>
          <w:rFonts w:ascii="MS PGothic" w:cs="MS PGothic" w:eastAsia="MS PGothic" w:hAnsi="MS PGothic"/>
          <w:sz w:val="18"/>
          <w:szCs w:val="18"/>
          <w:color w:val="auto"/>
        </w:rPr>
        <w:t>‑</w:t>
      </w:r>
      <w:r>
        <w:rPr>
          <w:rFonts w:ascii="Arial" w:cs="Arial" w:eastAsia="Arial" w:hAnsi="Arial"/>
          <w:sz w:val="18"/>
          <w:szCs w:val="18"/>
          <w:color w:val="auto"/>
        </w:rPr>
        <w:t>05 and AXS</w:t>
      </w:r>
      <w:r>
        <w:rPr>
          <w:rFonts w:ascii="MS PGothic" w:cs="MS PGothic" w:eastAsia="MS PGothic" w:hAnsi="MS PGothic"/>
          <w:sz w:val="18"/>
          <w:szCs w:val="18"/>
          <w:color w:val="auto"/>
        </w:rPr>
        <w:t>‑</w:t>
      </w:r>
      <w:r>
        <w:rPr>
          <w:rFonts w:ascii="Arial" w:cs="Arial" w:eastAsia="Arial" w:hAnsi="Arial"/>
          <w:sz w:val="18"/>
          <w:szCs w:val="18"/>
          <w:color w:val="auto"/>
        </w:rPr>
        <w:t>02 and to 2036 for AXS-07 and AXS-06, as well as corresponding foreign patent applications.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89" w:lineRule="exact"/>
        <w:rPr>
          <w:sz w:val="20"/>
          <w:szCs w:val="20"/>
          <w:color w:val="auto"/>
        </w:rPr>
      </w:pPr>
    </w:p>
    <w:p>
      <w:pPr>
        <w:ind w:right="440" w:firstLine="648"/>
        <w:spacing w:after="0" w:line="203" w:lineRule="exact"/>
        <w:rPr>
          <w:sz w:val="20"/>
          <w:szCs w:val="20"/>
          <w:color w:val="auto"/>
        </w:rPr>
      </w:pPr>
      <w:r>
        <w:rPr>
          <w:rFonts w:ascii="Arial" w:cs="Arial" w:eastAsia="Arial" w:hAnsi="Arial"/>
          <w:sz w:val="17"/>
          <w:szCs w:val="17"/>
          <w:color w:val="auto"/>
        </w:rPr>
        <w:t>Our goal is to cost</w:t>
      </w:r>
      <w:r>
        <w:rPr>
          <w:rFonts w:ascii="MS PGothic" w:cs="MS PGothic" w:eastAsia="MS PGothic" w:hAnsi="MS PGothic"/>
          <w:sz w:val="17"/>
          <w:szCs w:val="17"/>
          <w:color w:val="auto"/>
        </w:rPr>
        <w:t>‑</w:t>
      </w:r>
      <w:r>
        <w:rPr>
          <w:rFonts w:ascii="Arial" w:cs="Arial" w:eastAsia="Arial" w:hAnsi="Arial"/>
          <w:sz w:val="17"/>
          <w:szCs w:val="17"/>
          <w:color w:val="auto"/>
        </w:rPr>
        <w:t>effectively and efficiently develop and commercialize novel, differentiated therapies for the management of CNS disorders. The primary elements of our strategy to achieve this goal are the following:</w:t>
      </w:r>
    </w:p>
    <w:p>
      <w:pPr>
        <w:spacing w:after="0" w:line="162" w:lineRule="exact"/>
        <w:rPr>
          <w:sz w:val="20"/>
          <w:szCs w:val="20"/>
          <w:color w:val="auto"/>
        </w:rPr>
      </w:pPr>
    </w:p>
    <w:p>
      <w:pPr>
        <w:ind w:left="980" w:hanging="329"/>
        <w:spacing w:after="0" w:line="180" w:lineRule="exact"/>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Pursue novel CNS indications with high unmet medical need. </w:t>
      </w:r>
      <w:r>
        <w:rPr>
          <w:rFonts w:ascii="Arial" w:cs="Arial" w:eastAsia="Arial" w:hAnsi="Arial"/>
          <w:sz w:val="17"/>
          <w:szCs w:val="17"/>
          <w:color w:val="auto"/>
        </w:rPr>
        <w:t>We believe that CNS disorders are significantly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underserved therapeutic segments with currently limited treatment options. We are initially developing our product candidates for indications that have no or few FDA</w:t>
      </w:r>
      <w:r>
        <w:rPr>
          <w:rFonts w:ascii="MS PGothic" w:cs="MS PGothic" w:eastAsia="MS PGothic" w:hAnsi="MS PGothic"/>
          <w:sz w:val="17"/>
          <w:szCs w:val="17"/>
          <w:color w:val="auto"/>
        </w:rPr>
        <w:t>‑</w:t>
      </w:r>
      <w:r>
        <w:rPr>
          <w:rFonts w:ascii="Arial" w:cs="Arial" w:eastAsia="Arial" w:hAnsi="Arial"/>
          <w:sz w:val="17"/>
          <w:szCs w:val="17"/>
          <w:color w:val="auto"/>
        </w:rPr>
        <w:t>approved pharmacological treatments. For example, there currently is no drug approved by the FDA or the EMA for agitation associated with Alzheimer's disease, the pain of knee OA associated with BMLs, or CLBP associated with MCs. There is currently only one FDA</w:t>
      </w:r>
      <w:r>
        <w:rPr>
          <w:rFonts w:ascii="MS PGothic" w:cs="MS PGothic" w:eastAsia="MS PGothic" w:hAnsi="MS PGothic"/>
          <w:sz w:val="17"/>
          <w:szCs w:val="17"/>
          <w:color w:val="auto"/>
        </w:rPr>
        <w:t>‑</w:t>
      </w:r>
      <w:r>
        <w:rPr>
          <w:rFonts w:ascii="Arial" w:cs="Arial" w:eastAsia="Arial" w:hAnsi="Arial"/>
          <w:sz w:val="17"/>
          <w:szCs w:val="17"/>
          <w:color w:val="auto"/>
        </w:rPr>
        <w:t>approved drug for TRD. These conditions are often disabling, difficult to treat, and associated with significant comorbidities. By focusing on novel indications, we aim to develop products that have the potential to change current medical practice, and that are highly relevant to patients, physicians, and regulatory bodies because they address unmet medical needs. Many of these indications have significant patient populations which, when combined with the lack of approved treatments, should provide us with attractive commercial opportunities.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right="20" w:hanging="329"/>
        <w:spacing w:after="0" w:line="211"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 products with our proprietary medicinal chemistry and formulation technologies. </w:t>
      </w:r>
      <w:r>
        <w:rPr>
          <w:rFonts w:ascii="Arial" w:cs="Arial" w:eastAsia="Arial" w:hAnsi="Arial"/>
          <w:sz w:val="18"/>
          <w:szCs w:val="18"/>
          <w:color w:val="auto"/>
        </w:rPr>
        <w:t>Our proprietary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medicinal chemistry and formulation technologies allow us to continue to design new and innovative medicines to treat CNS conditions. These technologies and capabilities include: (1) chiral chemistry and formulation to identify, isolate and stabilize chirally pure enantiomers, (2) metabolic inhibition as a novel drug delivery method to increase the bioavailability and prolong the half-life of target drug molecules, (3) the MoSEIC™ technology which is designed to substantially increase the solubility and speed the absorption of target drug molecules, and (4) proprietary chemical synthesis and analysis to increase the solubility and enable the oral delivery of target drug molecules.</w:t>
      </w:r>
    </w:p>
    <w:p>
      <w:pPr>
        <w:spacing w:after="0" w:line="164" w:lineRule="exact"/>
        <w:rPr>
          <w:rFonts w:ascii="Arial" w:cs="Arial" w:eastAsia="Arial" w:hAnsi="Arial"/>
          <w:sz w:val="18"/>
          <w:szCs w:val="18"/>
          <w:color w:val="auto"/>
        </w:rPr>
      </w:pPr>
    </w:p>
    <w:p>
      <w:pPr>
        <w:ind w:left="980" w:hanging="329"/>
        <w:spacing w:after="0" w:line="182" w:lineRule="exact"/>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Develop products with differentiated profiles. </w:t>
      </w:r>
      <w:r>
        <w:rPr>
          <w:rFonts w:ascii="Arial" w:cs="Arial" w:eastAsia="Arial" w:hAnsi="Arial"/>
          <w:sz w:val="16"/>
          <w:szCs w:val="16"/>
          <w:color w:val="auto"/>
        </w:rPr>
        <w:t>We aim to develop products with novel mechanisms of action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intended indications that may yield differentiated product profiles. For example, AXS</w:t>
      </w:r>
      <w:r>
        <w:rPr>
          <w:rFonts w:ascii="MS PGothic" w:cs="MS PGothic" w:eastAsia="MS PGothic" w:hAnsi="MS PGothic"/>
          <w:sz w:val="16"/>
          <w:szCs w:val="16"/>
          <w:color w:val="auto"/>
        </w:rPr>
        <w:t>‑</w:t>
      </w:r>
      <w:r>
        <w:rPr>
          <w:rFonts w:ascii="Arial" w:cs="Arial" w:eastAsia="Arial" w:hAnsi="Arial"/>
          <w:sz w:val="16"/>
          <w:szCs w:val="16"/>
          <w:color w:val="auto"/>
        </w:rPr>
        <w:t>05 and AXS-09 combine several mechanisms of action resulting in a unique pharmacological profile that may be relevant to the treatment of numerous CNS disorders. The MoSEIC technology is designed to improve the absorption of drug molecules after oral administration and is utilized in our AXS-06 and AXS-07 product candidates. AXS</w:t>
      </w:r>
      <w:r>
        <w:rPr>
          <w:rFonts w:ascii="MS PGothic" w:cs="MS PGothic" w:eastAsia="MS PGothic" w:hAnsi="MS PGothic"/>
          <w:sz w:val="16"/>
          <w:szCs w:val="16"/>
          <w:color w:val="auto"/>
        </w:rPr>
        <w:t>‑</w:t>
      </w:r>
      <w:r>
        <w:rPr>
          <w:rFonts w:ascii="Arial" w:cs="Arial" w:eastAsia="Arial" w:hAnsi="Arial"/>
          <w:sz w:val="16"/>
          <w:szCs w:val="16"/>
          <w:color w:val="auto"/>
        </w:rPr>
        <w:t>02 utilizes a potentially first</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class mechanism of action for the treatment of pain that may result in analgesia that lasts for one or more months after treatment. We believe that products with clearly differentiated features will be attractive to patients and their physicians, and will provide us with a competitive commercial advantage.</w:t>
      </w:r>
    </w:p>
    <w:p>
      <w:pPr>
        <w:spacing w:after="0" w:line="167" w:lineRule="exact"/>
        <w:rPr>
          <w:rFonts w:ascii="Arial" w:cs="Arial" w:eastAsia="Arial" w:hAnsi="Arial"/>
          <w:sz w:val="16"/>
          <w:szCs w:val="16"/>
          <w:color w:val="auto"/>
        </w:rPr>
      </w:pPr>
    </w:p>
    <w:p>
      <w:pPr>
        <w:ind w:left="980" w:right="120" w:hanging="329"/>
        <w:spacing w:after="0" w:line="180" w:lineRule="exact"/>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Use biomarkers to define specific patient subsets for our pain indications. </w:t>
      </w:r>
      <w:r>
        <w:rPr>
          <w:rFonts w:ascii="Arial" w:cs="Arial" w:eastAsia="Arial" w:hAnsi="Arial"/>
          <w:sz w:val="17"/>
          <w:szCs w:val="17"/>
          <w:color w:val="auto"/>
        </w:rPr>
        <w:t>We are using biomarkers, such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BMLs and MCs, which are visible on magnetic resonance imaging, or MRI, to define specific subsets of patients who we believe are more likely to respond to the mechanisms of action of AXS</w:t>
      </w:r>
      <w:r>
        <w:rPr>
          <w:rFonts w:ascii="MS PGothic" w:cs="MS PGothic" w:eastAsia="MS PGothic" w:hAnsi="MS PGothic"/>
          <w:sz w:val="17"/>
          <w:szCs w:val="17"/>
          <w:color w:val="auto"/>
        </w:rPr>
        <w:t>‑</w:t>
      </w:r>
      <w:r>
        <w:rPr>
          <w:rFonts w:ascii="Arial" w:cs="Arial" w:eastAsia="Arial" w:hAnsi="Arial"/>
          <w:sz w:val="17"/>
          <w:szCs w:val="17"/>
          <w:color w:val="auto"/>
        </w:rPr>
        <w:t>02. Biomarkers have been used successfully in connection with oncology treatments, but are not commonly used with pain therapeutics. While patients with common pain conditions, such as knee OA and CLBP, experience similar symptoms, these symptoms may be due to different underlying conditions. We believe that the variability in underlying conditions contributes to heterogeneity in these populations and may account for observed differences in treatment response. We believe that our targeted biomarker approach may result in a less heterogeneous patient population in our clinical trials, which may improve our ability to demonstrate a treatment effect and, if approved, enable treatment of more appropriate patient populations with our product candidates.</w:t>
      </w:r>
    </w:p>
    <w:p>
      <w:pPr>
        <w:spacing w:after="0" w:line="167" w:lineRule="exact"/>
        <w:rPr>
          <w:rFonts w:ascii="Arial" w:cs="Arial" w:eastAsia="Arial" w:hAnsi="Arial"/>
          <w:sz w:val="17"/>
          <w:szCs w:val="17"/>
          <w:color w:val="auto"/>
        </w:rPr>
      </w:pPr>
    </w:p>
    <w:p>
      <w:pPr>
        <w:ind w:left="980" w:hanging="329"/>
        <w:spacing w:after="0" w:line="180" w:lineRule="exact"/>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Reduce clinical and regulatory risk, limit development costs, and accelerate time to market. </w:t>
      </w:r>
      <w:r>
        <w:rPr>
          <w:rFonts w:ascii="Arial" w:cs="Arial" w:eastAsia="Arial" w:hAnsi="Arial"/>
          <w:sz w:val="17"/>
          <w:szCs w:val="17"/>
          <w:color w:val="auto"/>
        </w:rPr>
        <w:t>Our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candidates incorporate chemical entities with long histories of clinical use and well</w:t>
      </w:r>
      <w:r>
        <w:rPr>
          <w:rFonts w:ascii="MS PGothic" w:cs="MS PGothic" w:eastAsia="MS PGothic" w:hAnsi="MS PGothic"/>
          <w:sz w:val="17"/>
          <w:szCs w:val="17"/>
          <w:color w:val="auto"/>
        </w:rPr>
        <w:t>‑</w:t>
      </w:r>
      <w:r>
        <w:rPr>
          <w:rFonts w:ascii="Arial" w:cs="Arial" w:eastAsia="Arial" w:hAnsi="Arial"/>
          <w:sz w:val="17"/>
          <w:szCs w:val="17"/>
          <w:color w:val="auto"/>
        </w:rPr>
        <w:t>characterized safety profiles. Use of well</w:t>
      </w:r>
      <w:r>
        <w:rPr>
          <w:rFonts w:ascii="MS PGothic" w:cs="MS PGothic" w:eastAsia="MS PGothic" w:hAnsi="MS PGothic"/>
          <w:sz w:val="17"/>
          <w:szCs w:val="17"/>
          <w:color w:val="auto"/>
        </w:rPr>
        <w:t>‑</w:t>
      </w:r>
      <w:r>
        <w:rPr>
          <w:rFonts w:ascii="Arial" w:cs="Arial" w:eastAsia="Arial" w:hAnsi="Arial"/>
          <w:sz w:val="17"/>
          <w:szCs w:val="17"/>
          <w:color w:val="auto"/>
        </w:rPr>
        <w:t>characterized molecules has allowed us to rapidly complete early clinical development of our product candidates, and may reduce the risk of late</w:t>
      </w:r>
      <w:r>
        <w:rPr>
          <w:rFonts w:ascii="MS PGothic" w:cs="MS PGothic" w:eastAsia="MS PGothic" w:hAnsi="MS PGothic"/>
          <w:sz w:val="17"/>
          <w:szCs w:val="17"/>
          <w:color w:val="auto"/>
        </w:rPr>
        <w:t>‑</w:t>
      </w:r>
      <w:r>
        <w:rPr>
          <w:rFonts w:ascii="Arial" w:cs="Arial" w:eastAsia="Arial" w:hAnsi="Arial"/>
          <w:sz w:val="17"/>
          <w:szCs w:val="17"/>
          <w:color w:val="auto"/>
        </w:rPr>
        <w:t>stage clinical failures due to unexpected toxicities. This strategy also allows us to seek FDA approval for our product candidates using the 505(b)(2) regulatory pathway. Section 505(b)(2) of the Federal Food, Drug, and Cosmetic Act, or FDCA, permits an applicant to file a new drug application, or NDA, that relies, in part, on the FDA’s prior findings of safety and efficacy in the approval of a similar drug, or on published literature. It therefore allows us to leverage previous preclinical and clinical experience with the active molecules in our product candidates and potentially forego conducting certain lengthy and costly preclinical studies, reduce clinical and regulatory risk, limit development costs, and accelerate our time to commercialization.</w:t>
      </w:r>
    </w:p>
    <w:p>
      <w:pPr>
        <w:spacing w:after="0" w:line="167" w:lineRule="exact"/>
        <w:rPr>
          <w:rFonts w:ascii="Arial" w:cs="Arial" w:eastAsia="Arial" w:hAnsi="Arial"/>
          <w:sz w:val="17"/>
          <w:szCs w:val="17"/>
          <w:color w:val="auto"/>
        </w:rPr>
      </w:pPr>
    </w:p>
    <w:p>
      <w:pPr>
        <w:ind w:left="980" w:right="80" w:hanging="329"/>
        <w:spacing w:after="0" w:line="184" w:lineRule="exact"/>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Retain commercial rights in the United States, where appropriate, and selectively partner outside of the United States to maximize the value of our product candidates. </w:t>
      </w:r>
      <w:r>
        <w:rPr>
          <w:rFonts w:ascii="Arial" w:cs="Arial" w:eastAsia="Arial" w:hAnsi="Arial"/>
          <w:sz w:val="16"/>
          <w:szCs w:val="16"/>
          <w:color w:val="auto"/>
        </w:rPr>
        <w:t>We intend to commercialize our 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candidates, if approved, in the United States through the establishment of our own focused, cost</w:t>
      </w:r>
      <w:r>
        <w:rPr>
          <w:rFonts w:ascii="MS PGothic" w:cs="MS PGothic" w:eastAsia="MS PGothic" w:hAnsi="MS PGothic"/>
          <w:sz w:val="16"/>
          <w:szCs w:val="16"/>
          <w:color w:val="auto"/>
        </w:rPr>
        <w:t>‑</w:t>
      </w:r>
      <w:r>
        <w:rPr>
          <w:rFonts w:ascii="Arial" w:cs="Arial" w:eastAsia="Arial" w:hAnsi="Arial"/>
          <w:sz w:val="16"/>
          <w:szCs w:val="16"/>
          <w:color w:val="auto"/>
        </w:rPr>
        <w:t>effective sales and marketing organization targeting high</w:t>
      </w:r>
      <w:r>
        <w:rPr>
          <w:rFonts w:ascii="MS PGothic" w:cs="MS PGothic" w:eastAsia="MS PGothic" w:hAnsi="MS PGothic"/>
          <w:sz w:val="16"/>
          <w:szCs w:val="16"/>
          <w:color w:val="auto"/>
        </w:rPr>
        <w:t>‑</w:t>
      </w:r>
      <w:r>
        <w:rPr>
          <w:rFonts w:ascii="Arial" w:cs="Arial" w:eastAsia="Arial" w:hAnsi="Arial"/>
          <w:sz w:val="16"/>
          <w:szCs w:val="16"/>
          <w:color w:val="auto"/>
        </w:rPr>
        <w:t>prescribing specialists. We intend to selectively partner commercial rights outside of the United States with third parties to maximize the value of our product candidates without the substantial investment required to develop independent sales forces in those geographies. We continue to evaluate strategic options for the commercialization of our other product candidates.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current product candidate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wp:posOffset>
            </wp:positionH>
            <wp:positionV relativeFrom="paragraph">
              <wp:posOffset>135255</wp:posOffset>
            </wp:positionV>
            <wp:extent cx="4827905" cy="2229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827905"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AXS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05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AXS</w:t>
      </w:r>
      <w:r>
        <w:rPr>
          <w:rFonts w:ascii="MS PGothic" w:cs="MS PGothic" w:eastAsia="MS PGothic" w:hAnsi="MS PGothic"/>
          <w:sz w:val="18"/>
          <w:szCs w:val="18"/>
          <w:color w:val="auto"/>
        </w:rPr>
        <w:t>‑</w:t>
      </w:r>
      <w:r>
        <w:rPr>
          <w:rFonts w:ascii="Arial" w:cs="Arial" w:eastAsia="Arial" w:hAnsi="Arial"/>
          <w:sz w:val="18"/>
          <w:szCs w:val="18"/>
          <w:color w:val="auto"/>
        </w:rPr>
        <w:t>05 is an innovative oral fixed</w:t>
      </w:r>
      <w:r>
        <w:rPr>
          <w:rFonts w:ascii="MS PGothic" w:cs="MS PGothic" w:eastAsia="MS PGothic" w:hAnsi="MS PGothic"/>
          <w:sz w:val="18"/>
          <w:szCs w:val="18"/>
          <w:color w:val="auto"/>
        </w:rPr>
        <w:t>‑</w:t>
      </w:r>
      <w:r>
        <w:rPr>
          <w:rFonts w:ascii="Arial" w:cs="Arial" w:eastAsia="Arial" w:hAnsi="Arial"/>
          <w:sz w:val="18"/>
          <w:szCs w:val="18"/>
          <w:color w:val="auto"/>
        </w:rPr>
        <w:t>dose combination of dextromethorphan and bupropion under development for the treatment of CNS disorders. DM is active at multiple CNS receptors but is rapidly metabolized into dextrorphan, or DXO, when dosed alone. Our combination uses bupropion as a novel drug delivery method to inhibit DM metabolism and increase its bioavailability. Bupropion itself is also active at distinct CNS receptors. The activity of the two components may provide an additive or synergistic effect.</w:t>
      </w:r>
    </w:p>
    <w:p>
      <w:pPr>
        <w:spacing w:after="0" w:line="162" w:lineRule="exact"/>
        <w:rPr>
          <w:sz w:val="20"/>
          <w:szCs w:val="20"/>
          <w:color w:val="auto"/>
        </w:rPr>
      </w:pPr>
    </w:p>
    <w:p>
      <w:pPr>
        <w:ind w:right="100" w:firstLine="648"/>
        <w:spacing w:after="0" w:line="194" w:lineRule="exact"/>
        <w:rPr>
          <w:sz w:val="20"/>
          <w:szCs w:val="20"/>
          <w:color w:val="auto"/>
        </w:rPr>
      </w:pPr>
      <w:r>
        <w:rPr>
          <w:rFonts w:ascii="Arial" w:cs="Arial" w:eastAsia="Arial" w:hAnsi="Arial"/>
          <w:sz w:val="17"/>
          <w:szCs w:val="17"/>
          <w:color w:val="auto"/>
        </w:rPr>
        <w:t>AXS</w:t>
      </w:r>
      <w:r>
        <w:rPr>
          <w:rFonts w:ascii="MS PGothic" w:cs="MS PGothic" w:eastAsia="MS PGothic" w:hAnsi="MS PGothic"/>
          <w:sz w:val="17"/>
          <w:szCs w:val="17"/>
          <w:color w:val="auto"/>
        </w:rPr>
        <w:t>‑</w:t>
      </w:r>
      <w:r>
        <w:rPr>
          <w:rFonts w:ascii="Arial" w:cs="Arial" w:eastAsia="Arial" w:hAnsi="Arial"/>
          <w:sz w:val="17"/>
          <w:szCs w:val="17"/>
          <w:color w:val="auto"/>
        </w:rPr>
        <w:t>05 is potentially applicable to the treatment of a variety of CNS disorders, based on the mechanisms of action of its two components. We are developing AXS</w:t>
      </w:r>
      <w:r>
        <w:rPr>
          <w:rFonts w:ascii="MS PGothic" w:cs="MS PGothic" w:eastAsia="MS PGothic" w:hAnsi="MS PGothic"/>
          <w:sz w:val="17"/>
          <w:szCs w:val="17"/>
          <w:color w:val="auto"/>
        </w:rPr>
        <w:t>‑</w:t>
      </w:r>
      <w:r>
        <w:rPr>
          <w:rFonts w:ascii="Arial" w:cs="Arial" w:eastAsia="Arial" w:hAnsi="Arial"/>
          <w:sz w:val="17"/>
          <w:szCs w:val="17"/>
          <w:color w:val="auto"/>
        </w:rPr>
        <w:t>05 initially as a therapeutic for treatment resistant depression, or TRD, agitation associated with Alzheimer’s disease, or AD,and as an aid to smoking cessation.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Scientific Rationale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135255</wp:posOffset>
            </wp:positionV>
            <wp:extent cx="4528185" cy="25126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28185"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60" w:firstLine="648"/>
        <w:spacing w:after="0" w:line="181" w:lineRule="exact"/>
        <w:rPr>
          <w:sz w:val="20"/>
          <w:szCs w:val="20"/>
          <w:color w:val="auto"/>
        </w:rPr>
      </w:pPr>
      <w:r>
        <w:rPr>
          <w:rFonts w:ascii="Arial" w:cs="Arial" w:eastAsia="Arial" w:hAnsi="Arial"/>
          <w:sz w:val="17"/>
          <w:szCs w:val="17"/>
          <w:color w:val="auto"/>
        </w:rPr>
        <w:t>DM and bupropion each target different CNS receptor systems that are potentially relevant to the treatment of CNS disorders. Combining the distinct and independent mechanisms of action of these two compounds may be additive or synergistic in the treatment of depression and other CNS disorders. However, as shown in the figure above, DM is quickly eliminated from the body following administration due to extensive first pass metabolism, which results in low blood levels even at high doses. Attainment of potential therapeutic plasma levels of DM is therefore difficult when DM is dosed as a single agent. We have demonstrated in three Phase 1 trials that co</w:t>
      </w:r>
      <w:r>
        <w:rPr>
          <w:rFonts w:ascii="MS PGothic" w:cs="MS PGothic" w:eastAsia="MS PGothic" w:hAnsi="MS PGothic"/>
          <w:sz w:val="17"/>
          <w:szCs w:val="17"/>
          <w:color w:val="auto"/>
        </w:rPr>
        <w:t>‑</w:t>
      </w:r>
      <w:r>
        <w:rPr>
          <w:rFonts w:ascii="Arial" w:cs="Arial" w:eastAsia="Arial" w:hAnsi="Arial"/>
          <w:sz w:val="17"/>
          <w:szCs w:val="17"/>
          <w:color w:val="auto"/>
        </w:rPr>
        <w:t>administration of bupropion and DM leads to substantially increased DM plasma levels. This positive pharmacokinetic interaction between bupropion and DM therefore may enable DM’s clinical utility by increasing DM’s plasma levels into a potentially therapeutic range. We believe this dual pharmacodynamic and pharmacokinetic synergy results in a unique pharmacological profile that could potentially be efficacious in CNS disorders.</w:t>
      </w:r>
    </w:p>
    <w:p>
      <w:pPr>
        <w:spacing w:after="0" w:line="164"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Bupropion is a well</w:t>
      </w:r>
      <w:r>
        <w:rPr>
          <w:rFonts w:ascii="MS PGothic" w:cs="MS PGothic" w:eastAsia="MS PGothic" w:hAnsi="MS PGothic"/>
          <w:sz w:val="17"/>
          <w:szCs w:val="17"/>
          <w:color w:val="auto"/>
        </w:rPr>
        <w:t>‑</w:t>
      </w:r>
      <w:r>
        <w:rPr>
          <w:rFonts w:ascii="Arial" w:cs="Arial" w:eastAsia="Arial" w:hAnsi="Arial"/>
          <w:sz w:val="17"/>
          <w:szCs w:val="17"/>
          <w:color w:val="auto"/>
        </w:rPr>
        <w:t>characterized antidepressant that is chemically unrelated to tricyclic, tetracyclic, selective serotonin reuptake inhibitor, or other known antidepressant agents. It is an inhibitor of the neuronal uptake of norepinephrine and dopamine, and does not inhibit monoamine oxidase or the reuptake of serotonin. It is the only antidepressant currently available that is capable of selectively inhibiting both dopamine and norepinephrine reuptake. Bupropion was approved in the United States in 1985 and is marketed under the trade name Wellbutrin for the treatment of major depressive disorder, or MDD, and under the trade name Zyban as an aid to smoking cessation.</w:t>
      </w:r>
    </w:p>
    <w:p>
      <w:pPr>
        <w:spacing w:after="0" w:line="165" w:lineRule="exact"/>
        <w:rPr>
          <w:sz w:val="20"/>
          <w:szCs w:val="20"/>
          <w:color w:val="auto"/>
        </w:rPr>
      </w:pPr>
    </w:p>
    <w:p>
      <w:pPr>
        <w:ind w:right="40" w:firstLine="648"/>
        <w:spacing w:after="0" w:line="184" w:lineRule="exact"/>
        <w:rPr>
          <w:sz w:val="20"/>
          <w:szCs w:val="20"/>
          <w:color w:val="auto"/>
        </w:rPr>
      </w:pPr>
      <w:r>
        <w:rPr>
          <w:rFonts w:ascii="Arial" w:cs="Arial" w:eastAsia="Arial" w:hAnsi="Arial"/>
          <w:sz w:val="17"/>
          <w:szCs w:val="17"/>
          <w:color w:val="auto"/>
        </w:rPr>
        <w:t>DM is a noncompetitive N</w:t>
      </w:r>
      <w:r>
        <w:rPr>
          <w:rFonts w:ascii="MS PGothic" w:cs="MS PGothic" w:eastAsia="MS PGothic" w:hAnsi="MS PGothic"/>
          <w:sz w:val="17"/>
          <w:szCs w:val="17"/>
          <w:color w:val="auto"/>
        </w:rPr>
        <w:t>‑</w:t>
      </w:r>
      <w:r>
        <w:rPr>
          <w:rFonts w:ascii="Arial" w:cs="Arial" w:eastAsia="Arial" w:hAnsi="Arial"/>
          <w:sz w:val="17"/>
          <w:szCs w:val="17"/>
          <w:color w:val="auto"/>
        </w:rPr>
        <w:t>methyl</w:t>
      </w:r>
      <w:r>
        <w:rPr>
          <w:rFonts w:ascii="MS PGothic" w:cs="MS PGothic" w:eastAsia="MS PGothic" w:hAnsi="MS PGothic"/>
          <w:sz w:val="17"/>
          <w:szCs w:val="17"/>
          <w:color w:val="auto"/>
        </w:rPr>
        <w:t>‑</w:t>
      </w:r>
      <w:r>
        <w:rPr>
          <w:rFonts w:ascii="Arial" w:cs="Arial" w:eastAsia="Arial" w:hAnsi="Arial"/>
          <w:sz w:val="17"/>
          <w:szCs w:val="17"/>
          <w:color w:val="auto"/>
        </w:rPr>
        <w:t>D</w:t>
      </w:r>
      <w:r>
        <w:rPr>
          <w:rFonts w:ascii="MS PGothic" w:cs="MS PGothic" w:eastAsia="MS PGothic" w:hAnsi="MS PGothic"/>
          <w:sz w:val="17"/>
          <w:szCs w:val="17"/>
          <w:color w:val="auto"/>
        </w:rPr>
        <w:t>‑</w:t>
      </w:r>
      <w:r>
        <w:rPr>
          <w:rFonts w:ascii="Arial" w:cs="Arial" w:eastAsia="Arial" w:hAnsi="Arial"/>
          <w:sz w:val="17"/>
          <w:szCs w:val="17"/>
          <w:color w:val="auto"/>
        </w:rPr>
        <w:t>aspartate, or NMDA, receptor antagonist, a sigma</w:t>
      </w:r>
      <w:r>
        <w:rPr>
          <w:rFonts w:ascii="MS PGothic" w:cs="MS PGothic" w:eastAsia="MS PGothic" w:hAnsi="MS PGothic"/>
          <w:sz w:val="17"/>
          <w:szCs w:val="17"/>
          <w:color w:val="auto"/>
        </w:rPr>
        <w:t>‑</w:t>
      </w:r>
      <w:r>
        <w:rPr>
          <w:rFonts w:ascii="Arial" w:cs="Arial" w:eastAsia="Arial" w:hAnsi="Arial"/>
          <w:sz w:val="17"/>
          <w:szCs w:val="17"/>
          <w:color w:val="auto"/>
        </w:rPr>
        <w:t>1 receptor agonist, and an inhibitor of the serotonin transporter, or SERT, and norepinephrine transporter, or NET. Each of these mechanisms of action has been shown to be associated with antidepressant response. DM is a well</w:t>
      </w:r>
      <w:r>
        <w:rPr>
          <w:rFonts w:ascii="MS PGothic" w:cs="MS PGothic" w:eastAsia="MS PGothic" w:hAnsi="MS PGothic"/>
          <w:sz w:val="17"/>
          <w:szCs w:val="17"/>
          <w:color w:val="auto"/>
        </w:rPr>
        <w:t>‑</w:t>
      </w:r>
      <w:r>
        <w:rPr>
          <w:rFonts w:ascii="Arial" w:cs="Arial" w:eastAsia="Arial" w:hAnsi="Arial"/>
          <w:sz w:val="17"/>
          <w:szCs w:val="17"/>
          <w:color w:val="auto"/>
        </w:rPr>
        <w:t>known agent that is used as an ingredient in over</w:t>
      </w:r>
      <w:r>
        <w:rPr>
          <w:rFonts w:ascii="MS PGothic" w:cs="MS PGothic" w:eastAsia="MS PGothic" w:hAnsi="MS PGothic"/>
          <w:sz w:val="17"/>
          <w:szCs w:val="17"/>
          <w:color w:val="auto"/>
        </w:rPr>
        <w:t>‑</w:t>
      </w:r>
      <w:r>
        <w:rPr>
          <w:rFonts w:ascii="Arial" w:cs="Arial" w:eastAsia="Arial" w:hAnsi="Arial"/>
          <w:sz w:val="17"/>
          <w:szCs w:val="17"/>
          <w:color w:val="auto"/>
        </w:rPr>
        <w:t>the</w:t>
      </w:r>
      <w:r>
        <w:rPr>
          <w:rFonts w:ascii="MS PGothic" w:cs="MS PGothic" w:eastAsia="MS PGothic" w:hAnsi="MS PGothic"/>
          <w:sz w:val="17"/>
          <w:szCs w:val="17"/>
          <w:color w:val="auto"/>
        </w:rPr>
        <w:t>‑</w:t>
      </w:r>
      <w:r>
        <w:rPr>
          <w:rFonts w:ascii="Arial" w:cs="Arial" w:eastAsia="Arial" w:hAnsi="Arial"/>
          <w:sz w:val="17"/>
          <w:szCs w:val="17"/>
          <w:color w:val="auto"/>
        </w:rPr>
        <w:t>counter cough and cold preparations. DM, in combination with quinidine, was approved by the FDA in 2010 for the treatment of pseudobulbar affect, also known as emotional lability. Like bupropion in our product candidate, quinidine is used to inhibit the metabolism of DM and increase its plasma concentrations. Unlike bupropion, however, the quinidine in the preparation does not have CNS activity.</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Resistant Depression (TRD)</w:t>
      </w:r>
    </w:p>
    <w:p>
      <w:pPr>
        <w:spacing w:after="0" w:line="185" w:lineRule="exact"/>
        <w:rPr>
          <w:sz w:val="20"/>
          <w:szCs w:val="20"/>
          <w:color w:val="auto"/>
        </w:rPr>
      </w:pPr>
    </w:p>
    <w:p>
      <w:pPr>
        <w:ind w:right="40" w:firstLine="648"/>
        <w:spacing w:after="0" w:line="194" w:lineRule="exact"/>
        <w:rPr>
          <w:sz w:val="20"/>
          <w:szCs w:val="20"/>
          <w:color w:val="auto"/>
        </w:rPr>
      </w:pPr>
      <w:r>
        <w:rPr>
          <w:rFonts w:ascii="Arial" w:cs="Arial" w:eastAsia="Arial" w:hAnsi="Arial"/>
          <w:sz w:val="18"/>
          <w:szCs w:val="18"/>
          <w:color w:val="auto"/>
        </w:rPr>
        <w:t>We are developing AXS</w:t>
      </w:r>
      <w:r>
        <w:rPr>
          <w:rFonts w:ascii="MS PGothic" w:cs="MS PGothic" w:eastAsia="MS PGothic" w:hAnsi="MS PGothic"/>
          <w:sz w:val="18"/>
          <w:szCs w:val="18"/>
          <w:color w:val="auto"/>
        </w:rPr>
        <w:t>‑</w:t>
      </w:r>
      <w:r>
        <w:rPr>
          <w:rFonts w:ascii="Arial" w:cs="Arial" w:eastAsia="Arial" w:hAnsi="Arial"/>
          <w:sz w:val="18"/>
          <w:szCs w:val="18"/>
          <w:color w:val="auto"/>
        </w:rPr>
        <w:t>05 for the treatment of TRD. Currently only one product, Symbyax, a combination of olanzapine and fluoxetine, which is marketed by Eli Lilly and Company, is approved in the United States for the treatment of TRD.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Indication Overview</w:t>
      </w:r>
    </w:p>
    <w:p>
      <w:pPr>
        <w:spacing w:after="0" w:line="185"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Patients diagnosed with MDD are defined as having TRD if they have failed two or more antidepressant therapies. MDD is a serious condition characterized by depressed mood or a loss of interest or pleasure in daily activities consistently for at least a two</w:t>
      </w:r>
      <w:r>
        <w:rPr>
          <w:rFonts w:ascii="MS PGothic" w:cs="MS PGothic" w:eastAsia="MS PGothic" w:hAnsi="MS PGothic"/>
          <w:sz w:val="16"/>
          <w:szCs w:val="16"/>
          <w:color w:val="auto"/>
        </w:rPr>
        <w:t>‑</w:t>
      </w:r>
      <w:r>
        <w:rPr>
          <w:rFonts w:ascii="Arial" w:cs="Arial" w:eastAsia="Arial" w:hAnsi="Arial"/>
          <w:sz w:val="16"/>
          <w:szCs w:val="16"/>
          <w:color w:val="auto"/>
        </w:rPr>
        <w:t>week period, and which impairs social, occupational, educational, or other important functioning. MDD is highly prevalent and difficult to treat. According to the National Institute of Health, or NIH, an estimated 6.7% of U.S. adults experience MDD each year, while 3.3% of individuals 13 to 18 years of age experience a seriously debilitating depressive disorder. Results of the Sequenced Treatment Alternatives to Relieve Depression, or STAR*D trial, funded by the National Institute of Mental Health, indicate that nearly two</w:t>
      </w:r>
      <w:r>
        <w:rPr>
          <w:rFonts w:ascii="MS PGothic" w:cs="MS PGothic" w:eastAsia="MS PGothic" w:hAnsi="MS PGothic"/>
          <w:sz w:val="16"/>
          <w:szCs w:val="16"/>
          <w:color w:val="auto"/>
        </w:rPr>
        <w:t>‑</w:t>
      </w:r>
      <w:r>
        <w:rPr>
          <w:rFonts w:ascii="Arial" w:cs="Arial" w:eastAsia="Arial" w:hAnsi="Arial"/>
          <w:sz w:val="16"/>
          <w:szCs w:val="16"/>
          <w:color w:val="auto"/>
        </w:rPr>
        <w:t>thirds of diagnosed and treated patients do not experience adequate treatment response with first</w:t>
      </w:r>
      <w:r>
        <w:rPr>
          <w:rFonts w:ascii="MS PGothic" w:cs="MS PGothic" w:eastAsia="MS PGothic" w:hAnsi="MS PGothic"/>
          <w:sz w:val="16"/>
          <w:szCs w:val="16"/>
          <w:color w:val="auto"/>
        </w:rPr>
        <w:t>‑</w:t>
      </w:r>
      <w:r>
        <w:rPr>
          <w:rFonts w:ascii="Arial" w:cs="Arial" w:eastAsia="Arial" w:hAnsi="Arial"/>
          <w:sz w:val="16"/>
          <w:szCs w:val="16"/>
          <w:color w:val="auto"/>
        </w:rPr>
        <w:t>line therapy, and that the majority of these initial failures also fail second</w:t>
      </w:r>
      <w:r>
        <w:rPr>
          <w:rFonts w:ascii="MS PGothic" w:cs="MS PGothic" w:eastAsia="MS PGothic" w:hAnsi="MS PGothic"/>
          <w:sz w:val="16"/>
          <w:szCs w:val="16"/>
          <w:color w:val="auto"/>
        </w:rPr>
        <w:t>‑</w:t>
      </w:r>
      <w:r>
        <w:rPr>
          <w:rFonts w:ascii="Arial" w:cs="Arial" w:eastAsia="Arial" w:hAnsi="Arial"/>
          <w:sz w:val="16"/>
          <w:szCs w:val="16"/>
          <w:color w:val="auto"/>
        </w:rPr>
        <w:t>line treatment. Based on these observations, we estimate that there are approximately 3 million patients with TRD in the United States.</w:t>
      </w:r>
    </w:p>
    <w:p>
      <w:pPr>
        <w:spacing w:after="0" w:line="168"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Rationale for the Use of AXS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05 in TRD</w:t>
      </w:r>
    </w:p>
    <w:p>
      <w:pPr>
        <w:spacing w:after="0" w:line="185" w:lineRule="exact"/>
        <w:rPr>
          <w:sz w:val="20"/>
          <w:szCs w:val="20"/>
          <w:color w:val="auto"/>
        </w:rPr>
      </w:pPr>
    </w:p>
    <w:p>
      <w:pPr>
        <w:jc w:val="both"/>
        <w:ind w:right="220" w:firstLine="648"/>
        <w:spacing w:after="0" w:line="194" w:lineRule="exact"/>
        <w:rPr>
          <w:sz w:val="20"/>
          <w:szCs w:val="20"/>
          <w:color w:val="auto"/>
        </w:rPr>
      </w:pPr>
      <w:r>
        <w:rPr>
          <w:rFonts w:ascii="Arial" w:cs="Arial" w:eastAsia="Arial" w:hAnsi="Arial"/>
          <w:sz w:val="18"/>
          <w:szCs w:val="18"/>
          <w:color w:val="auto"/>
        </w:rPr>
        <w:t>The rationale for the use of AXS</w:t>
      </w:r>
      <w:r>
        <w:rPr>
          <w:rFonts w:ascii="MS PGothic" w:cs="MS PGothic" w:eastAsia="MS PGothic" w:hAnsi="MS PGothic"/>
          <w:sz w:val="18"/>
          <w:szCs w:val="18"/>
          <w:color w:val="auto"/>
        </w:rPr>
        <w:t>‑</w:t>
      </w:r>
      <w:r>
        <w:rPr>
          <w:rFonts w:ascii="Arial" w:cs="Arial" w:eastAsia="Arial" w:hAnsi="Arial"/>
          <w:sz w:val="18"/>
          <w:szCs w:val="18"/>
          <w:color w:val="auto"/>
        </w:rPr>
        <w:t>05 in TRD is based on the mechanisms of action of DM, preclinical evidence of antidepressant effects of DM, preliminary clinical evidence of antidepressant effects of DM when co</w:t>
      </w:r>
      <w:r>
        <w:rPr>
          <w:rFonts w:ascii="MS PGothic" w:cs="MS PGothic" w:eastAsia="MS PGothic" w:hAnsi="MS PGothic"/>
          <w:sz w:val="18"/>
          <w:szCs w:val="18"/>
          <w:color w:val="auto"/>
        </w:rPr>
        <w:t>‑</w:t>
      </w:r>
      <w:r>
        <w:rPr>
          <w:rFonts w:ascii="Arial" w:cs="Arial" w:eastAsia="Arial" w:hAnsi="Arial"/>
          <w:sz w:val="18"/>
          <w:szCs w:val="18"/>
          <w:color w:val="auto"/>
        </w:rPr>
        <w:t>administered with an inhibitor of its metabolism, and the established clinical efficacy of bupropion in MDD.</w:t>
      </w:r>
    </w:p>
    <w:p>
      <w:pPr>
        <w:spacing w:after="0" w:line="163" w:lineRule="exact"/>
        <w:rPr>
          <w:sz w:val="20"/>
          <w:szCs w:val="20"/>
          <w:color w:val="auto"/>
        </w:rPr>
      </w:pPr>
    </w:p>
    <w:p>
      <w:pPr>
        <w:ind w:firstLine="648"/>
        <w:spacing w:after="0" w:line="185" w:lineRule="exact"/>
        <w:rPr>
          <w:sz w:val="20"/>
          <w:szCs w:val="20"/>
          <w:color w:val="auto"/>
        </w:rPr>
      </w:pPr>
      <w:r>
        <w:rPr>
          <w:rFonts w:ascii="Arial" w:cs="Arial" w:eastAsia="Arial" w:hAnsi="Arial"/>
          <w:sz w:val="18"/>
          <w:szCs w:val="18"/>
          <w:i w:val="1"/>
          <w:iCs w:val="1"/>
          <w:color w:val="auto"/>
        </w:rPr>
        <w:t xml:space="preserve">Mechanistic rationale. </w:t>
      </w:r>
      <w:r>
        <w:rPr>
          <w:rFonts w:ascii="Arial" w:cs="Arial" w:eastAsia="Arial" w:hAnsi="Arial"/>
          <w:sz w:val="18"/>
          <w:szCs w:val="18"/>
          <w:color w:val="auto"/>
        </w:rPr>
        <w:t>DM’s mechanisms of action encompass those of several currently marketed antidepressant</w:t>
      </w:r>
      <w:r>
        <w:rPr>
          <w:rFonts w:ascii="Arial" w:cs="Arial" w:eastAsia="Arial" w:hAnsi="Arial"/>
          <w:sz w:val="18"/>
          <w:szCs w:val="18"/>
          <w:i w:val="1"/>
          <w:iCs w:val="1"/>
          <w:color w:val="auto"/>
        </w:rPr>
        <w:t xml:space="preserve"> </w:t>
      </w:r>
      <w:r>
        <w:rPr>
          <w:rFonts w:ascii="Arial" w:cs="Arial" w:eastAsia="Arial" w:hAnsi="Arial"/>
          <w:sz w:val="18"/>
          <w:szCs w:val="18"/>
          <w:color w:val="auto"/>
        </w:rPr>
        <w:t>drugs such as duloxetine (Cymbalta), fluoxetine (Prozac), and fluvoxamine (Luvox). Bupropion inhibits the reuptake of dopamine and is a nicotinic acetylocholine receptor antagonist. The distinct mechanisms of action of DM and bupropion may therefore be complementary. Additionally, we believe that, if successfully developed, the NMDA receptor antagonist properties of DM in AXS</w:t>
      </w:r>
      <w:r>
        <w:rPr>
          <w:rFonts w:ascii="MS PGothic" w:cs="MS PGothic" w:eastAsia="MS PGothic" w:hAnsi="MS PGothic"/>
          <w:sz w:val="18"/>
          <w:szCs w:val="18"/>
          <w:color w:val="auto"/>
        </w:rPr>
        <w:t>‑</w:t>
      </w:r>
      <w:r>
        <w:rPr>
          <w:rFonts w:ascii="Arial" w:cs="Arial" w:eastAsia="Arial" w:hAnsi="Arial"/>
          <w:sz w:val="18"/>
          <w:szCs w:val="18"/>
          <w:color w:val="auto"/>
        </w:rPr>
        <w:t>05 may potentially result in a faster onset of action than currently available antidepressant treatments.</w:t>
      </w:r>
    </w:p>
    <w:p>
      <w:pPr>
        <w:spacing w:after="0" w:line="162"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i w:val="1"/>
          <w:iCs w:val="1"/>
          <w:color w:val="auto"/>
        </w:rPr>
        <w:t xml:space="preserve">Preclinical rationale. </w:t>
      </w:r>
      <w:r>
        <w:rPr>
          <w:rFonts w:ascii="Arial" w:cs="Arial" w:eastAsia="Arial" w:hAnsi="Arial"/>
          <w:sz w:val="16"/>
          <w:szCs w:val="16"/>
          <w:color w:val="auto"/>
        </w:rPr>
        <w:t>The effects of DM have been reported in two preclinical models of antidepressant effect.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forced swim test model in mice, DM administered intraperitoneally resulted in antidepressant</w:t>
      </w:r>
      <w:r>
        <w:rPr>
          <w:rFonts w:ascii="MS PGothic" w:cs="MS PGothic" w:eastAsia="MS PGothic" w:hAnsi="MS PGothic"/>
          <w:sz w:val="16"/>
          <w:szCs w:val="16"/>
          <w:color w:val="auto"/>
        </w:rPr>
        <w:t>‑</w:t>
      </w:r>
      <w:r>
        <w:rPr>
          <w:rFonts w:ascii="Arial" w:cs="Arial" w:eastAsia="Arial" w:hAnsi="Arial"/>
          <w:sz w:val="16"/>
          <w:szCs w:val="16"/>
          <w:color w:val="auto"/>
        </w:rPr>
        <w:t>like effects in a dose</w:t>
      </w:r>
      <w:r>
        <w:rPr>
          <w:rFonts w:ascii="MS PGothic" w:cs="MS PGothic" w:eastAsia="MS PGothic" w:hAnsi="MS PGothic"/>
          <w:sz w:val="16"/>
          <w:szCs w:val="16"/>
          <w:color w:val="auto"/>
        </w:rPr>
        <w:t>‑</w:t>
      </w:r>
      <w:r>
        <w:rPr>
          <w:rFonts w:ascii="Arial" w:cs="Arial" w:eastAsia="Arial" w:hAnsi="Arial"/>
          <w:sz w:val="16"/>
          <w:szCs w:val="16"/>
          <w:color w:val="auto"/>
        </w:rPr>
        <w:t>dependent manner. The forced swim test is considered to be the most well</w:t>
      </w:r>
      <w:r>
        <w:rPr>
          <w:rFonts w:ascii="MS PGothic" w:cs="MS PGothic" w:eastAsia="MS PGothic" w:hAnsi="MS PGothic"/>
          <w:sz w:val="16"/>
          <w:szCs w:val="16"/>
          <w:color w:val="auto"/>
        </w:rPr>
        <w:t>‑</w:t>
      </w:r>
      <w:r>
        <w:rPr>
          <w:rFonts w:ascii="Arial" w:cs="Arial" w:eastAsia="Arial" w:hAnsi="Arial"/>
          <w:sz w:val="16"/>
          <w:szCs w:val="16"/>
          <w:color w:val="auto"/>
        </w:rPr>
        <w:t>validated animal model for predicting antidepressant effect. Using the tail suspension test in mice, another widely used behavioral test for assessing antidepressant potential, DM was also shown to display antidepressant</w:t>
      </w:r>
      <w:r>
        <w:rPr>
          <w:rFonts w:ascii="MS PGothic" w:cs="MS PGothic" w:eastAsia="MS PGothic" w:hAnsi="MS PGothic"/>
          <w:sz w:val="16"/>
          <w:szCs w:val="16"/>
          <w:color w:val="auto"/>
        </w:rPr>
        <w:t>‑</w:t>
      </w:r>
      <w:r>
        <w:rPr>
          <w:rFonts w:ascii="Arial" w:cs="Arial" w:eastAsia="Arial" w:hAnsi="Arial"/>
          <w:sz w:val="16"/>
          <w:szCs w:val="16"/>
          <w:color w:val="auto"/>
        </w:rPr>
        <w:t>like effects similar to those seen with imipramine, a conventional antidepressant, and ketamine, a compound that has demonstrated fast</w:t>
      </w:r>
      <w:r>
        <w:rPr>
          <w:rFonts w:ascii="MS PGothic" w:cs="MS PGothic" w:eastAsia="MS PGothic" w:hAnsi="MS PGothic"/>
          <w:sz w:val="16"/>
          <w:szCs w:val="16"/>
          <w:color w:val="auto"/>
        </w:rPr>
        <w:t>‑</w:t>
      </w:r>
      <w:r>
        <w:rPr>
          <w:rFonts w:ascii="Arial" w:cs="Arial" w:eastAsia="Arial" w:hAnsi="Arial"/>
          <w:sz w:val="16"/>
          <w:szCs w:val="16"/>
          <w:color w:val="auto"/>
        </w:rPr>
        <w:t>acting antidepressant effects. In both models, inhibition of DM metabolism using quinidine was shown to potentiate the antidepressant</w:t>
      </w:r>
      <w:r>
        <w:rPr>
          <w:rFonts w:ascii="MS PGothic" w:cs="MS PGothic" w:eastAsia="MS PGothic" w:hAnsi="MS PGothic"/>
          <w:sz w:val="16"/>
          <w:szCs w:val="16"/>
          <w:color w:val="auto"/>
        </w:rPr>
        <w:t>‑</w:t>
      </w:r>
      <w:r>
        <w:rPr>
          <w:rFonts w:ascii="Arial" w:cs="Arial" w:eastAsia="Arial" w:hAnsi="Arial"/>
          <w:sz w:val="16"/>
          <w:szCs w:val="16"/>
          <w:color w:val="auto"/>
        </w:rPr>
        <w:t>like effects.</w:t>
      </w:r>
    </w:p>
    <w:p>
      <w:pPr>
        <w:spacing w:after="0" w:line="163" w:lineRule="exact"/>
        <w:rPr>
          <w:sz w:val="20"/>
          <w:szCs w:val="20"/>
          <w:color w:val="auto"/>
        </w:rPr>
      </w:pPr>
    </w:p>
    <w:p>
      <w:pPr>
        <w:ind w:right="20" w:firstLine="648"/>
        <w:spacing w:after="0" w:line="184" w:lineRule="exact"/>
        <w:rPr>
          <w:sz w:val="20"/>
          <w:szCs w:val="20"/>
          <w:color w:val="auto"/>
        </w:rPr>
      </w:pPr>
      <w:r>
        <w:rPr>
          <w:rFonts w:ascii="Arial" w:cs="Arial" w:eastAsia="Arial" w:hAnsi="Arial"/>
          <w:sz w:val="16"/>
          <w:szCs w:val="16"/>
          <w:i w:val="1"/>
          <w:iCs w:val="1"/>
          <w:color w:val="auto"/>
        </w:rPr>
        <w:t xml:space="preserve">Clinical Rationale. </w:t>
      </w:r>
      <w:r>
        <w:rPr>
          <w:rFonts w:ascii="Arial" w:cs="Arial" w:eastAsia="Arial" w:hAnsi="Arial"/>
          <w:sz w:val="16"/>
          <w:szCs w:val="16"/>
          <w:color w:val="auto"/>
        </w:rPr>
        <w:t>Administration of DM with an inhibitor of its metabolism has been shown to reduce depressive</w:t>
      </w:r>
      <w:r>
        <w:rPr>
          <w:rFonts w:ascii="Arial" w:cs="Arial" w:eastAsia="Arial" w:hAnsi="Arial"/>
          <w:sz w:val="16"/>
          <w:szCs w:val="16"/>
          <w:i w:val="1"/>
          <w:iCs w:val="1"/>
          <w:color w:val="auto"/>
        </w:rPr>
        <w:t xml:space="preserve"> </w:t>
      </w:r>
      <w:r>
        <w:rPr>
          <w:rFonts w:ascii="Arial" w:cs="Arial" w:eastAsia="Arial" w:hAnsi="Arial"/>
          <w:sz w:val="16"/>
          <w:szCs w:val="16"/>
          <w:color w:val="auto"/>
        </w:rPr>
        <w:t>symptoms, measured using the Beck Depression Inventory Second Edition, or BDI</w:t>
      </w:r>
      <w:r>
        <w:rPr>
          <w:rFonts w:ascii="MS PGothic" w:cs="MS PGothic" w:eastAsia="MS PGothic" w:hAnsi="MS PGothic"/>
          <w:sz w:val="16"/>
          <w:szCs w:val="16"/>
          <w:color w:val="auto"/>
        </w:rPr>
        <w:t>‑</w:t>
      </w:r>
      <w:r>
        <w:rPr>
          <w:rFonts w:ascii="Arial" w:cs="Arial" w:eastAsia="Arial" w:hAnsi="Arial"/>
          <w:sz w:val="16"/>
          <w:szCs w:val="16"/>
          <w:color w:val="auto"/>
        </w:rPr>
        <w:t>II, in a third</w:t>
      </w:r>
      <w:r>
        <w:rPr>
          <w:rFonts w:ascii="MS PGothic" w:cs="MS PGothic" w:eastAsia="MS PGothic" w:hAnsi="MS PGothic"/>
          <w:sz w:val="16"/>
          <w:szCs w:val="16"/>
          <w:color w:val="auto"/>
        </w:rPr>
        <w:t>‑</w:t>
      </w:r>
      <w:r>
        <w:rPr>
          <w:rFonts w:ascii="Arial" w:cs="Arial" w:eastAsia="Arial" w:hAnsi="Arial"/>
          <w:sz w:val="16"/>
          <w:szCs w:val="16"/>
          <w:color w:val="auto"/>
        </w:rPr>
        <w:t>party study. In a 326</w:t>
      </w:r>
      <w:r>
        <w:rPr>
          <w:rFonts w:ascii="MS PGothic" w:cs="MS PGothic" w:eastAsia="MS PGothic" w:hAnsi="MS PGothic"/>
          <w:sz w:val="16"/>
          <w:szCs w:val="16"/>
          <w:color w:val="auto"/>
        </w:rPr>
        <w:t>‑</w:t>
      </w:r>
      <w:r>
        <w:rPr>
          <w:rFonts w:ascii="Arial" w:cs="Arial" w:eastAsia="Arial" w:hAnsi="Arial"/>
          <w:sz w:val="16"/>
          <w:szCs w:val="16"/>
          <w:color w:val="auto"/>
        </w:rPr>
        <w:t>patient, randomized, double</w:t>
      </w:r>
      <w:r>
        <w:rPr>
          <w:rFonts w:ascii="MS PGothic" w:cs="MS PGothic" w:eastAsia="MS PGothic" w:hAnsi="MS PGothic"/>
          <w:sz w:val="16"/>
          <w:szCs w:val="16"/>
          <w:color w:val="auto"/>
        </w:rPr>
        <w:t>‑</w:t>
      </w:r>
      <w:r>
        <w:rPr>
          <w:rFonts w:ascii="Arial" w:cs="Arial" w:eastAsia="Arial" w:hAnsi="Arial"/>
          <w:sz w:val="16"/>
          <w:szCs w:val="16"/>
          <w:color w:val="auto"/>
        </w:rPr>
        <w:t>blind, placebo</w:t>
      </w:r>
      <w:r>
        <w:rPr>
          <w:rFonts w:ascii="MS PGothic" w:cs="MS PGothic" w:eastAsia="MS PGothic" w:hAnsi="MS PGothic"/>
          <w:sz w:val="16"/>
          <w:szCs w:val="16"/>
          <w:color w:val="auto"/>
        </w:rPr>
        <w:t>‑</w:t>
      </w:r>
      <w:r>
        <w:rPr>
          <w:rFonts w:ascii="Arial" w:cs="Arial" w:eastAsia="Arial" w:hAnsi="Arial"/>
          <w:sz w:val="16"/>
          <w:szCs w:val="16"/>
          <w:color w:val="auto"/>
        </w:rPr>
        <w:t>controlled trial in patients with pseudobulbar affect, co</w:t>
      </w:r>
      <w:r>
        <w:rPr>
          <w:rFonts w:ascii="MS PGothic" w:cs="MS PGothic" w:eastAsia="MS PGothic" w:hAnsi="MS PGothic"/>
          <w:sz w:val="16"/>
          <w:szCs w:val="16"/>
          <w:color w:val="auto"/>
        </w:rPr>
        <w:t>‑</w:t>
      </w:r>
      <w:r>
        <w:rPr>
          <w:rFonts w:ascii="Arial" w:cs="Arial" w:eastAsia="Arial" w:hAnsi="Arial"/>
          <w:sz w:val="16"/>
          <w:szCs w:val="16"/>
          <w:color w:val="auto"/>
        </w:rPr>
        <w:t>administration of DM and the metabolic inhibitor quinidine resulted in a statistically significant reduction in depressive symptoms as compared to placebo at the 30 mg DM / 10 mg quinidine dose at 12 weeks, as shown in the figure below. Patients were excluded from the study if their BDI</w:t>
      </w:r>
      <w:r>
        <w:rPr>
          <w:rFonts w:ascii="MS PGothic" w:cs="MS PGothic" w:eastAsia="MS PGothic" w:hAnsi="MS PGothic"/>
          <w:sz w:val="16"/>
          <w:szCs w:val="16"/>
          <w:color w:val="auto"/>
        </w:rPr>
        <w:t>‑</w:t>
      </w:r>
      <w:r>
        <w:rPr>
          <w:rFonts w:ascii="Arial" w:cs="Arial" w:eastAsia="Arial" w:hAnsi="Arial"/>
          <w:sz w:val="16"/>
          <w:szCs w:val="16"/>
          <w:color w:val="auto"/>
        </w:rPr>
        <w:t>II score was greater than 19, with a score in the range of 0 to 13 corresponding to minimal depression and 14 to 19 corresponding to mild depression. Assessment of depressive symptoms was a pre</w:t>
      </w:r>
      <w:r>
        <w:rPr>
          <w:rFonts w:ascii="MS PGothic" w:cs="MS PGothic" w:eastAsia="MS PGothic" w:hAnsi="MS PGothic"/>
          <w:sz w:val="16"/>
          <w:szCs w:val="16"/>
          <w:color w:val="auto"/>
        </w:rPr>
        <w:t>‑</w:t>
      </w:r>
      <w:r>
        <w:rPr>
          <w:rFonts w:ascii="Arial" w:cs="Arial" w:eastAsia="Arial" w:hAnsi="Arial"/>
          <w:sz w:val="16"/>
          <w:szCs w:val="16"/>
          <w:color w:val="auto"/>
        </w:rPr>
        <w:t>specified secondary endpoint in this trial.</w:t>
      </w:r>
    </w:p>
    <w:p>
      <w:pPr>
        <w:spacing w:after="0" w:line="122" w:lineRule="exact"/>
        <w:rPr>
          <w:sz w:val="20"/>
          <w:szCs w:val="20"/>
          <w:color w:val="auto"/>
        </w:rPr>
      </w:pPr>
    </w:p>
    <w:p>
      <w:pPr>
        <w:ind w:right="100" w:firstLine="648"/>
        <w:spacing w:after="0" w:line="194" w:lineRule="exact"/>
        <w:rPr>
          <w:sz w:val="20"/>
          <w:szCs w:val="20"/>
          <w:color w:val="auto"/>
        </w:rPr>
      </w:pPr>
      <w:r>
        <w:rPr>
          <w:rFonts w:ascii="Arial" w:cs="Arial" w:eastAsia="Arial" w:hAnsi="Arial"/>
          <w:sz w:val="17"/>
          <w:szCs w:val="17"/>
          <w:color w:val="auto"/>
        </w:rPr>
        <w:t>Additionally, administration of DM with an inhibitor of its metabolism has also been shown to reduce depressive symptoms, measured using the Cornell Scale for Depression in Dementia, or CSDD, in a third</w:t>
      </w:r>
      <w:r>
        <w:rPr>
          <w:rFonts w:ascii="MS PGothic" w:cs="MS PGothic" w:eastAsia="MS PGothic" w:hAnsi="MS PGothic"/>
          <w:sz w:val="17"/>
          <w:szCs w:val="17"/>
          <w:color w:val="auto"/>
        </w:rPr>
        <w:t>‑</w:t>
      </w:r>
      <w:r>
        <w:rPr>
          <w:rFonts w:ascii="Arial" w:cs="Arial" w:eastAsia="Arial" w:hAnsi="Arial"/>
          <w:sz w:val="17"/>
          <w:szCs w:val="17"/>
          <w:color w:val="auto"/>
        </w:rPr>
        <w:t>party study. In a randomized, double-blind, placebo-controlled, two stage trial in 220 patients with probable AD and clinically</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spacing w:after="0" w:line="189" w:lineRule="exact"/>
        <w:rPr>
          <w:sz w:val="20"/>
          <w:szCs w:val="20"/>
          <w:color w:val="auto"/>
        </w:rPr>
      </w:pPr>
      <w:r>
        <w:rPr>
          <w:rFonts w:ascii="Arial" w:cs="Arial" w:eastAsia="Arial" w:hAnsi="Arial"/>
          <w:sz w:val="16"/>
          <w:szCs w:val="16"/>
          <w:color w:val="auto"/>
        </w:rPr>
        <w:t>meaningful agitation, co</w:t>
      </w:r>
      <w:r>
        <w:rPr>
          <w:rFonts w:ascii="MS PGothic" w:cs="MS PGothic" w:eastAsia="MS PGothic" w:hAnsi="MS PGothic"/>
          <w:sz w:val="16"/>
          <w:szCs w:val="16"/>
          <w:color w:val="auto"/>
        </w:rPr>
        <w:t>‑</w:t>
      </w:r>
      <w:r>
        <w:rPr>
          <w:rFonts w:ascii="Arial" w:cs="Arial" w:eastAsia="Arial" w:hAnsi="Arial"/>
          <w:sz w:val="16"/>
          <w:szCs w:val="16"/>
          <w:color w:val="auto"/>
        </w:rPr>
        <w:t>administration of DM and the metabolic inhibitor quinidine resulted in a statistically significant reduction in depressive symptoms as compared to placebo at the 30 mg DM / 10 mg quinidine dose at 5 weeks, as shown in the figure below. Patients with severe depression were excluded from the study. Assessment of depressive symptoms was a pre</w:t>
      </w:r>
      <w:r>
        <w:rPr>
          <w:rFonts w:ascii="MS PGothic" w:cs="MS PGothic" w:eastAsia="MS PGothic" w:hAnsi="MS PGothic"/>
          <w:sz w:val="16"/>
          <w:szCs w:val="16"/>
          <w:color w:val="auto"/>
        </w:rPr>
        <w:t>‑</w:t>
      </w:r>
      <w:r>
        <w:rPr>
          <w:rFonts w:ascii="Arial" w:cs="Arial" w:eastAsia="Arial" w:hAnsi="Arial"/>
          <w:sz w:val="16"/>
          <w:szCs w:val="16"/>
          <w:color w:val="auto"/>
        </w:rPr>
        <w:t>specified secondary endpoint in this trial. These studies potentially inform the assessment of DM for TRD.</w:t>
      </w:r>
    </w:p>
    <w:p>
      <w:pPr>
        <w:spacing w:after="0" w:line="164"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Administration of DM with an inhibitor of its metabolism has been shown to reduce depressive symptoms, measured using the Montgomery Asberg Depression Rating Scale, or MADRS, in patients with TRD, in a third party study. In a 20-patient, open-label trial in patients with TRD, co-administration of DM and the metabolic inhibitor quinidine resulted in a 45% overall response rate in the intention to treat sample, with response defined as a 50% or greater decrease in MADRS score from baseline to primary outcome.</w:t>
      </w:r>
    </w:p>
    <w:p>
      <w:pPr>
        <w:spacing w:after="0" w:line="162" w:lineRule="exact"/>
        <w:rPr>
          <w:sz w:val="20"/>
          <w:szCs w:val="20"/>
          <w:color w:val="auto"/>
        </w:rPr>
      </w:pPr>
    </w:p>
    <w:p>
      <w:pPr>
        <w:ind w:right="180" w:firstLine="648"/>
        <w:spacing w:after="0" w:line="199" w:lineRule="exact"/>
        <w:rPr>
          <w:sz w:val="20"/>
          <w:szCs w:val="20"/>
          <w:color w:val="auto"/>
        </w:rPr>
      </w:pPr>
      <w:r>
        <w:rPr>
          <w:rFonts w:ascii="Arial" w:cs="Arial" w:eastAsia="Arial" w:hAnsi="Arial"/>
          <w:sz w:val="16"/>
          <w:szCs w:val="16"/>
          <w:color w:val="auto"/>
        </w:rPr>
        <w:t>According to the FDA package insert for the combination of DM and quinidine (Nuedexta), DM is the pharmacologically active ingredient of the DM / quinidine combination that acts on the CNS, with quinidine serving to increase DM plasma levels. The plasma concentrations of DM, measured using AUC</w:t>
      </w:r>
      <w:r>
        <w:rPr>
          <w:rFonts w:ascii="Arial" w:cs="Arial" w:eastAsia="Arial" w:hAnsi="Arial"/>
          <w:sz w:val="26"/>
          <w:szCs w:val="26"/>
          <w:color w:val="auto"/>
          <w:vertAlign w:val="subscript"/>
        </w:rPr>
        <w:t>0</w:t>
      </w:r>
      <w:r>
        <w:rPr>
          <w:rFonts w:ascii="MS PGothic" w:cs="MS PGothic" w:eastAsia="MS PGothic" w:hAnsi="MS PGothic"/>
          <w:sz w:val="26"/>
          <w:szCs w:val="26"/>
          <w:color w:val="auto"/>
          <w:vertAlign w:val="subscript"/>
        </w:rPr>
        <w:t>‑</w:t>
      </w:r>
      <w:r>
        <w:rPr>
          <w:rFonts w:ascii="Arial" w:cs="Arial" w:eastAsia="Arial" w:hAnsi="Arial"/>
          <w:sz w:val="26"/>
          <w:szCs w:val="26"/>
          <w:color w:val="auto"/>
          <w:vertAlign w:val="subscript"/>
        </w:rPr>
        <w:t>12</w:t>
      </w:r>
      <w:r>
        <w:rPr>
          <w:rFonts w:ascii="Arial" w:cs="Arial" w:eastAsia="Arial" w:hAnsi="Arial"/>
          <w:sz w:val="16"/>
          <w:szCs w:val="16"/>
          <w:color w:val="auto"/>
        </w:rPr>
        <w:t xml:space="preserve"> and C</w:t>
      </w:r>
      <w:r>
        <w:rPr>
          <w:rFonts w:ascii="Arial" w:cs="Arial" w:eastAsia="Arial" w:hAnsi="Arial"/>
          <w:sz w:val="26"/>
          <w:szCs w:val="26"/>
          <w:color w:val="auto"/>
          <w:vertAlign w:val="subscript"/>
        </w:rPr>
        <w:t>max</w:t>
      </w:r>
      <w:r>
        <w:rPr>
          <w:rFonts w:ascii="Arial" w:cs="Arial" w:eastAsia="Arial" w:hAnsi="Arial"/>
          <w:sz w:val="16"/>
          <w:szCs w:val="16"/>
          <w:color w:val="auto"/>
        </w:rPr>
        <w:t>, achieved with AXS</w:t>
      </w:r>
      <w:r>
        <w:rPr>
          <w:rFonts w:ascii="MS PGothic" w:cs="MS PGothic" w:eastAsia="MS PGothic" w:hAnsi="MS PGothic"/>
          <w:sz w:val="16"/>
          <w:szCs w:val="16"/>
          <w:color w:val="auto"/>
        </w:rPr>
        <w:t>‑</w:t>
      </w:r>
      <w:r>
        <w:rPr>
          <w:rFonts w:ascii="Arial" w:cs="Arial" w:eastAsia="Arial" w:hAnsi="Arial"/>
          <w:sz w:val="16"/>
          <w:szCs w:val="16"/>
          <w:color w:val="auto"/>
        </w:rPr>
        <w:t>05</w:t>
      </w:r>
    </w:p>
    <w:p>
      <w:pPr>
        <w:spacing w:after="0" w:line="2"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administration in our Phase 1 trials are in the range of those associated with a 30 mg DM / 10 mg quinidine dose, based on data in the FDA’s public review documents for Nuedexta.</w:t>
      </w:r>
    </w:p>
    <w:p>
      <w:pPr>
        <w:spacing w:after="0" w:line="157" w:lineRule="exact"/>
        <w:rPr>
          <w:sz w:val="20"/>
          <w:szCs w:val="20"/>
          <w:color w:val="auto"/>
        </w:rPr>
      </w:pPr>
    </w:p>
    <w:p>
      <w:pPr>
        <w:jc w:val="center"/>
        <w:ind w:left="1440" w:right="100"/>
        <w:spacing w:after="0" w:line="237" w:lineRule="auto"/>
        <w:rPr>
          <w:sz w:val="20"/>
          <w:szCs w:val="20"/>
          <w:color w:val="auto"/>
        </w:rPr>
      </w:pPr>
      <w:r>
        <w:rPr>
          <w:rFonts w:ascii="Arial" w:cs="Arial" w:eastAsia="Arial" w:hAnsi="Arial"/>
          <w:sz w:val="18"/>
          <w:szCs w:val="18"/>
          <w:b w:val="1"/>
          <w:bCs w:val="1"/>
          <w:color w:val="auto"/>
        </w:rPr>
        <w:t>Depressive symptom change with DM and metabolic inhibitor quinidine (Q) in patients with pseudobulbar affect at 12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1356995</wp:posOffset>
            </wp:positionH>
            <wp:positionV relativeFrom="paragraph">
              <wp:posOffset>120650</wp:posOffset>
            </wp:positionV>
            <wp:extent cx="3044190" cy="20840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44190"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Source: </w:t>
      </w:r>
      <w:r>
        <w:rPr>
          <w:rFonts w:ascii="Arial" w:cs="Arial" w:eastAsia="Arial" w:hAnsi="Arial"/>
          <w:sz w:val="18"/>
          <w:szCs w:val="18"/>
          <w:i w:val="1"/>
          <w:iCs w:val="1"/>
          <w:color w:val="auto"/>
        </w:rPr>
        <w:t>Pioro EP, et al. Ann Neurol 2010;68:693</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702</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left="1460" w:right="20"/>
        <w:spacing w:after="0" w:line="237" w:lineRule="auto"/>
        <w:rPr>
          <w:sz w:val="20"/>
          <w:szCs w:val="20"/>
          <w:color w:val="auto"/>
        </w:rPr>
      </w:pPr>
      <w:r>
        <w:rPr>
          <w:rFonts w:ascii="Arial" w:cs="Arial" w:eastAsia="Arial" w:hAnsi="Arial"/>
          <w:sz w:val="18"/>
          <w:szCs w:val="18"/>
          <w:b w:val="1"/>
          <w:bCs w:val="1"/>
          <w:color w:val="auto"/>
        </w:rPr>
        <w:t>Depressive symptom change with DM and metabolic inhibitor quinidine (Q) in patients with agitation in Alzheimer’s disease at 5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1545590</wp:posOffset>
            </wp:positionH>
            <wp:positionV relativeFrom="paragraph">
              <wp:posOffset>120650</wp:posOffset>
            </wp:positionV>
            <wp:extent cx="2667000" cy="2813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67000" cy="281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 xml:space="preserve">Source: </w:t>
      </w:r>
      <w:r>
        <w:rPr>
          <w:rFonts w:ascii="Arial" w:cs="Arial" w:eastAsia="Arial" w:hAnsi="Arial"/>
          <w:sz w:val="18"/>
          <w:szCs w:val="18"/>
          <w:i w:val="1"/>
          <w:iCs w:val="1"/>
          <w:color w:val="auto"/>
        </w:rPr>
        <w:t>Cummings J, et al. JAMA. 2015;314:1242-1254.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Agitation associated with Alzheimer’s Disease (AD)</w:t>
      </w:r>
    </w:p>
    <w:p>
      <w:pPr>
        <w:spacing w:after="0" w:line="185" w:lineRule="exact"/>
        <w:rPr>
          <w:sz w:val="20"/>
          <w:szCs w:val="20"/>
          <w:color w:val="auto"/>
        </w:rPr>
      </w:pPr>
    </w:p>
    <w:p>
      <w:pPr>
        <w:ind w:right="100" w:firstLine="648"/>
        <w:spacing w:after="0" w:line="203" w:lineRule="exact"/>
        <w:rPr>
          <w:sz w:val="20"/>
          <w:szCs w:val="20"/>
          <w:color w:val="auto"/>
        </w:rPr>
      </w:pPr>
      <w:r>
        <w:rPr>
          <w:rFonts w:ascii="Arial" w:cs="Arial" w:eastAsia="Arial" w:hAnsi="Arial"/>
          <w:sz w:val="18"/>
          <w:szCs w:val="18"/>
          <w:color w:val="auto"/>
        </w:rPr>
        <w:t>We are developing AXS</w:t>
      </w:r>
      <w:r>
        <w:rPr>
          <w:rFonts w:ascii="MS PGothic" w:cs="MS PGothic" w:eastAsia="MS PGothic" w:hAnsi="MS PGothic"/>
          <w:sz w:val="18"/>
          <w:szCs w:val="18"/>
          <w:color w:val="auto"/>
        </w:rPr>
        <w:t>‑</w:t>
      </w:r>
      <w:r>
        <w:rPr>
          <w:rFonts w:ascii="Arial" w:cs="Arial" w:eastAsia="Arial" w:hAnsi="Arial"/>
          <w:sz w:val="18"/>
          <w:szCs w:val="18"/>
          <w:color w:val="auto"/>
        </w:rPr>
        <w:t>05 for the treatment of agitation associated with AD. There is currently no FDA</w:t>
      </w:r>
      <w:r>
        <w:rPr>
          <w:rFonts w:ascii="MS PGothic" w:cs="MS PGothic" w:eastAsia="MS PGothic" w:hAnsi="MS PGothic"/>
          <w:sz w:val="18"/>
          <w:szCs w:val="18"/>
          <w:color w:val="auto"/>
        </w:rPr>
        <w:t>‑</w:t>
      </w:r>
      <w:r>
        <w:rPr>
          <w:rFonts w:ascii="Arial" w:cs="Arial" w:eastAsia="Arial" w:hAnsi="Arial"/>
          <w:sz w:val="18"/>
          <w:szCs w:val="18"/>
          <w:color w:val="auto"/>
        </w:rPr>
        <w:t>approved pharmacological treatment for the indication of agitation associated with AD.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Indication Overview</w:t>
      </w:r>
    </w:p>
    <w:p>
      <w:pPr>
        <w:spacing w:after="0" w:line="185" w:lineRule="exact"/>
        <w:rPr>
          <w:sz w:val="20"/>
          <w:szCs w:val="20"/>
          <w:color w:val="auto"/>
        </w:rPr>
      </w:pPr>
    </w:p>
    <w:p>
      <w:pPr>
        <w:ind w:right="40" w:firstLine="648"/>
        <w:spacing w:after="0" w:line="211" w:lineRule="auto"/>
        <w:rPr>
          <w:sz w:val="20"/>
          <w:szCs w:val="20"/>
          <w:color w:val="auto"/>
        </w:rPr>
      </w:pPr>
      <w:r>
        <w:rPr>
          <w:rFonts w:ascii="Arial" w:cs="Arial" w:eastAsia="Arial" w:hAnsi="Arial"/>
          <w:sz w:val="18"/>
          <w:szCs w:val="18"/>
          <w:color w:val="auto"/>
        </w:rPr>
        <w:t>AD is a progressive neurodegenerative disorder that manifests initially as forgetfulness advancing to severe cognitive impairment and memory loss. It is a common form of dementia and afflicts an estimated 5 million individuals in the United States, a number that is anticipated to increase to approximately 14 million by 2050. In addition to cognitive decline, individuals diagnosed with AD typically experience behavioral and psychological symptoms including agitation and aggression. These symptoms are seen in a high percentage of AD sufferers with agitation being reported in as many as 40% of patients. Agitation is characterized by emotional distress, aggressive behaviors, disruptive irritability, and disinhibition. Agitation associated with AD has been associated with increased caregiver burden, decreased functioning, earlier nursing home placement, and death.</w:t>
      </w:r>
    </w:p>
    <w:p>
      <w:pPr>
        <w:spacing w:after="0" w:line="165" w:lineRule="exact"/>
        <w:rPr>
          <w:sz w:val="20"/>
          <w:szCs w:val="20"/>
          <w:color w:val="auto"/>
        </w:rPr>
      </w:pPr>
    </w:p>
    <w:p>
      <w:pPr>
        <w:ind w:firstLine="648"/>
        <w:spacing w:after="0" w:line="187" w:lineRule="exact"/>
        <w:rPr>
          <w:sz w:val="20"/>
          <w:szCs w:val="20"/>
          <w:color w:val="auto"/>
        </w:rPr>
      </w:pPr>
      <w:r>
        <w:rPr>
          <w:rFonts w:ascii="Arial" w:cs="Arial" w:eastAsia="Arial" w:hAnsi="Arial"/>
          <w:sz w:val="17"/>
          <w:szCs w:val="17"/>
          <w:color w:val="auto"/>
        </w:rPr>
        <w:t>Because there are no FDA</w:t>
      </w:r>
      <w:r>
        <w:rPr>
          <w:rFonts w:ascii="MS PGothic" w:cs="MS PGothic" w:eastAsia="MS PGothic" w:hAnsi="MS PGothic"/>
          <w:sz w:val="17"/>
          <w:szCs w:val="17"/>
          <w:color w:val="auto"/>
        </w:rPr>
        <w:t>‑</w:t>
      </w:r>
      <w:r>
        <w:rPr>
          <w:rFonts w:ascii="Arial" w:cs="Arial" w:eastAsia="Arial" w:hAnsi="Arial"/>
          <w:sz w:val="17"/>
          <w:szCs w:val="17"/>
          <w:color w:val="auto"/>
        </w:rPr>
        <w:t>approved pharmacological treatments for the indication of agitation associated with AD, patients are currently treated off</w:t>
      </w:r>
      <w:r>
        <w:rPr>
          <w:rFonts w:ascii="MS PGothic" w:cs="MS PGothic" w:eastAsia="MS PGothic" w:hAnsi="MS PGothic"/>
          <w:sz w:val="17"/>
          <w:szCs w:val="17"/>
          <w:color w:val="auto"/>
        </w:rPr>
        <w:t>‑</w:t>
      </w:r>
      <w:r>
        <w:rPr>
          <w:rFonts w:ascii="Arial" w:cs="Arial" w:eastAsia="Arial" w:hAnsi="Arial"/>
          <w:sz w:val="17"/>
          <w:szCs w:val="17"/>
          <w:color w:val="auto"/>
        </w:rPr>
        <w:t>label with various agents including antipsychotics, which have been considered the mainstay of treatment. These treatments however are limited by safety concerns. Typical antipsychotics prescribed for agitation, aggression, or insomnia are associated with functional decline in patients with AD, while studies indicate that atypical antipsychotics may be associated with increased rates of cerebrovascular events in patients with dementia.</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Rationale for the Development of AXS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05 in Agitation associated with AD</w:t>
      </w:r>
    </w:p>
    <w:p>
      <w:pPr>
        <w:spacing w:after="0" w:line="185" w:lineRule="exact"/>
        <w:rPr>
          <w:sz w:val="20"/>
          <w:szCs w:val="20"/>
          <w:color w:val="auto"/>
        </w:rPr>
      </w:pPr>
    </w:p>
    <w:p>
      <w:pPr>
        <w:ind w:firstLine="648"/>
        <w:spacing w:after="0" w:line="194" w:lineRule="exact"/>
        <w:rPr>
          <w:sz w:val="20"/>
          <w:szCs w:val="20"/>
          <w:color w:val="auto"/>
        </w:rPr>
      </w:pPr>
      <w:r>
        <w:rPr>
          <w:rFonts w:ascii="Arial" w:cs="Arial" w:eastAsia="Arial" w:hAnsi="Arial"/>
          <w:sz w:val="18"/>
          <w:szCs w:val="18"/>
          <w:color w:val="auto"/>
        </w:rPr>
        <w:t>The rationale for the use of AXS</w:t>
      </w:r>
      <w:r>
        <w:rPr>
          <w:rFonts w:ascii="MS PGothic" w:cs="MS PGothic" w:eastAsia="MS PGothic" w:hAnsi="MS PGothic"/>
          <w:sz w:val="18"/>
          <w:szCs w:val="18"/>
          <w:color w:val="auto"/>
        </w:rPr>
        <w:t>‑</w:t>
      </w:r>
      <w:r>
        <w:rPr>
          <w:rFonts w:ascii="Arial" w:cs="Arial" w:eastAsia="Arial" w:hAnsi="Arial"/>
          <w:sz w:val="18"/>
          <w:szCs w:val="18"/>
          <w:color w:val="auto"/>
        </w:rPr>
        <w:t>05 for the treatment of agitation associated with AD is based on the mechanisms of action of DM, and preliminary clinical evidence of the effect of DM when co</w:t>
      </w:r>
      <w:r>
        <w:rPr>
          <w:rFonts w:ascii="MS PGothic" w:cs="MS PGothic" w:eastAsia="MS PGothic" w:hAnsi="MS PGothic"/>
          <w:sz w:val="18"/>
          <w:szCs w:val="18"/>
          <w:color w:val="auto"/>
        </w:rPr>
        <w:t>‑</w:t>
      </w:r>
      <w:r>
        <w:rPr>
          <w:rFonts w:ascii="Arial" w:cs="Arial" w:eastAsia="Arial" w:hAnsi="Arial"/>
          <w:sz w:val="18"/>
          <w:szCs w:val="18"/>
          <w:color w:val="auto"/>
        </w:rPr>
        <w:t>administered with an inhibitor of its metabolism in agitation associated with AD.</w:t>
      </w:r>
    </w:p>
    <w:p>
      <w:pPr>
        <w:spacing w:after="0" w:line="163" w:lineRule="exact"/>
        <w:rPr>
          <w:sz w:val="20"/>
          <w:szCs w:val="20"/>
          <w:color w:val="auto"/>
        </w:rPr>
      </w:pPr>
    </w:p>
    <w:p>
      <w:pPr>
        <w:ind w:right="200" w:firstLine="648"/>
        <w:spacing w:after="0" w:line="187" w:lineRule="exact"/>
        <w:rPr>
          <w:sz w:val="20"/>
          <w:szCs w:val="20"/>
          <w:color w:val="auto"/>
        </w:rPr>
      </w:pPr>
      <w:r>
        <w:rPr>
          <w:rFonts w:ascii="Arial" w:cs="Arial" w:eastAsia="Arial" w:hAnsi="Arial"/>
          <w:sz w:val="18"/>
          <w:szCs w:val="18"/>
          <w:i w:val="1"/>
          <w:iCs w:val="1"/>
          <w:color w:val="auto"/>
        </w:rPr>
        <w:t xml:space="preserve">Mechanistic rationale. </w:t>
      </w:r>
      <w:r>
        <w:rPr>
          <w:rFonts w:ascii="Arial" w:cs="Arial" w:eastAsia="Arial" w:hAnsi="Arial"/>
          <w:sz w:val="18"/>
          <w:szCs w:val="18"/>
          <w:color w:val="auto"/>
        </w:rPr>
        <w:t>Mechanisms of action of DM include NMDA receptor antagonism and sigma</w:t>
      </w:r>
      <w:r>
        <w:rPr>
          <w:rFonts w:ascii="MS PGothic" w:cs="MS PGothic" w:eastAsia="MS PGothic" w:hAnsi="MS PGothic"/>
          <w:sz w:val="18"/>
          <w:szCs w:val="18"/>
          <w:color w:val="auto"/>
        </w:rPr>
        <w:t>‑</w:t>
      </w:r>
      <w:r>
        <w:rPr>
          <w:rFonts w:ascii="Arial" w:cs="Arial" w:eastAsia="Arial" w:hAnsi="Arial"/>
          <w:sz w:val="18"/>
          <w:szCs w:val="18"/>
          <w:color w:val="auto"/>
        </w:rPr>
        <w:t>1 receptor</w:t>
      </w:r>
      <w:r>
        <w:rPr>
          <w:rFonts w:ascii="Arial" w:cs="Arial" w:eastAsia="Arial" w:hAnsi="Arial"/>
          <w:sz w:val="18"/>
          <w:szCs w:val="18"/>
          <w:i w:val="1"/>
          <w:iCs w:val="1"/>
          <w:color w:val="auto"/>
        </w:rPr>
        <w:t xml:space="preserve"> </w:t>
      </w:r>
      <w:r>
        <w:rPr>
          <w:rFonts w:ascii="Arial" w:cs="Arial" w:eastAsia="Arial" w:hAnsi="Arial"/>
          <w:sz w:val="18"/>
          <w:szCs w:val="18"/>
          <w:color w:val="auto"/>
        </w:rPr>
        <w:t>agonism. Altered glutamate transmission via NMDA receptors has been suggested to play a role in behavioral changes in dementia, and clinical evidence suggests that NMDA antagonism may reduce agitation and aggression in AD patients. The pharmacologic action of agents used in the treatment of dementia, such as donepezil, and behavioral disorders, such as fluvoxamine, include sigma</w:t>
      </w:r>
      <w:r>
        <w:rPr>
          <w:rFonts w:ascii="MS PGothic" w:cs="MS PGothic" w:eastAsia="MS PGothic" w:hAnsi="MS PGothic"/>
          <w:sz w:val="18"/>
          <w:szCs w:val="18"/>
          <w:color w:val="auto"/>
        </w:rPr>
        <w:t>‑</w:t>
      </w:r>
      <w:r>
        <w:rPr>
          <w:rFonts w:ascii="Arial" w:cs="Arial" w:eastAsia="Arial" w:hAnsi="Arial"/>
          <w:sz w:val="18"/>
          <w:szCs w:val="18"/>
          <w:color w:val="auto"/>
        </w:rPr>
        <w:t>1 receptor agonism.</w:t>
      </w:r>
    </w:p>
    <w:p>
      <w:pPr>
        <w:spacing w:after="0" w:line="162" w:lineRule="exact"/>
        <w:rPr>
          <w:sz w:val="20"/>
          <w:szCs w:val="20"/>
          <w:color w:val="auto"/>
        </w:rPr>
      </w:pPr>
    </w:p>
    <w:p>
      <w:pPr>
        <w:ind w:right="60" w:firstLine="648"/>
        <w:spacing w:after="0" w:line="182" w:lineRule="exact"/>
        <w:rPr>
          <w:sz w:val="20"/>
          <w:szCs w:val="20"/>
          <w:color w:val="auto"/>
        </w:rPr>
      </w:pPr>
      <w:r>
        <w:rPr>
          <w:rFonts w:ascii="Arial" w:cs="Arial" w:eastAsia="Arial" w:hAnsi="Arial"/>
          <w:sz w:val="16"/>
          <w:szCs w:val="16"/>
          <w:i w:val="1"/>
          <w:iCs w:val="1"/>
          <w:color w:val="auto"/>
        </w:rPr>
        <w:t xml:space="preserve">Clinical Rationale. </w:t>
      </w:r>
      <w:r>
        <w:rPr>
          <w:rFonts w:ascii="Arial" w:cs="Arial" w:eastAsia="Arial" w:hAnsi="Arial"/>
          <w:sz w:val="16"/>
          <w:szCs w:val="16"/>
          <w:color w:val="auto"/>
        </w:rPr>
        <w:t>Administration of DM with an inhibitor of its metabolism has been shown to result in a</w:t>
      </w:r>
      <w:r>
        <w:rPr>
          <w:rFonts w:ascii="Arial" w:cs="Arial" w:eastAsia="Arial" w:hAnsi="Arial"/>
          <w:sz w:val="16"/>
          <w:szCs w:val="16"/>
          <w:i w:val="1"/>
          <w:iCs w:val="1"/>
          <w:color w:val="auto"/>
        </w:rPr>
        <w:t xml:space="preserve"> </w:t>
      </w:r>
      <w:r>
        <w:rPr>
          <w:rFonts w:ascii="Arial" w:cs="Arial" w:eastAsia="Arial" w:hAnsi="Arial"/>
          <w:sz w:val="16"/>
          <w:szCs w:val="16"/>
          <w:color w:val="auto"/>
        </w:rPr>
        <w:t>statistically significant reduction in agitation associated with AD. The effects of DM co</w:t>
      </w:r>
      <w:r>
        <w:rPr>
          <w:rFonts w:ascii="MS PGothic" w:cs="MS PGothic" w:eastAsia="MS PGothic" w:hAnsi="MS PGothic"/>
          <w:sz w:val="16"/>
          <w:szCs w:val="16"/>
          <w:color w:val="auto"/>
        </w:rPr>
        <w:t>‑</w:t>
      </w:r>
      <w:r>
        <w:rPr>
          <w:rFonts w:ascii="Arial" w:cs="Arial" w:eastAsia="Arial" w:hAnsi="Arial"/>
          <w:sz w:val="16"/>
          <w:szCs w:val="16"/>
          <w:color w:val="auto"/>
        </w:rPr>
        <w:t>administered with the metabolic inhibitor quinidine was studied in a third</w:t>
      </w:r>
      <w:r>
        <w:rPr>
          <w:rFonts w:ascii="MS PGothic" w:cs="MS PGothic" w:eastAsia="MS PGothic" w:hAnsi="MS PGothic"/>
          <w:sz w:val="16"/>
          <w:szCs w:val="16"/>
          <w:color w:val="auto"/>
        </w:rPr>
        <w:t>‑</w:t>
      </w:r>
      <w:r>
        <w:rPr>
          <w:rFonts w:ascii="Arial" w:cs="Arial" w:eastAsia="Arial" w:hAnsi="Arial"/>
          <w:sz w:val="16"/>
          <w:szCs w:val="16"/>
          <w:color w:val="auto"/>
        </w:rPr>
        <w:t>party, randomized, double</w:t>
      </w:r>
      <w:r>
        <w:rPr>
          <w:rFonts w:ascii="MS PGothic" w:cs="MS PGothic" w:eastAsia="MS PGothic" w:hAnsi="MS PGothic"/>
          <w:sz w:val="16"/>
          <w:szCs w:val="16"/>
          <w:color w:val="auto"/>
        </w:rPr>
        <w:t>‑</w:t>
      </w:r>
      <w:r>
        <w:rPr>
          <w:rFonts w:ascii="Arial" w:cs="Arial" w:eastAsia="Arial" w:hAnsi="Arial"/>
          <w:sz w:val="16"/>
          <w:szCs w:val="16"/>
          <w:color w:val="auto"/>
        </w:rPr>
        <w:t>blind, placebo</w:t>
      </w:r>
      <w:r>
        <w:rPr>
          <w:rFonts w:ascii="MS PGothic" w:cs="MS PGothic" w:eastAsia="MS PGothic" w:hAnsi="MS PGothic"/>
          <w:sz w:val="16"/>
          <w:szCs w:val="16"/>
          <w:color w:val="auto"/>
        </w:rPr>
        <w:t>‑</w:t>
      </w:r>
      <w:r>
        <w:rPr>
          <w:rFonts w:ascii="Arial" w:cs="Arial" w:eastAsia="Arial" w:hAnsi="Arial"/>
          <w:sz w:val="16"/>
          <w:szCs w:val="16"/>
          <w:color w:val="auto"/>
        </w:rPr>
        <w:t>controlled, two</w:t>
      </w:r>
      <w:r>
        <w:rPr>
          <w:rFonts w:ascii="MS PGothic" w:cs="MS PGothic" w:eastAsia="MS PGothic" w:hAnsi="MS PGothic"/>
          <w:sz w:val="16"/>
          <w:szCs w:val="16"/>
          <w:color w:val="auto"/>
        </w:rPr>
        <w:t>‑</w:t>
      </w:r>
      <w:r>
        <w:rPr>
          <w:rFonts w:ascii="Arial" w:cs="Arial" w:eastAsia="Arial" w:hAnsi="Arial"/>
          <w:sz w:val="16"/>
          <w:szCs w:val="16"/>
          <w:color w:val="auto"/>
        </w:rPr>
        <w:t>stage trial in 220 patients with probable AD and clinically meaningful agitation. In stage 1 of the study, patients were randomized to receive either placebo or DM with quinidine (20 mg DM / 10 mg quinidine once per day, titrated to 30 mg DM / 10 mg quinidine twice per day). In stage 2, patients initially on placebo were stratified according to response, then re</w:t>
      </w:r>
      <w:r>
        <w:rPr>
          <w:rFonts w:ascii="MS PGothic" w:cs="MS PGothic" w:eastAsia="MS PGothic" w:hAnsi="MS PGothic"/>
          <w:sz w:val="16"/>
          <w:szCs w:val="16"/>
          <w:color w:val="auto"/>
        </w:rPr>
        <w:t>‑</w:t>
      </w:r>
      <w:r>
        <w:rPr>
          <w:rFonts w:ascii="Arial" w:cs="Arial" w:eastAsia="Arial" w:hAnsi="Arial"/>
          <w:sz w:val="16"/>
          <w:szCs w:val="16"/>
          <w:color w:val="auto"/>
        </w:rPr>
        <w:t>randomized to placebo or active treatment (titrated as in stage 1). Each stage lasted five weeks. The primary endpoint was the change in the agitation/aggression domain of the Neuropsychiatric Inventory, or NPI, assessed by combining results from the two stages.</w:t>
      </w:r>
    </w:p>
    <w:p>
      <w:pPr>
        <w:spacing w:after="0" w:line="167" w:lineRule="exact"/>
        <w:rPr>
          <w:sz w:val="20"/>
          <w:szCs w:val="20"/>
          <w:color w:val="auto"/>
        </w:rPr>
      </w:pPr>
    </w:p>
    <w:p>
      <w:pPr>
        <w:ind w:right="40" w:firstLine="648"/>
        <w:spacing w:after="0" w:line="181" w:lineRule="exact"/>
        <w:rPr>
          <w:sz w:val="20"/>
          <w:szCs w:val="20"/>
          <w:color w:val="auto"/>
        </w:rPr>
      </w:pPr>
      <w:r>
        <w:rPr>
          <w:rFonts w:ascii="Arial" w:cs="Arial" w:eastAsia="Arial" w:hAnsi="Arial"/>
          <w:sz w:val="16"/>
          <w:szCs w:val="16"/>
          <w:color w:val="auto"/>
        </w:rPr>
        <w:t>The primary endpoint showed a statistically significant improvement with DM and quinidine as compared to placebo. During stage 1, a reduction of 3.3 in the agitation/aggression domain of the NPI was seen for active treatment as compared to a reduction of 1.7 for placebo, with a P value that is less than 0.001, as shown in the figure below. During stage 2, a reduction of 2.0 was observed for active treatment as compared to a reduction of 0.8 for placebo, with a P value that is equal to 0.02. Average baseline values for the agitation/aggression domain of the NPI were 7.1 for the active treatment group and 7.0 for the placebo group. Statistically significant improvements for the active treatment arm compared to placebo were also reported for the majority of secondary endpoints including the NPI total score, NPI</w:t>
      </w:r>
      <w:r>
        <w:rPr>
          <w:rFonts w:ascii="MS PGothic" w:cs="MS PGothic" w:eastAsia="MS PGothic" w:hAnsi="MS PGothic"/>
          <w:sz w:val="16"/>
          <w:szCs w:val="16"/>
          <w:color w:val="auto"/>
        </w:rPr>
        <w:t>‑</w:t>
      </w:r>
      <w:r>
        <w:rPr>
          <w:rFonts w:ascii="Arial" w:cs="Arial" w:eastAsia="Arial" w:hAnsi="Arial"/>
          <w:sz w:val="16"/>
          <w:szCs w:val="16"/>
          <w:color w:val="auto"/>
        </w:rPr>
        <w:t>Caregiver Distress Score, Caregiver Strain Index, and Cornell Scale for Depression in Dementia. Moreover, treatment with DM and the metabolic inhibitor was not associated with cognitive decline as measured by the Mini Mental State Examination.</w:t>
      </w:r>
    </w:p>
    <w:p>
      <w:pPr>
        <w:spacing w:after="0" w:line="168" w:lineRule="exact"/>
        <w:rPr>
          <w:sz w:val="20"/>
          <w:szCs w:val="20"/>
          <w:color w:val="auto"/>
        </w:rPr>
      </w:pPr>
    </w:p>
    <w:p>
      <w:pPr>
        <w:ind w:right="180" w:firstLine="648"/>
        <w:spacing w:after="0" w:line="199" w:lineRule="exact"/>
        <w:rPr>
          <w:sz w:val="20"/>
          <w:szCs w:val="20"/>
          <w:color w:val="auto"/>
        </w:rPr>
      </w:pPr>
      <w:r>
        <w:rPr>
          <w:rFonts w:ascii="Arial" w:cs="Arial" w:eastAsia="Arial" w:hAnsi="Arial"/>
          <w:sz w:val="16"/>
          <w:szCs w:val="16"/>
          <w:color w:val="auto"/>
        </w:rPr>
        <w:t>In the trial, patients were titrated to a 30 mg DM / 10 mg quinidine dose. According to the FDA package insert for Nuedexta, DM is the pharmacologically active ingredient of the DM / quinidine combination that acts on the CNS, with quinidine serving to increase DM plasma levels. The plasma concentrations of DM, measured using AUC</w:t>
      </w:r>
      <w:r>
        <w:rPr>
          <w:rFonts w:ascii="Arial" w:cs="Arial" w:eastAsia="Arial" w:hAnsi="Arial"/>
          <w:sz w:val="26"/>
          <w:szCs w:val="26"/>
          <w:color w:val="auto"/>
          <w:vertAlign w:val="subscript"/>
        </w:rPr>
        <w:t>0</w:t>
      </w:r>
      <w:r>
        <w:rPr>
          <w:rFonts w:ascii="MS PGothic" w:cs="MS PGothic" w:eastAsia="MS PGothic" w:hAnsi="MS PGothic"/>
          <w:sz w:val="26"/>
          <w:szCs w:val="26"/>
          <w:color w:val="auto"/>
          <w:vertAlign w:val="subscript"/>
        </w:rPr>
        <w:t>‑</w:t>
      </w:r>
      <w:r>
        <w:rPr>
          <w:rFonts w:ascii="Arial" w:cs="Arial" w:eastAsia="Arial" w:hAnsi="Arial"/>
          <w:sz w:val="26"/>
          <w:szCs w:val="26"/>
          <w:color w:val="auto"/>
          <w:vertAlign w:val="subscript"/>
        </w:rPr>
        <w:t>12</w:t>
      </w:r>
      <w:r>
        <w:rPr>
          <w:rFonts w:ascii="Arial" w:cs="Arial" w:eastAsia="Arial" w:hAnsi="Arial"/>
          <w:sz w:val="16"/>
          <w:szCs w:val="16"/>
          <w:color w:val="auto"/>
        </w:rPr>
        <w:t xml:space="preserve"> and C</w:t>
      </w:r>
      <w:r>
        <w:rPr>
          <w:rFonts w:ascii="Arial" w:cs="Arial" w:eastAsia="Arial" w:hAnsi="Arial"/>
          <w:sz w:val="26"/>
          <w:szCs w:val="26"/>
          <w:color w:val="auto"/>
          <w:vertAlign w:val="subscript"/>
        </w:rPr>
        <w:t>max</w:t>
      </w:r>
      <w:r>
        <w:rPr>
          <w:rFonts w:ascii="Arial" w:cs="Arial" w:eastAsia="Arial" w:hAnsi="Arial"/>
          <w:sz w:val="16"/>
          <w:szCs w:val="16"/>
          <w:color w:val="auto"/>
        </w:rPr>
        <w:t>,</w:t>
      </w:r>
    </w:p>
    <w:p>
      <w:pPr>
        <w:spacing w:after="0" w:line="2" w:lineRule="exact"/>
        <w:rPr>
          <w:sz w:val="20"/>
          <w:szCs w:val="20"/>
          <w:color w:val="auto"/>
        </w:rPr>
      </w:pPr>
    </w:p>
    <w:p>
      <w:pPr>
        <w:ind w:right="360"/>
        <w:spacing w:after="0" w:line="195" w:lineRule="exact"/>
        <w:rPr>
          <w:sz w:val="20"/>
          <w:szCs w:val="20"/>
          <w:color w:val="auto"/>
        </w:rPr>
      </w:pPr>
      <w:r>
        <w:rPr>
          <w:rFonts w:ascii="Arial" w:cs="Arial" w:eastAsia="Arial" w:hAnsi="Arial"/>
          <w:sz w:val="18"/>
          <w:szCs w:val="18"/>
          <w:color w:val="auto"/>
        </w:rPr>
        <w:t>achieved with AXS</w:t>
      </w:r>
      <w:r>
        <w:rPr>
          <w:rFonts w:ascii="MS PGothic" w:cs="MS PGothic" w:eastAsia="MS PGothic" w:hAnsi="MS PGothic"/>
          <w:sz w:val="18"/>
          <w:szCs w:val="18"/>
          <w:color w:val="auto"/>
        </w:rPr>
        <w:t>‑</w:t>
      </w:r>
      <w:r>
        <w:rPr>
          <w:rFonts w:ascii="Arial" w:cs="Arial" w:eastAsia="Arial" w:hAnsi="Arial"/>
          <w:sz w:val="18"/>
          <w:szCs w:val="18"/>
          <w:color w:val="auto"/>
        </w:rPr>
        <w:t>05 administration in our Phase 1 trials are in the range of those associated with a 30 mg DM / 10 mg quinidine dose, based on data in the FDA’s public review documents for Nuedexta.</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Change in agitation/aggression scores in AD with DM and</w:t>
      </w:r>
    </w:p>
    <w:p>
      <w:pPr>
        <w:jc w:val="center"/>
        <w:ind w:right="-40"/>
        <w:spacing w:after="0"/>
        <w:rPr>
          <w:sz w:val="20"/>
          <w:szCs w:val="20"/>
          <w:color w:val="auto"/>
        </w:rPr>
      </w:pPr>
      <w:r>
        <w:rPr>
          <w:rFonts w:ascii="Arial" w:cs="Arial" w:eastAsia="Arial" w:hAnsi="Arial"/>
          <w:sz w:val="18"/>
          <w:szCs w:val="18"/>
          <w:b w:val="1"/>
          <w:bCs w:val="1"/>
          <w:color w:val="auto"/>
        </w:rPr>
        <w:t>metabolic inhibitor quinidine (Q) during stage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1159510</wp:posOffset>
            </wp:positionH>
            <wp:positionV relativeFrom="paragraph">
              <wp:posOffset>125095</wp:posOffset>
            </wp:positionV>
            <wp:extent cx="3439160" cy="19983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39160"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60"/>
        <w:spacing w:after="0" w:line="207" w:lineRule="exact"/>
        <w:rPr>
          <w:sz w:val="20"/>
          <w:szCs w:val="20"/>
          <w:color w:val="auto"/>
        </w:rPr>
      </w:pPr>
      <w:r>
        <w:rPr>
          <w:rFonts w:ascii="Arial" w:cs="Arial" w:eastAsia="Arial" w:hAnsi="Arial"/>
          <w:sz w:val="18"/>
          <w:szCs w:val="18"/>
          <w:color w:val="auto"/>
        </w:rPr>
        <w:t xml:space="preserve">Source: </w:t>
      </w:r>
      <w:r>
        <w:rPr>
          <w:rFonts w:ascii="Arial" w:cs="Arial" w:eastAsia="Arial" w:hAnsi="Arial"/>
          <w:sz w:val="18"/>
          <w:szCs w:val="18"/>
          <w:i w:val="1"/>
          <w:iCs w:val="1"/>
          <w:color w:val="auto"/>
        </w:rPr>
        <w:t>Am J Geriatr Psychiatry 2015; 23:3, Supplement 1, S164</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S165.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Smoking Cessation</w:t>
      </w:r>
    </w:p>
    <w:p>
      <w:pPr>
        <w:spacing w:after="0" w:line="185" w:lineRule="exact"/>
        <w:rPr>
          <w:sz w:val="20"/>
          <w:szCs w:val="20"/>
          <w:color w:val="auto"/>
        </w:rPr>
      </w:pPr>
    </w:p>
    <w:p>
      <w:pPr>
        <w:ind w:right="139" w:firstLine="648"/>
        <w:spacing w:after="0" w:line="187" w:lineRule="exact"/>
        <w:rPr>
          <w:sz w:val="20"/>
          <w:szCs w:val="20"/>
          <w:color w:val="auto"/>
        </w:rPr>
      </w:pPr>
      <w:r>
        <w:rPr>
          <w:rFonts w:ascii="Arial" w:cs="Arial" w:eastAsia="Arial" w:hAnsi="Arial"/>
          <w:sz w:val="18"/>
          <w:szCs w:val="18"/>
          <w:color w:val="auto"/>
        </w:rPr>
        <w:t>We are developing AXS</w:t>
      </w:r>
      <w:r>
        <w:rPr>
          <w:rFonts w:ascii="MS PGothic" w:cs="MS PGothic" w:eastAsia="MS PGothic" w:hAnsi="MS PGothic"/>
          <w:sz w:val="18"/>
          <w:szCs w:val="18"/>
          <w:color w:val="auto"/>
        </w:rPr>
        <w:t>‑</w:t>
      </w:r>
      <w:r>
        <w:rPr>
          <w:rFonts w:ascii="Arial" w:cs="Arial" w:eastAsia="Arial" w:hAnsi="Arial"/>
          <w:sz w:val="18"/>
          <w:szCs w:val="18"/>
          <w:color w:val="auto"/>
        </w:rPr>
        <w:t>05 as an aid to smoking cessation treatment. In December 2017, we entered into a collaboration with Duke University for the conduct of a Phase 2 trial of AXS-05 under an Investigator Sponsor IND in smokers attempting to quit. Products that are currently approved in the United States as aids to smoking cessation treatment include Zyban, or bupropion, which is marketed by GlaxoSmithKline, Chantix, or varenicline, which is marketed by Pfizer Inc., and various types of nicotine replacement approaches.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Indication Overview</w:t>
      </w:r>
    </w:p>
    <w:p>
      <w:pPr>
        <w:spacing w:after="0" w:line="185" w:lineRule="exact"/>
        <w:rPr>
          <w:sz w:val="20"/>
          <w:szCs w:val="20"/>
          <w:color w:val="auto"/>
        </w:rPr>
      </w:pPr>
    </w:p>
    <w:p>
      <w:pPr>
        <w:ind w:right="59" w:firstLine="648"/>
        <w:spacing w:after="0" w:line="241" w:lineRule="auto"/>
        <w:rPr>
          <w:sz w:val="20"/>
          <w:szCs w:val="20"/>
          <w:color w:val="auto"/>
        </w:rPr>
      </w:pPr>
      <w:r>
        <w:rPr>
          <w:rFonts w:ascii="Arial" w:cs="Arial" w:eastAsia="Arial" w:hAnsi="Arial"/>
          <w:sz w:val="16"/>
          <w:szCs w:val="16"/>
          <w:color w:val="auto"/>
        </w:rPr>
        <w:t>Nearly 40 million American adults smoke and around 70% report that they want to quit. Tobacco use results in approximately 500,000 premature deaths each year in the U.S., according to the Centers for Disease Control and Prevention. Smoking is the single largest cause of premature deaths worldwide accounting for an estimated 20% of all deaths in developed countries. Direct health care and lost productivity costs as a result of smoking total nearly $300 billion a year in the U.S. alone. It is estimated that only 3% to 5% of cigarette smokers who attempt to quit without assistance are successful for 6 to 12 months, and even with the currently available treatment options, relapse rates remain above 80%.</w:t>
      </w:r>
    </w:p>
    <w:p>
      <w:pPr>
        <w:spacing w:after="0" w:line="161"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Rationale for the Development of AXS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05 in Smoking Cessation</w:t>
      </w:r>
    </w:p>
    <w:p>
      <w:pPr>
        <w:spacing w:after="0" w:line="185" w:lineRule="exact"/>
        <w:rPr>
          <w:sz w:val="20"/>
          <w:szCs w:val="20"/>
          <w:color w:val="auto"/>
        </w:rPr>
      </w:pPr>
    </w:p>
    <w:p>
      <w:pPr>
        <w:ind w:right="119" w:firstLine="648"/>
        <w:spacing w:after="0" w:line="194" w:lineRule="exact"/>
        <w:rPr>
          <w:sz w:val="20"/>
          <w:szCs w:val="20"/>
          <w:color w:val="auto"/>
        </w:rPr>
      </w:pPr>
      <w:r>
        <w:rPr>
          <w:rFonts w:ascii="Arial" w:cs="Arial" w:eastAsia="Arial" w:hAnsi="Arial"/>
          <w:sz w:val="18"/>
          <w:szCs w:val="18"/>
          <w:color w:val="auto"/>
        </w:rPr>
        <w:t>The rationale for the use of AXS</w:t>
      </w:r>
      <w:r>
        <w:rPr>
          <w:rFonts w:ascii="MS PGothic" w:cs="MS PGothic" w:eastAsia="MS PGothic" w:hAnsi="MS PGothic"/>
          <w:sz w:val="18"/>
          <w:szCs w:val="18"/>
          <w:color w:val="auto"/>
        </w:rPr>
        <w:t>‑</w:t>
      </w:r>
      <w:r>
        <w:rPr>
          <w:rFonts w:ascii="Arial" w:cs="Arial" w:eastAsia="Arial" w:hAnsi="Arial"/>
          <w:sz w:val="18"/>
          <w:szCs w:val="18"/>
          <w:color w:val="auto"/>
        </w:rPr>
        <w:t>05 as an aid to smoking cessation treatment is based on the mechanisms of action of DM and bupropion, nonclinical evidence of the effect of DM in models of nicotine dependence, and the established clinical efficacy of bupropion in the indication.</w:t>
      </w:r>
    </w:p>
    <w:p>
      <w:pPr>
        <w:spacing w:after="0" w:line="163" w:lineRule="exact"/>
        <w:rPr>
          <w:sz w:val="20"/>
          <w:szCs w:val="20"/>
          <w:color w:val="auto"/>
        </w:rPr>
      </w:pPr>
    </w:p>
    <w:p>
      <w:pPr>
        <w:ind w:right="79" w:firstLine="648"/>
        <w:spacing w:after="0" w:line="241" w:lineRule="auto"/>
        <w:rPr>
          <w:sz w:val="20"/>
          <w:szCs w:val="20"/>
          <w:color w:val="auto"/>
        </w:rPr>
      </w:pPr>
      <w:r>
        <w:rPr>
          <w:rFonts w:ascii="Arial" w:cs="Arial" w:eastAsia="Arial" w:hAnsi="Arial"/>
          <w:sz w:val="16"/>
          <w:szCs w:val="16"/>
          <w:color w:val="auto"/>
        </w:rPr>
        <w:t>Results of preclinical studies conducted at Duke University demonstrated that the dextromethorphan component of AXS-05 significantly reduced nicotine self-administration in nicotine-dependent rats in a dose-dependent manner (p&lt;0.0005 versus control). Results of pharmacokinetic clinical trials conducted by us have demonstrated that, in human subjects, AXS-05 results in a significant increase in dextromethorphan plasma concentrations (p&lt;0.0001 versus administration of dextromethorphan as a single agent). Furthermore, bupropion, a component of AXS-05, has been found to be effective for smoking cessation in clinical trials. The preclinical and clinical efficacy of the individual components</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of AXS-05 combined with their positive pharmacokinetic interaction supports the potential for AXS-05 to be effective in the treatment of tobacco dependence in humans.</w:t>
      </w:r>
    </w:p>
    <w:p>
      <w:pPr>
        <w:spacing w:after="0" w:line="162"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Clinical Development of 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05</w:t>
      </w:r>
    </w:p>
    <w:p>
      <w:pPr>
        <w:spacing w:after="0" w:line="185" w:lineRule="exact"/>
        <w:rPr>
          <w:sz w:val="20"/>
          <w:szCs w:val="20"/>
          <w:color w:val="auto"/>
        </w:rPr>
      </w:pPr>
    </w:p>
    <w:p>
      <w:pPr>
        <w:ind w:right="60" w:firstLine="648"/>
        <w:spacing w:after="0" w:line="188" w:lineRule="exact"/>
        <w:rPr>
          <w:sz w:val="20"/>
          <w:szCs w:val="20"/>
          <w:color w:val="auto"/>
        </w:rPr>
      </w:pPr>
      <w:r>
        <w:rPr>
          <w:rFonts w:ascii="Arial" w:cs="Arial" w:eastAsia="Arial" w:hAnsi="Arial"/>
          <w:sz w:val="17"/>
          <w:szCs w:val="17"/>
          <w:color w:val="auto"/>
        </w:rPr>
        <w:t>We are developing AXS</w:t>
      </w:r>
      <w:r>
        <w:rPr>
          <w:rFonts w:ascii="MS PGothic" w:cs="MS PGothic" w:eastAsia="MS PGothic" w:hAnsi="MS PGothic"/>
          <w:sz w:val="17"/>
          <w:szCs w:val="17"/>
          <w:color w:val="auto"/>
        </w:rPr>
        <w:t>‑</w:t>
      </w:r>
      <w:r>
        <w:rPr>
          <w:rFonts w:ascii="Arial" w:cs="Arial" w:eastAsia="Arial" w:hAnsi="Arial"/>
          <w:sz w:val="17"/>
          <w:szCs w:val="17"/>
          <w:color w:val="auto"/>
        </w:rPr>
        <w:t>05 and intend to seek FDA approval for the product utilizing the 505(b)(2) regulatory pathway. Section 505(b)(2) of the FDCA permits an applicant to file an NDA that relies, in part, on data not developed by or for the applicant and to which the applicant has not received a right of reference, such as the FDA’s findings of safety and efficacy in the approval of a similar drug, or reference listed drug, or published literature, in support of its application. We have completed three Phase 1 pharmacokinetic clinical trials of AXS</w:t>
      </w:r>
      <w:r>
        <w:rPr>
          <w:rFonts w:ascii="MS PGothic" w:cs="MS PGothic" w:eastAsia="MS PGothic" w:hAnsi="MS PGothic"/>
          <w:sz w:val="17"/>
          <w:szCs w:val="17"/>
          <w:color w:val="auto"/>
        </w:rPr>
        <w:t>‑</w:t>
      </w:r>
      <w:r>
        <w:rPr>
          <w:rFonts w:ascii="Arial" w:cs="Arial" w:eastAsia="Arial" w:hAnsi="Arial"/>
          <w:sz w:val="17"/>
          <w:szCs w:val="17"/>
          <w:color w:val="auto"/>
        </w:rPr>
        <w:t>05 under clinical trial applications with Health Canada. In each study, administration of bupropion in combination with DM resulted in a substantial increase in DM plasma concentrations measured using C</w:t>
      </w:r>
      <w:r>
        <w:rPr>
          <w:rFonts w:ascii="Arial" w:cs="Arial" w:eastAsia="Arial" w:hAnsi="Arial"/>
          <w:sz w:val="28"/>
          <w:szCs w:val="28"/>
          <w:color w:val="auto"/>
          <w:vertAlign w:val="subscript"/>
        </w:rPr>
        <w:t>max</w:t>
      </w:r>
      <w:r>
        <w:rPr>
          <w:rFonts w:ascii="Arial" w:cs="Arial" w:eastAsia="Arial" w:hAnsi="Arial"/>
          <w:sz w:val="17"/>
          <w:szCs w:val="17"/>
          <w:color w:val="auto"/>
        </w:rPr>
        <w:t xml:space="preserve"> and AUC at all doses tested.</w:t>
      </w:r>
    </w:p>
    <w:p>
      <w:pPr>
        <w:spacing w:after="0" w:line="185" w:lineRule="exact"/>
        <w:rPr>
          <w:sz w:val="20"/>
          <w:szCs w:val="20"/>
          <w:color w:val="auto"/>
        </w:rPr>
      </w:pPr>
    </w:p>
    <w:p>
      <w:pPr>
        <w:ind w:right="180" w:firstLine="648"/>
        <w:spacing w:after="0" w:line="194" w:lineRule="exact"/>
        <w:rPr>
          <w:sz w:val="20"/>
          <w:szCs w:val="20"/>
          <w:color w:val="auto"/>
        </w:rPr>
      </w:pPr>
      <w:r>
        <w:rPr>
          <w:rFonts w:ascii="Arial" w:cs="Arial" w:eastAsia="Arial" w:hAnsi="Arial"/>
          <w:sz w:val="17"/>
          <w:szCs w:val="17"/>
          <w:color w:val="auto"/>
        </w:rPr>
        <w:t>We held a pre</w:t>
      </w:r>
      <w:r>
        <w:rPr>
          <w:rFonts w:ascii="MS PGothic" w:cs="MS PGothic" w:eastAsia="MS PGothic" w:hAnsi="MS PGothic"/>
          <w:sz w:val="17"/>
          <w:szCs w:val="17"/>
          <w:color w:val="auto"/>
        </w:rPr>
        <w:t>‑</w:t>
      </w:r>
      <w:r>
        <w:rPr>
          <w:rFonts w:ascii="Arial" w:cs="Arial" w:eastAsia="Arial" w:hAnsi="Arial"/>
          <w:sz w:val="17"/>
          <w:szCs w:val="17"/>
          <w:color w:val="auto"/>
        </w:rPr>
        <w:t>IND meeting with the FDA in February 2015 where we discussed our clinical development plan for AXS</w:t>
      </w:r>
      <w:r>
        <w:rPr>
          <w:rFonts w:ascii="MS PGothic" w:cs="MS PGothic" w:eastAsia="MS PGothic" w:hAnsi="MS PGothic"/>
          <w:sz w:val="17"/>
          <w:szCs w:val="17"/>
          <w:color w:val="auto"/>
        </w:rPr>
        <w:t>‑</w:t>
      </w:r>
      <w:r>
        <w:rPr>
          <w:rFonts w:ascii="Arial" w:cs="Arial" w:eastAsia="Arial" w:hAnsi="Arial"/>
          <w:sz w:val="17"/>
          <w:szCs w:val="17"/>
          <w:color w:val="auto"/>
        </w:rPr>
        <w:t>05 in TRD. Based on that meeting, we submitted an investigational new drug application, or IND, to the FDA to conduct two Phase 3 trials of AXS</w:t>
      </w:r>
      <w:r>
        <w:rPr>
          <w:rFonts w:ascii="MS PGothic" w:cs="MS PGothic" w:eastAsia="MS PGothic" w:hAnsi="MS PGothic"/>
          <w:sz w:val="17"/>
          <w:szCs w:val="17"/>
          <w:color w:val="auto"/>
        </w:rPr>
        <w:t>‑</w:t>
      </w:r>
      <w:r>
        <w:rPr>
          <w:rFonts w:ascii="Arial" w:cs="Arial" w:eastAsia="Arial" w:hAnsi="Arial"/>
          <w:sz w:val="17"/>
          <w:szCs w:val="17"/>
          <w:color w:val="auto"/>
        </w:rPr>
        <w:t>05 in TRD to support an NDA filing for this indication.</w:t>
      </w:r>
    </w:p>
    <w:p>
      <w:pPr>
        <w:spacing w:after="0" w:line="161" w:lineRule="exact"/>
        <w:rPr>
          <w:sz w:val="20"/>
          <w:szCs w:val="20"/>
          <w:color w:val="auto"/>
        </w:rPr>
      </w:pPr>
    </w:p>
    <w:p>
      <w:pPr>
        <w:ind w:right="340" w:firstLine="648"/>
        <w:spacing w:after="0" w:line="203" w:lineRule="exact"/>
        <w:rPr>
          <w:sz w:val="20"/>
          <w:szCs w:val="20"/>
          <w:color w:val="auto"/>
        </w:rPr>
      </w:pPr>
      <w:r>
        <w:rPr>
          <w:rFonts w:ascii="Arial" w:cs="Arial" w:eastAsia="Arial" w:hAnsi="Arial"/>
          <w:sz w:val="18"/>
          <w:szCs w:val="18"/>
          <w:color w:val="auto"/>
        </w:rPr>
        <w:t>In March 2016, we initiated the STRIDE-1 study, a Phase 3, randomized, double</w:t>
      </w:r>
      <w:r>
        <w:rPr>
          <w:rFonts w:ascii="MS PGothic" w:cs="MS PGothic" w:eastAsia="MS PGothic" w:hAnsi="MS PGothic"/>
          <w:sz w:val="18"/>
          <w:szCs w:val="18"/>
          <w:color w:val="auto"/>
        </w:rPr>
        <w:t>‑</w:t>
      </w:r>
      <w:r>
        <w:rPr>
          <w:rFonts w:ascii="Arial" w:cs="Arial" w:eastAsia="Arial" w:hAnsi="Arial"/>
          <w:sz w:val="18"/>
          <w:szCs w:val="18"/>
          <w:color w:val="auto"/>
        </w:rPr>
        <w:t>blind, active</w:t>
      </w:r>
      <w:r>
        <w:rPr>
          <w:rFonts w:ascii="MS PGothic" w:cs="MS PGothic" w:eastAsia="MS PGothic" w:hAnsi="MS PGothic"/>
          <w:sz w:val="18"/>
          <w:szCs w:val="18"/>
          <w:color w:val="auto"/>
        </w:rPr>
        <w:t>‑</w:t>
      </w:r>
      <w:r>
        <w:rPr>
          <w:rFonts w:ascii="Arial" w:cs="Arial" w:eastAsia="Arial" w:hAnsi="Arial"/>
          <w:sz w:val="18"/>
          <w:szCs w:val="18"/>
          <w:color w:val="auto"/>
        </w:rPr>
        <w:t>controlled trial to assess the efficacy and safety of AXS</w:t>
      </w:r>
      <w:r>
        <w:rPr>
          <w:rFonts w:ascii="MS PGothic" w:cs="MS PGothic" w:eastAsia="MS PGothic" w:hAnsi="MS PGothic"/>
          <w:sz w:val="18"/>
          <w:szCs w:val="18"/>
          <w:color w:val="auto"/>
        </w:rPr>
        <w:t>‑</w:t>
      </w:r>
      <w:r>
        <w:rPr>
          <w:rFonts w:ascii="Arial" w:cs="Arial" w:eastAsia="Arial" w:hAnsi="Arial"/>
          <w:sz w:val="18"/>
          <w:szCs w:val="18"/>
          <w:color w:val="auto"/>
        </w:rPr>
        <w:t>05 in the treatment of TRD.</w:t>
      </w:r>
    </w:p>
    <w:p>
      <w:pPr>
        <w:spacing w:after="0" w:line="162" w:lineRule="exact"/>
        <w:rPr>
          <w:sz w:val="20"/>
          <w:szCs w:val="20"/>
          <w:color w:val="auto"/>
        </w:rPr>
      </w:pPr>
    </w:p>
    <w:p>
      <w:pPr>
        <w:ind w:right="20" w:firstLine="648"/>
        <w:spacing w:after="0" w:line="203" w:lineRule="exact"/>
        <w:rPr>
          <w:sz w:val="20"/>
          <w:szCs w:val="20"/>
          <w:color w:val="auto"/>
        </w:rPr>
      </w:pPr>
      <w:r>
        <w:rPr>
          <w:rFonts w:ascii="Arial" w:cs="Arial" w:eastAsia="Arial" w:hAnsi="Arial"/>
          <w:sz w:val="18"/>
          <w:szCs w:val="18"/>
          <w:color w:val="auto"/>
        </w:rPr>
        <w:t>In January 2017, we received IND clearance from the FDA to proceed with our Phase 2/3 clinical trial of AXS</w:t>
      </w:r>
      <w:r>
        <w:rPr>
          <w:rFonts w:ascii="MS PGothic" w:cs="MS PGothic" w:eastAsia="MS PGothic" w:hAnsi="MS PGothic"/>
          <w:sz w:val="18"/>
          <w:szCs w:val="18"/>
          <w:color w:val="auto"/>
        </w:rPr>
        <w:t>‑</w:t>
      </w:r>
      <w:r>
        <w:rPr>
          <w:rFonts w:ascii="Arial" w:cs="Arial" w:eastAsia="Arial" w:hAnsi="Arial"/>
          <w:sz w:val="18"/>
          <w:szCs w:val="18"/>
          <w:color w:val="auto"/>
        </w:rPr>
        <w:t>05 in agitation associated with AD.</w:t>
      </w:r>
    </w:p>
    <w:p>
      <w:pPr>
        <w:spacing w:after="0" w:line="162"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In February 2017, we received Fast Track designation from the FDA for AXS</w:t>
      </w:r>
      <w:r>
        <w:rPr>
          <w:rFonts w:ascii="MS PGothic" w:cs="MS PGothic" w:eastAsia="MS PGothic" w:hAnsi="MS PGothic"/>
          <w:sz w:val="18"/>
          <w:szCs w:val="18"/>
          <w:color w:val="auto"/>
        </w:rPr>
        <w:t>‑</w:t>
      </w:r>
      <w:r>
        <w:rPr>
          <w:rFonts w:ascii="Arial" w:cs="Arial" w:eastAsia="Arial" w:hAnsi="Arial"/>
          <w:sz w:val="18"/>
          <w:szCs w:val="18"/>
          <w:color w:val="auto"/>
        </w:rPr>
        <w:t>05 for TRD.</w:t>
      </w:r>
    </w:p>
    <w:p>
      <w:pPr>
        <w:spacing w:after="0" w:line="185" w:lineRule="exact"/>
        <w:rPr>
          <w:sz w:val="20"/>
          <w:szCs w:val="20"/>
          <w:color w:val="auto"/>
        </w:rPr>
      </w:pPr>
    </w:p>
    <w:p>
      <w:pPr>
        <w:ind w:right="640" w:firstLine="648"/>
        <w:spacing w:after="0" w:line="235" w:lineRule="auto"/>
        <w:rPr>
          <w:sz w:val="20"/>
          <w:szCs w:val="20"/>
          <w:color w:val="auto"/>
        </w:rPr>
      </w:pPr>
      <w:r>
        <w:rPr>
          <w:rFonts w:ascii="Arial" w:cs="Arial" w:eastAsia="Arial" w:hAnsi="Arial"/>
          <w:sz w:val="18"/>
          <w:szCs w:val="18"/>
          <w:color w:val="auto"/>
        </w:rPr>
        <w:t>In July 2017, we initiated the ADVANCE-1 study, a Phase 2/3, randomized, double-blind, controlled trial to evaluate the efficacy and safety of AXS-05 in patients with agitation associated with AD.</w:t>
      </w:r>
    </w:p>
    <w:p>
      <w:pPr>
        <w:spacing w:after="0" w:line="162"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In December 2017, we entered into a research collaboration agreement with Duke University to evaluate AXS-05 in a Phase 2 clinical trial in smoking cessation.</w:t>
      </w:r>
    </w:p>
    <w:p>
      <w:pPr>
        <w:spacing w:after="0" w:line="162"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Completed Phase 1 Trials of AXS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05</w:t>
      </w:r>
    </w:p>
    <w:p>
      <w:pPr>
        <w:spacing w:after="0" w:line="185" w:lineRule="exact"/>
        <w:rPr>
          <w:sz w:val="20"/>
          <w:szCs w:val="20"/>
          <w:color w:val="auto"/>
        </w:rPr>
      </w:pPr>
    </w:p>
    <w:p>
      <w:pPr>
        <w:ind w:firstLine="648"/>
        <w:spacing w:after="0" w:line="189" w:lineRule="exact"/>
        <w:rPr>
          <w:sz w:val="20"/>
          <w:szCs w:val="20"/>
          <w:color w:val="auto"/>
        </w:rPr>
      </w:pPr>
      <w:r>
        <w:rPr>
          <w:rFonts w:ascii="Arial" w:cs="Arial" w:eastAsia="Arial" w:hAnsi="Arial"/>
          <w:sz w:val="16"/>
          <w:szCs w:val="16"/>
          <w:color w:val="auto"/>
        </w:rPr>
        <w:t>We have completed three Phase 1 pharmacokinetic clinical trials of AXS</w:t>
      </w:r>
      <w:r>
        <w:rPr>
          <w:rFonts w:ascii="MS PGothic" w:cs="MS PGothic" w:eastAsia="MS PGothic" w:hAnsi="MS PGothic"/>
          <w:sz w:val="16"/>
          <w:szCs w:val="16"/>
          <w:color w:val="auto"/>
        </w:rPr>
        <w:t>‑</w:t>
      </w:r>
      <w:r>
        <w:rPr>
          <w:rFonts w:ascii="Arial" w:cs="Arial" w:eastAsia="Arial" w:hAnsi="Arial"/>
          <w:sz w:val="16"/>
          <w:szCs w:val="16"/>
          <w:color w:val="auto"/>
        </w:rPr>
        <w:t>05. The objectives of these trials were to assess the pharmacokinetics of DM when co</w:t>
      </w:r>
      <w:r>
        <w:rPr>
          <w:rFonts w:ascii="MS PGothic" w:cs="MS PGothic" w:eastAsia="MS PGothic" w:hAnsi="MS PGothic"/>
          <w:sz w:val="16"/>
          <w:szCs w:val="16"/>
          <w:color w:val="auto"/>
        </w:rPr>
        <w:t>‑</w:t>
      </w:r>
      <w:r>
        <w:rPr>
          <w:rFonts w:ascii="Arial" w:cs="Arial" w:eastAsia="Arial" w:hAnsi="Arial"/>
          <w:sz w:val="16"/>
          <w:szCs w:val="16"/>
          <w:color w:val="auto"/>
        </w:rPr>
        <w:t>administered with bupropion, and to assess the safety and tolerability of the combination. In the first two Phase 1 trials, the components of AXS</w:t>
      </w:r>
      <w:r>
        <w:rPr>
          <w:rFonts w:ascii="MS PGothic" w:cs="MS PGothic" w:eastAsia="MS PGothic" w:hAnsi="MS PGothic"/>
          <w:sz w:val="16"/>
          <w:szCs w:val="16"/>
          <w:color w:val="auto"/>
        </w:rPr>
        <w:t>‑</w:t>
      </w:r>
      <w:r>
        <w:rPr>
          <w:rFonts w:ascii="Arial" w:cs="Arial" w:eastAsia="Arial" w:hAnsi="Arial"/>
          <w:sz w:val="16"/>
          <w:szCs w:val="16"/>
          <w:color w:val="auto"/>
        </w:rPr>
        <w:t>05, DM and bupropion, were co</w:t>
      </w:r>
      <w:r>
        <w:rPr>
          <w:rFonts w:ascii="MS PGothic" w:cs="MS PGothic" w:eastAsia="MS PGothic" w:hAnsi="MS PGothic"/>
          <w:sz w:val="16"/>
          <w:szCs w:val="16"/>
          <w:color w:val="auto"/>
        </w:rPr>
        <w:t>‑</w:t>
      </w:r>
      <w:r>
        <w:rPr>
          <w:rFonts w:ascii="Arial" w:cs="Arial" w:eastAsia="Arial" w:hAnsi="Arial"/>
          <w:sz w:val="16"/>
          <w:szCs w:val="16"/>
          <w:color w:val="auto"/>
        </w:rPr>
        <w:t>administered as separate tablets. In the third Phase 1 trial, AXS -05 was dosed as a bilayer tablet. In each study, administration of bupropion in combination with DM resulted in substantial increases in DM plasma concentrations measured using C</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and AUC at all</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doses tested.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6" w:lineRule="exact"/>
        <w:rPr>
          <w:sz w:val="20"/>
          <w:szCs w:val="20"/>
          <w:color w:val="auto"/>
        </w:rPr>
      </w:pPr>
      <w:r>
        <w:rPr>
          <w:rFonts w:ascii="Arial" w:cs="Arial" w:eastAsia="Arial" w:hAnsi="Arial"/>
          <w:sz w:val="16"/>
          <w:szCs w:val="16"/>
          <w:color w:val="auto"/>
        </w:rPr>
        <w:t>The first Phase 1 trial was a randomized, multiple</w:t>
      </w:r>
      <w:r>
        <w:rPr>
          <w:rFonts w:ascii="MS PGothic" w:cs="MS PGothic" w:eastAsia="MS PGothic" w:hAnsi="MS PGothic"/>
          <w:sz w:val="16"/>
          <w:szCs w:val="16"/>
          <w:color w:val="auto"/>
        </w:rPr>
        <w:t>‑</w:t>
      </w:r>
      <w:r>
        <w:rPr>
          <w:rFonts w:ascii="Arial" w:cs="Arial" w:eastAsia="Arial" w:hAnsi="Arial"/>
          <w:sz w:val="16"/>
          <w:szCs w:val="16"/>
          <w:color w:val="auto"/>
        </w:rPr>
        <w:t>dose, open</w:t>
      </w:r>
      <w:r>
        <w:rPr>
          <w:rFonts w:ascii="MS PGothic" w:cs="MS PGothic" w:eastAsia="MS PGothic" w:hAnsi="MS PGothic"/>
          <w:sz w:val="16"/>
          <w:szCs w:val="16"/>
          <w:color w:val="auto"/>
        </w:rPr>
        <w:t>‑</w:t>
      </w:r>
      <w:r>
        <w:rPr>
          <w:rFonts w:ascii="Arial" w:cs="Arial" w:eastAsia="Arial" w:hAnsi="Arial"/>
          <w:sz w:val="16"/>
          <w:szCs w:val="16"/>
          <w:color w:val="auto"/>
        </w:rPr>
        <w:t>label study to determine the pharmacokinetics of DM when various doses of DM are administered concomitantly with bupropion under fasting conditions, as well as the safety of the combination. Subjects were randomized to receive twice</w:t>
      </w:r>
      <w:r>
        <w:rPr>
          <w:rFonts w:ascii="MS PGothic" w:cs="MS PGothic" w:eastAsia="MS PGothic" w:hAnsi="MS PGothic"/>
          <w:sz w:val="16"/>
          <w:szCs w:val="16"/>
          <w:color w:val="auto"/>
        </w:rPr>
        <w:t>‑</w:t>
      </w:r>
      <w:r>
        <w:rPr>
          <w:rFonts w:ascii="Arial" w:cs="Arial" w:eastAsia="Arial" w:hAnsi="Arial"/>
          <w:sz w:val="16"/>
          <w:szCs w:val="16"/>
          <w:color w:val="auto"/>
        </w:rPr>
        <w:t>daily administrations of 150 mg of bupropion in combination with DM at various doses up to 60 mg, or 60 mg of DM alone, for 8 consecutive days. Bupropion was titrated with subjects being dosed once daily for the first 3 days, then twice daily thereafter. A total of 32 healthy, adult volunteers were included in this study in four treatment groups. Full pharmacokinetic assessments were made on Day 1 and Day 8. For the dose of 60 mg of DM / 150 mg of bupropion, AUC</w:t>
      </w:r>
      <w:r>
        <w:rPr>
          <w:rFonts w:ascii="Arial" w:cs="Arial" w:eastAsia="Arial" w:hAnsi="Arial"/>
          <w:sz w:val="26"/>
          <w:szCs w:val="26"/>
          <w:color w:val="auto"/>
          <w:vertAlign w:val="subscript"/>
        </w:rPr>
        <w:t>0</w:t>
      </w:r>
      <w:r>
        <w:rPr>
          <w:rFonts w:ascii="MS PGothic" w:cs="MS PGothic" w:eastAsia="MS PGothic" w:hAnsi="MS PGothic"/>
          <w:sz w:val="26"/>
          <w:szCs w:val="26"/>
          <w:color w:val="auto"/>
          <w:vertAlign w:val="subscript"/>
        </w:rPr>
        <w:t>‑</w:t>
      </w:r>
      <w:r>
        <w:rPr>
          <w:rFonts w:ascii="Arial" w:cs="Arial" w:eastAsia="Arial" w:hAnsi="Arial"/>
          <w:sz w:val="26"/>
          <w:szCs w:val="26"/>
          <w:color w:val="auto"/>
          <w:vertAlign w:val="subscript"/>
        </w:rPr>
        <w:t>12</w:t>
      </w:r>
      <w:r>
        <w:rPr>
          <w:rFonts w:ascii="Arial" w:cs="Arial" w:eastAsia="Arial" w:hAnsi="Arial"/>
          <w:sz w:val="16"/>
          <w:szCs w:val="16"/>
          <w:color w:val="auto"/>
        </w:rPr>
        <w:t xml:space="preserve"> and C</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values on Day 8 for DM when dosed in combination with bupropion were</w:t>
      </w:r>
    </w:p>
    <w:p>
      <w:pPr>
        <w:spacing w:after="0" w:line="1" w:lineRule="exact"/>
        <w:rPr>
          <w:sz w:val="20"/>
          <w:szCs w:val="20"/>
          <w:color w:val="auto"/>
        </w:rPr>
      </w:pPr>
    </w:p>
    <w:p>
      <w:pPr>
        <w:ind w:right="80"/>
        <w:spacing w:after="0" w:line="203" w:lineRule="exact"/>
        <w:rPr>
          <w:sz w:val="20"/>
          <w:szCs w:val="20"/>
          <w:color w:val="auto"/>
        </w:rPr>
      </w:pPr>
      <w:r>
        <w:rPr>
          <w:rFonts w:ascii="Arial" w:cs="Arial" w:eastAsia="Arial" w:hAnsi="Arial"/>
          <w:sz w:val="16"/>
          <w:szCs w:val="16"/>
          <w:color w:val="auto"/>
        </w:rPr>
        <w:t>approximately 60 times and 40 times, respectively, the values for DM when dosed alone. For all doses tested, administration of DM in combination with bupropion resulted in substantial increases in AUC</w:t>
      </w:r>
      <w:r>
        <w:rPr>
          <w:rFonts w:ascii="Arial" w:cs="Arial" w:eastAsia="Arial" w:hAnsi="Arial"/>
          <w:sz w:val="26"/>
          <w:szCs w:val="26"/>
          <w:color w:val="auto"/>
          <w:vertAlign w:val="subscript"/>
        </w:rPr>
        <w:t>0</w:t>
      </w:r>
      <w:r>
        <w:rPr>
          <w:rFonts w:ascii="MS PGothic" w:cs="MS PGothic" w:eastAsia="MS PGothic" w:hAnsi="MS PGothic"/>
          <w:sz w:val="26"/>
          <w:szCs w:val="26"/>
          <w:color w:val="auto"/>
          <w:vertAlign w:val="subscript"/>
        </w:rPr>
        <w:t>‑</w:t>
      </w:r>
      <w:r>
        <w:rPr>
          <w:rFonts w:ascii="Arial" w:cs="Arial" w:eastAsia="Arial" w:hAnsi="Arial"/>
          <w:sz w:val="26"/>
          <w:szCs w:val="26"/>
          <w:color w:val="auto"/>
          <w:vertAlign w:val="subscript"/>
        </w:rPr>
        <w:t>12</w:t>
      </w:r>
      <w:r>
        <w:rPr>
          <w:rFonts w:ascii="Arial" w:cs="Arial" w:eastAsia="Arial" w:hAnsi="Arial"/>
          <w:sz w:val="16"/>
          <w:szCs w:val="16"/>
          <w:color w:val="auto"/>
        </w:rPr>
        <w:t xml:space="preserve"> and C</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values of DM on Day 8 as</w:t>
      </w:r>
    </w:p>
    <w:p>
      <w:pPr>
        <w:spacing w:after="0" w:line="1" w:lineRule="exact"/>
        <w:rPr>
          <w:sz w:val="20"/>
          <w:szCs w:val="20"/>
          <w:color w:val="auto"/>
        </w:rPr>
      </w:pPr>
    </w:p>
    <w:p>
      <w:pPr>
        <w:ind w:right="400"/>
        <w:spacing w:after="0" w:line="220" w:lineRule="auto"/>
        <w:rPr>
          <w:sz w:val="20"/>
          <w:szCs w:val="20"/>
          <w:color w:val="auto"/>
        </w:rPr>
      </w:pPr>
      <w:r>
        <w:rPr>
          <w:rFonts w:ascii="Arial" w:cs="Arial" w:eastAsia="Arial" w:hAnsi="Arial"/>
          <w:sz w:val="16"/>
          <w:szCs w:val="16"/>
          <w:color w:val="auto"/>
        </w:rPr>
        <w:t>compared to Day 1 of dosing. DM exposure measured using AUC and C</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increased in a dose dependent manner with increasing doses of DM. Administration of DM did not appear to affect the pharmacokinetics of bupropion.</w:t>
      </w:r>
    </w:p>
    <w:p>
      <w:pPr>
        <w:spacing w:after="0" w:line="163" w:lineRule="exact"/>
        <w:rPr>
          <w:sz w:val="20"/>
          <w:szCs w:val="20"/>
          <w:color w:val="auto"/>
        </w:rPr>
      </w:pPr>
    </w:p>
    <w:p>
      <w:pPr>
        <w:jc w:val="both"/>
        <w:ind w:right="280" w:firstLine="648"/>
        <w:spacing w:after="0" w:line="184" w:lineRule="exact"/>
        <w:rPr>
          <w:sz w:val="20"/>
          <w:szCs w:val="20"/>
          <w:color w:val="auto"/>
        </w:rPr>
      </w:pPr>
      <w:r>
        <w:rPr>
          <w:rFonts w:ascii="Arial" w:cs="Arial" w:eastAsia="Arial" w:hAnsi="Arial"/>
          <w:sz w:val="16"/>
          <w:szCs w:val="16"/>
          <w:color w:val="auto"/>
        </w:rPr>
        <w:t>There were no reported serious adverse events in the trial. The majority of treatment</w:t>
      </w:r>
      <w:r>
        <w:rPr>
          <w:rFonts w:ascii="MS PGothic" w:cs="MS PGothic" w:eastAsia="MS PGothic" w:hAnsi="MS PGothic"/>
          <w:sz w:val="16"/>
          <w:szCs w:val="16"/>
          <w:color w:val="auto"/>
        </w:rPr>
        <w:t>‑</w:t>
      </w:r>
      <w:r>
        <w:rPr>
          <w:rFonts w:ascii="Arial" w:cs="Arial" w:eastAsia="Arial" w:hAnsi="Arial"/>
          <w:sz w:val="16"/>
          <w:szCs w:val="16"/>
          <w:color w:val="auto"/>
        </w:rPr>
        <w:t>emergent adverse events experienced were graded as mild or moderate in severity, and had resolved by the end of the study. The most commonly reported adverse events were dizziness, nausea, headache, insomnia, dry mouth, constipation, hypoesthesia, palpitation, disturbance in attention, tremor, and hyperhidrosis. Adverse events were reported more frequently in the AXS</w:t>
      </w:r>
      <w:r>
        <w:rPr>
          <w:rFonts w:ascii="MS PGothic" w:cs="MS PGothic" w:eastAsia="MS PGothic" w:hAnsi="MS PGothic"/>
          <w:sz w:val="16"/>
          <w:szCs w:val="16"/>
          <w:color w:val="auto"/>
        </w:rPr>
        <w:t>‑</w:t>
      </w:r>
      <w:r>
        <w:rPr>
          <w:rFonts w:ascii="Arial" w:cs="Arial" w:eastAsia="Arial" w:hAnsi="Arial"/>
          <w:sz w:val="16"/>
          <w:szCs w:val="16"/>
          <w:color w:val="auto"/>
        </w:rPr>
        <w:t>05 arm as compared to the DM</w:t>
      </w:r>
      <w:r>
        <w:rPr>
          <w:rFonts w:ascii="MS PGothic" w:cs="MS PGothic" w:eastAsia="MS PGothic" w:hAnsi="MS PGothic"/>
          <w:sz w:val="16"/>
          <w:szCs w:val="16"/>
          <w:color w:val="auto"/>
        </w:rPr>
        <w:t>‑</w:t>
      </w:r>
      <w:r>
        <w:rPr>
          <w:rFonts w:ascii="Arial" w:cs="Arial" w:eastAsia="Arial" w:hAnsi="Arial"/>
          <w:sz w:val="16"/>
          <w:szCs w:val="16"/>
          <w:color w:val="auto"/>
        </w:rPr>
        <w:t>only arm. The majority of these adverse events were expected with the administration of bupropion, having been already reported in the FDA package inserts for products containing bupropion.</w:t>
      </w:r>
    </w:p>
    <w:p>
      <w:pPr>
        <w:spacing w:after="0" w:line="166" w:lineRule="exact"/>
        <w:rPr>
          <w:sz w:val="20"/>
          <w:szCs w:val="20"/>
          <w:color w:val="auto"/>
        </w:rPr>
      </w:pPr>
    </w:p>
    <w:p>
      <w:pPr>
        <w:ind w:right="120" w:firstLine="648"/>
        <w:spacing w:after="0" w:line="184" w:lineRule="exact"/>
        <w:rPr>
          <w:sz w:val="20"/>
          <w:szCs w:val="20"/>
          <w:color w:val="auto"/>
        </w:rPr>
      </w:pPr>
      <w:r>
        <w:rPr>
          <w:rFonts w:ascii="Arial" w:cs="Arial" w:eastAsia="Arial" w:hAnsi="Arial"/>
          <w:sz w:val="16"/>
          <w:szCs w:val="16"/>
          <w:color w:val="auto"/>
        </w:rPr>
        <w:t>The second Phase 1 trial was a randomized, multiple</w:t>
      </w:r>
      <w:r>
        <w:rPr>
          <w:rFonts w:ascii="MS PGothic" w:cs="MS PGothic" w:eastAsia="MS PGothic" w:hAnsi="MS PGothic"/>
          <w:sz w:val="16"/>
          <w:szCs w:val="16"/>
          <w:color w:val="auto"/>
        </w:rPr>
        <w:t>‑</w:t>
      </w:r>
      <w:r>
        <w:rPr>
          <w:rFonts w:ascii="Arial" w:cs="Arial" w:eastAsia="Arial" w:hAnsi="Arial"/>
          <w:sz w:val="16"/>
          <w:szCs w:val="16"/>
          <w:color w:val="auto"/>
        </w:rPr>
        <w:t>dose, open</w:t>
      </w:r>
      <w:r>
        <w:rPr>
          <w:rFonts w:ascii="MS PGothic" w:cs="MS PGothic" w:eastAsia="MS PGothic" w:hAnsi="MS PGothic"/>
          <w:sz w:val="16"/>
          <w:szCs w:val="16"/>
          <w:color w:val="auto"/>
        </w:rPr>
        <w:t>‑</w:t>
      </w:r>
      <w:r>
        <w:rPr>
          <w:rFonts w:ascii="Arial" w:cs="Arial" w:eastAsia="Arial" w:hAnsi="Arial"/>
          <w:sz w:val="16"/>
          <w:szCs w:val="16"/>
          <w:color w:val="auto"/>
        </w:rPr>
        <w:t>label study to determine the pharmacokinetics of DM when various doses of DM are administered concomitantly with various doses of bupropion and to assess safety during co</w:t>
      </w:r>
      <w:r>
        <w:rPr>
          <w:rFonts w:ascii="MS PGothic" w:cs="MS PGothic" w:eastAsia="MS PGothic" w:hAnsi="MS PGothic"/>
          <w:sz w:val="16"/>
          <w:szCs w:val="16"/>
          <w:color w:val="auto"/>
        </w:rPr>
        <w:t>‑</w:t>
      </w:r>
      <w:r>
        <w:rPr>
          <w:rFonts w:ascii="Arial" w:cs="Arial" w:eastAsia="Arial" w:hAnsi="Arial"/>
          <w:sz w:val="16"/>
          <w:szCs w:val="16"/>
          <w:color w:val="auto"/>
        </w:rPr>
        <w:t>administration of bupropion and DM. A total of 40 healthy, adult volunteers were included in this study in five treatment groups. Subjects were randomized to receive twice</w:t>
      </w:r>
      <w:r>
        <w:rPr>
          <w:rFonts w:ascii="MS PGothic" w:cs="MS PGothic" w:eastAsia="MS PGothic" w:hAnsi="MS PGothic"/>
          <w:sz w:val="16"/>
          <w:szCs w:val="16"/>
          <w:color w:val="auto"/>
        </w:rPr>
        <w:t>‑</w:t>
      </w:r>
      <w:r>
        <w:rPr>
          <w:rFonts w:ascii="Arial" w:cs="Arial" w:eastAsia="Arial" w:hAnsi="Arial"/>
          <w:sz w:val="16"/>
          <w:szCs w:val="16"/>
          <w:color w:val="auto"/>
        </w:rPr>
        <w:t>daily administration of either 150 mg of bupropion alone, or combinations of varying doses of bupropion and DM for 8 consecutive days. Bupropion was titrated with subjects being dosed once daily for the first 3 days, then twice daily thereafter. Full pharmacokinetic assessments were made on Day 1 and Day 8. Similar to the results in our first study, administration of DM in combination with bupropion resulted in substantial increases in AUC</w:t>
      </w:r>
      <w:r>
        <w:rPr>
          <w:rFonts w:ascii="Arial" w:cs="Arial" w:eastAsia="Arial" w:hAnsi="Arial"/>
          <w:sz w:val="26"/>
          <w:szCs w:val="26"/>
          <w:color w:val="auto"/>
          <w:vertAlign w:val="subscript"/>
        </w:rPr>
        <w:t>0</w:t>
      </w:r>
      <w:r>
        <w:rPr>
          <w:rFonts w:ascii="MS PGothic" w:cs="MS PGothic" w:eastAsia="MS PGothic" w:hAnsi="MS PGothic"/>
          <w:sz w:val="26"/>
          <w:szCs w:val="26"/>
          <w:color w:val="auto"/>
          <w:vertAlign w:val="subscript"/>
        </w:rPr>
        <w:t>‑</w:t>
      </w:r>
      <w:r>
        <w:rPr>
          <w:rFonts w:ascii="Arial" w:cs="Arial" w:eastAsia="Arial" w:hAnsi="Arial"/>
          <w:sz w:val="26"/>
          <w:szCs w:val="26"/>
          <w:color w:val="auto"/>
          <w:vertAlign w:val="subscript"/>
        </w:rPr>
        <w:t>12</w:t>
      </w:r>
      <w:r>
        <w:rPr>
          <w:rFonts w:ascii="Arial" w:cs="Arial" w:eastAsia="Arial" w:hAnsi="Arial"/>
          <w:sz w:val="16"/>
          <w:szCs w:val="16"/>
          <w:color w:val="auto"/>
        </w:rPr>
        <w:t xml:space="preserve"> and C</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values of DM on Day 8 as compared to Day 1 of dosing for all combinations tested. DM</w:t>
      </w:r>
    </w:p>
    <w:p>
      <w:pPr>
        <w:spacing w:after="0" w:line="7" w:lineRule="exact"/>
        <w:rPr>
          <w:sz w:val="20"/>
          <w:szCs w:val="20"/>
          <w:color w:val="auto"/>
        </w:rPr>
      </w:pPr>
    </w:p>
    <w:p>
      <w:pPr>
        <w:ind w:right="280"/>
        <w:spacing w:after="0" w:line="222" w:lineRule="exact"/>
        <w:rPr>
          <w:sz w:val="20"/>
          <w:szCs w:val="20"/>
          <w:color w:val="auto"/>
        </w:rPr>
      </w:pPr>
      <w:r>
        <w:rPr>
          <w:rFonts w:ascii="Arial" w:cs="Arial" w:eastAsia="Arial" w:hAnsi="Arial"/>
          <w:sz w:val="18"/>
          <w:szCs w:val="18"/>
          <w:color w:val="auto"/>
        </w:rPr>
        <w:t>exposure measured using AUC and C</w:t>
      </w:r>
      <w:r>
        <w:rPr>
          <w:rFonts w:ascii="Arial" w:cs="Arial" w:eastAsia="Arial" w:hAnsi="Arial"/>
          <w:sz w:val="30"/>
          <w:szCs w:val="30"/>
          <w:color w:val="auto"/>
          <w:vertAlign w:val="subscript"/>
        </w:rPr>
        <w:t>max</w:t>
      </w:r>
      <w:r>
        <w:rPr>
          <w:rFonts w:ascii="Arial" w:cs="Arial" w:eastAsia="Arial" w:hAnsi="Arial"/>
          <w:sz w:val="18"/>
          <w:szCs w:val="18"/>
          <w:color w:val="auto"/>
        </w:rPr>
        <w:t xml:space="preserve"> increased in a dose</w:t>
      </w:r>
      <w:r>
        <w:rPr>
          <w:rFonts w:ascii="MS PGothic" w:cs="MS PGothic" w:eastAsia="MS PGothic" w:hAnsi="MS PGothic"/>
          <w:sz w:val="18"/>
          <w:szCs w:val="18"/>
          <w:color w:val="auto"/>
        </w:rPr>
        <w:t>‑</w:t>
      </w:r>
      <w:r>
        <w:rPr>
          <w:rFonts w:ascii="Arial" w:cs="Arial" w:eastAsia="Arial" w:hAnsi="Arial"/>
          <w:sz w:val="18"/>
          <w:szCs w:val="18"/>
          <w:color w:val="auto"/>
        </w:rPr>
        <w:t>dependent manner as doses of either DM or bupropion were increased. Administration of DM did not appear to affect the pharmacokinetics of bupropion.</w:t>
      </w:r>
    </w:p>
    <w:p>
      <w:pPr>
        <w:spacing w:after="0" w:line="161" w:lineRule="exact"/>
        <w:rPr>
          <w:sz w:val="20"/>
          <w:szCs w:val="20"/>
          <w:color w:val="auto"/>
        </w:rPr>
      </w:pPr>
    </w:p>
    <w:p>
      <w:pPr>
        <w:ind w:right="80" w:firstLine="648"/>
        <w:spacing w:after="0" w:line="187" w:lineRule="exact"/>
        <w:rPr>
          <w:sz w:val="20"/>
          <w:szCs w:val="20"/>
          <w:color w:val="auto"/>
        </w:rPr>
      </w:pPr>
      <w:r>
        <w:rPr>
          <w:rFonts w:ascii="Arial" w:cs="Arial" w:eastAsia="Arial" w:hAnsi="Arial"/>
          <w:sz w:val="17"/>
          <w:szCs w:val="17"/>
          <w:color w:val="auto"/>
        </w:rPr>
        <w:t>There were no reported serious adverse events in the trial. The majority of treatment</w:t>
      </w:r>
      <w:r>
        <w:rPr>
          <w:rFonts w:ascii="MS PGothic" w:cs="MS PGothic" w:eastAsia="MS PGothic" w:hAnsi="MS PGothic"/>
          <w:sz w:val="17"/>
          <w:szCs w:val="17"/>
          <w:color w:val="auto"/>
        </w:rPr>
        <w:t>‑</w:t>
      </w:r>
      <w:r>
        <w:rPr>
          <w:rFonts w:ascii="Arial" w:cs="Arial" w:eastAsia="Arial" w:hAnsi="Arial"/>
          <w:sz w:val="17"/>
          <w:szCs w:val="17"/>
          <w:color w:val="auto"/>
        </w:rPr>
        <w:t>emergent adverse events experienced were graded as mild in severity, and had resolved by the end of the study. The most commonly reported adverse events were headache, nausea, dizziness, fatigue, increased heart rate, palpitations, constipation, diarrhea, increased blood pressure, and tremor. No particular trend was observed when comparing the rates or types of adverse events in the combination groups as compared to the group receiving bupropion alone.</w:t>
      </w:r>
    </w:p>
    <w:p>
      <w:pPr>
        <w:spacing w:after="0" w:line="161" w:lineRule="exact"/>
        <w:rPr>
          <w:sz w:val="20"/>
          <w:szCs w:val="20"/>
          <w:color w:val="auto"/>
        </w:rPr>
      </w:pPr>
    </w:p>
    <w:p>
      <w:pPr>
        <w:ind w:right="20" w:firstLine="648"/>
        <w:spacing w:after="0" w:line="199" w:lineRule="exact"/>
        <w:rPr>
          <w:sz w:val="20"/>
          <w:szCs w:val="20"/>
          <w:color w:val="auto"/>
        </w:rPr>
      </w:pPr>
      <w:r>
        <w:rPr>
          <w:rFonts w:ascii="Arial" w:cs="Arial" w:eastAsia="Arial" w:hAnsi="Arial"/>
          <w:sz w:val="16"/>
          <w:szCs w:val="16"/>
          <w:color w:val="auto"/>
        </w:rPr>
        <w:t>The third Phase 1 trial was a randomized, multiple</w:t>
      </w:r>
      <w:r>
        <w:rPr>
          <w:rFonts w:ascii="MS PGothic" w:cs="MS PGothic" w:eastAsia="MS PGothic" w:hAnsi="MS PGothic"/>
          <w:sz w:val="16"/>
          <w:szCs w:val="16"/>
          <w:color w:val="auto"/>
        </w:rPr>
        <w:t>‑</w:t>
      </w:r>
      <w:r>
        <w:rPr>
          <w:rFonts w:ascii="Arial" w:cs="Arial" w:eastAsia="Arial" w:hAnsi="Arial"/>
          <w:sz w:val="16"/>
          <w:szCs w:val="16"/>
          <w:color w:val="auto"/>
        </w:rPr>
        <w:t>dose, double-blind pharmacokinetic study of AXS-05 conducted using a single tablet containing DM and buproprion. In this study, which enrolled a total of 30 healthy, adult volunteers, administration of AXS-05 as a single tablet resulted in substantial increases in AUC</w:t>
      </w:r>
      <w:r>
        <w:rPr>
          <w:rFonts w:ascii="Arial" w:cs="Arial" w:eastAsia="Arial" w:hAnsi="Arial"/>
          <w:sz w:val="26"/>
          <w:szCs w:val="26"/>
          <w:color w:val="auto"/>
          <w:vertAlign w:val="subscript"/>
        </w:rPr>
        <w:t>0</w:t>
      </w:r>
      <w:r>
        <w:rPr>
          <w:rFonts w:ascii="MS PGothic" w:cs="MS PGothic" w:eastAsia="MS PGothic" w:hAnsi="MS PGothic"/>
          <w:sz w:val="26"/>
          <w:szCs w:val="26"/>
          <w:color w:val="auto"/>
          <w:vertAlign w:val="subscript"/>
        </w:rPr>
        <w:t>‑</w:t>
      </w:r>
      <w:r>
        <w:rPr>
          <w:rFonts w:ascii="Arial" w:cs="Arial" w:eastAsia="Arial" w:hAnsi="Arial"/>
          <w:sz w:val="26"/>
          <w:szCs w:val="26"/>
          <w:color w:val="auto"/>
          <w:vertAlign w:val="subscript"/>
        </w:rPr>
        <w:t>12</w:t>
      </w:r>
      <w:r>
        <w:rPr>
          <w:rFonts w:ascii="Arial" w:cs="Arial" w:eastAsia="Arial" w:hAnsi="Arial"/>
          <w:sz w:val="16"/>
          <w:szCs w:val="16"/>
          <w:color w:val="auto"/>
        </w:rPr>
        <w:t xml:space="preserve"> and C</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values of DM compared to</w:t>
      </w:r>
    </w:p>
    <w:p>
      <w:pPr>
        <w:spacing w:after="0" w:line="2" w:lineRule="exact"/>
        <w:rPr>
          <w:sz w:val="20"/>
          <w:szCs w:val="20"/>
          <w:color w:val="auto"/>
        </w:rPr>
      </w:pPr>
    </w:p>
    <w:p>
      <w:pPr>
        <w:jc w:val="both"/>
        <w:ind w:right="20"/>
        <w:spacing w:after="0" w:line="188" w:lineRule="exact"/>
        <w:rPr>
          <w:sz w:val="20"/>
          <w:szCs w:val="20"/>
          <w:color w:val="auto"/>
        </w:rPr>
      </w:pPr>
      <w:r>
        <w:rPr>
          <w:rFonts w:ascii="Arial" w:cs="Arial" w:eastAsia="Arial" w:hAnsi="Arial"/>
          <w:sz w:val="16"/>
          <w:szCs w:val="16"/>
          <w:color w:val="auto"/>
        </w:rPr>
        <w:t>Day 1 levels similar to the increases observed in our first two Phase 1 studies. There were no reported serious adverse events in the trial. The majority of treatment</w:t>
      </w:r>
      <w:r>
        <w:rPr>
          <w:rFonts w:ascii="MS PGothic" w:cs="MS PGothic" w:eastAsia="MS PGothic" w:hAnsi="MS PGothic"/>
          <w:sz w:val="16"/>
          <w:szCs w:val="16"/>
          <w:color w:val="auto"/>
        </w:rPr>
        <w:t>‑</w:t>
      </w:r>
      <w:r>
        <w:rPr>
          <w:rFonts w:ascii="Arial" w:cs="Arial" w:eastAsia="Arial" w:hAnsi="Arial"/>
          <w:sz w:val="16"/>
          <w:szCs w:val="16"/>
          <w:color w:val="auto"/>
        </w:rPr>
        <w:t>emergent adverse events experienced were graded as mild in severity, and had resolved by the end of the study. The most commonly reported adverse events were dizziness, fatigue, headache, and insomnia.</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Ongoing STRIDE-1 Study</w:t>
      </w:r>
    </w:p>
    <w:p>
      <w:pPr>
        <w:spacing w:after="0" w:line="185" w:lineRule="exact"/>
        <w:rPr>
          <w:sz w:val="20"/>
          <w:szCs w:val="20"/>
          <w:color w:val="auto"/>
        </w:rPr>
      </w:pPr>
    </w:p>
    <w:p>
      <w:pPr>
        <w:ind w:right="99" w:firstLine="648"/>
        <w:spacing w:after="0" w:line="181" w:lineRule="exact"/>
        <w:rPr>
          <w:sz w:val="20"/>
          <w:szCs w:val="20"/>
          <w:color w:val="auto"/>
        </w:rPr>
      </w:pPr>
      <w:r>
        <w:rPr>
          <w:rFonts w:ascii="Arial" w:cs="Arial" w:eastAsia="Arial" w:hAnsi="Arial"/>
          <w:sz w:val="16"/>
          <w:szCs w:val="16"/>
          <w:color w:val="auto"/>
        </w:rPr>
        <w:t>In March 2016, we initiated the STRIDE-1 study, a Phase 3, randomized, double</w:t>
      </w:r>
      <w:r>
        <w:rPr>
          <w:rFonts w:ascii="MS PGothic" w:cs="MS PGothic" w:eastAsia="MS PGothic" w:hAnsi="MS PGothic"/>
          <w:sz w:val="16"/>
          <w:szCs w:val="16"/>
          <w:color w:val="auto"/>
        </w:rPr>
        <w:t>‑</w:t>
      </w:r>
      <w:r>
        <w:rPr>
          <w:rFonts w:ascii="Arial" w:cs="Arial" w:eastAsia="Arial" w:hAnsi="Arial"/>
          <w:sz w:val="16"/>
          <w:szCs w:val="16"/>
          <w:color w:val="auto"/>
        </w:rPr>
        <w:t>blind, active</w:t>
      </w:r>
      <w:r>
        <w:rPr>
          <w:rFonts w:ascii="MS PGothic" w:cs="MS PGothic" w:eastAsia="MS PGothic" w:hAnsi="MS PGothic"/>
          <w:sz w:val="16"/>
          <w:szCs w:val="16"/>
          <w:color w:val="auto"/>
        </w:rPr>
        <w:t>‑</w:t>
      </w:r>
      <w:r>
        <w:rPr>
          <w:rFonts w:ascii="Arial" w:cs="Arial" w:eastAsia="Arial" w:hAnsi="Arial"/>
          <w:sz w:val="16"/>
          <w:szCs w:val="16"/>
          <w:color w:val="auto"/>
        </w:rPr>
        <w:t>controlled trial to assess the efficacy and safety of AXS</w:t>
      </w:r>
      <w:r>
        <w:rPr>
          <w:rFonts w:ascii="MS PGothic" w:cs="MS PGothic" w:eastAsia="MS PGothic" w:hAnsi="MS PGothic"/>
          <w:sz w:val="16"/>
          <w:szCs w:val="16"/>
          <w:color w:val="auto"/>
        </w:rPr>
        <w:t>‑</w:t>
      </w:r>
      <w:r>
        <w:rPr>
          <w:rFonts w:ascii="Arial" w:cs="Arial" w:eastAsia="Arial" w:hAnsi="Arial"/>
          <w:sz w:val="16"/>
          <w:szCs w:val="16"/>
          <w:color w:val="auto"/>
        </w:rPr>
        <w:t>05 in the treatment of TRD. Patients with MDD who have had inadequate response to one or two antidepressant treatments are treated in an open</w:t>
      </w:r>
      <w:r>
        <w:rPr>
          <w:rFonts w:ascii="MS PGothic" w:cs="MS PGothic" w:eastAsia="MS PGothic" w:hAnsi="MS PGothic"/>
          <w:sz w:val="16"/>
          <w:szCs w:val="16"/>
          <w:color w:val="auto"/>
        </w:rPr>
        <w:t>‑</w:t>
      </w:r>
      <w:r>
        <w:rPr>
          <w:rFonts w:ascii="Arial" w:cs="Arial" w:eastAsia="Arial" w:hAnsi="Arial"/>
          <w:sz w:val="16"/>
          <w:szCs w:val="16"/>
          <w:color w:val="auto"/>
        </w:rPr>
        <w:t>label fashion with bupropion during a 6</w:t>
      </w:r>
      <w:r>
        <w:rPr>
          <w:rFonts w:ascii="MS PGothic" w:cs="MS PGothic" w:eastAsia="MS PGothic" w:hAnsi="MS PGothic"/>
          <w:sz w:val="16"/>
          <w:szCs w:val="16"/>
          <w:color w:val="auto"/>
        </w:rPr>
        <w:t>‑</w:t>
      </w:r>
      <w:r>
        <w:rPr>
          <w:rFonts w:ascii="Arial" w:cs="Arial" w:eastAsia="Arial" w:hAnsi="Arial"/>
          <w:sz w:val="16"/>
          <w:szCs w:val="16"/>
          <w:color w:val="auto"/>
        </w:rPr>
        <w:t>week lead</w:t>
      </w:r>
      <w:r>
        <w:rPr>
          <w:rFonts w:ascii="MS PGothic" w:cs="MS PGothic" w:eastAsia="MS PGothic" w:hAnsi="MS PGothic"/>
          <w:sz w:val="16"/>
          <w:szCs w:val="16"/>
          <w:color w:val="auto"/>
        </w:rPr>
        <w:t>‑</w:t>
      </w:r>
      <w:r>
        <w:rPr>
          <w:rFonts w:ascii="Arial" w:cs="Arial" w:eastAsia="Arial" w:hAnsi="Arial"/>
          <w:sz w:val="16"/>
          <w:szCs w:val="16"/>
          <w:color w:val="auto"/>
        </w:rPr>
        <w:t>in period. Patients who had inadequate response to bupropion during this lead</w:t>
      </w:r>
      <w:r>
        <w:rPr>
          <w:rFonts w:ascii="MS PGothic" w:cs="MS PGothic" w:eastAsia="MS PGothic" w:hAnsi="MS PGothic"/>
          <w:sz w:val="16"/>
          <w:szCs w:val="16"/>
          <w:color w:val="auto"/>
        </w:rPr>
        <w:t>‑</w:t>
      </w:r>
      <w:r>
        <w:rPr>
          <w:rFonts w:ascii="Arial" w:cs="Arial" w:eastAsia="Arial" w:hAnsi="Arial"/>
          <w:sz w:val="16"/>
          <w:szCs w:val="16"/>
          <w:color w:val="auto"/>
        </w:rPr>
        <w:t>in period are considered to have TRD and are randomly assigned in a 1:1 ratio to receive bupropion or AXS</w:t>
      </w:r>
      <w:r>
        <w:rPr>
          <w:rFonts w:ascii="MS PGothic" w:cs="MS PGothic" w:eastAsia="MS PGothic" w:hAnsi="MS PGothic"/>
          <w:sz w:val="16"/>
          <w:szCs w:val="16"/>
          <w:color w:val="auto"/>
        </w:rPr>
        <w:t>‑</w:t>
      </w:r>
      <w:r>
        <w:rPr>
          <w:rFonts w:ascii="Arial" w:cs="Arial" w:eastAsia="Arial" w:hAnsi="Arial"/>
          <w:sz w:val="16"/>
          <w:szCs w:val="16"/>
          <w:color w:val="auto"/>
        </w:rPr>
        <w:t>05 under fasting conditions in a double</w:t>
      </w:r>
      <w:r>
        <w:rPr>
          <w:rFonts w:ascii="MS PGothic" w:cs="MS PGothic" w:eastAsia="MS PGothic" w:hAnsi="MS PGothic"/>
          <w:sz w:val="16"/>
          <w:szCs w:val="16"/>
          <w:color w:val="auto"/>
        </w:rPr>
        <w:t>‑</w:t>
      </w:r>
      <w:r>
        <w:rPr>
          <w:rFonts w:ascii="Arial" w:cs="Arial" w:eastAsia="Arial" w:hAnsi="Arial"/>
          <w:sz w:val="16"/>
          <w:szCs w:val="16"/>
          <w:color w:val="auto"/>
        </w:rPr>
        <w:t>blind fashion for 6 weeks. The primary endpoint is the change in the MADRS after 6 weeks of treatment. The trial will enroll a total of approximately 346 randomized patients. Two interim analyses are planned. The first interim analysis will be performed on the first approximately 40% of the target number of subjects to assess futility. The second interim analysis will be performed on the first approximately 60% of the target number of subjects to assess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124460</wp:posOffset>
            </wp:positionV>
            <wp:extent cx="5240020" cy="2058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40020" cy="205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Ongoing ADVANCE-1 Study</w:t>
      </w:r>
    </w:p>
    <w:p>
      <w:pPr>
        <w:spacing w:after="0" w:line="185" w:lineRule="exact"/>
        <w:rPr>
          <w:sz w:val="20"/>
          <w:szCs w:val="20"/>
          <w:color w:val="auto"/>
        </w:rPr>
      </w:pPr>
    </w:p>
    <w:p>
      <w:pPr>
        <w:ind w:right="100" w:firstLine="648"/>
        <w:spacing w:after="0" w:line="225" w:lineRule="auto"/>
        <w:rPr>
          <w:sz w:val="20"/>
          <w:szCs w:val="20"/>
          <w:color w:val="auto"/>
        </w:rPr>
      </w:pPr>
      <w:r>
        <w:rPr>
          <w:rFonts w:ascii="Arial" w:cs="Arial" w:eastAsia="Arial" w:hAnsi="Arial"/>
          <w:sz w:val="17"/>
          <w:szCs w:val="17"/>
          <w:color w:val="auto"/>
        </w:rPr>
        <w:t>In July 2017, we initiated the ADVANCE-1 study, a Phase 2/3, randomized, double-blind, controlled trial to evaluate the efficacy and safety of AXS-05 in patients with agitation associated with AD. Patients with probable AD and clinically significant agitation are randomly assigned in a 1:1:1 ratio to receive bupropion, placebo, or AXS-05 in a double-blind fashion. The primary endpoint is the change in the Cohen-Mansfield Agitation Inventory. The trial will randomize a total of approximately 435 patients. Two interim analyses are planned. The first interim analysis will be performed on the first approximately 30% of the target number of subjects to assess futility. The second interim analysis will be performed on the first approximately 60% of the target number of subjects to assess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120650</wp:posOffset>
            </wp:positionV>
            <wp:extent cx="5102860" cy="19983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02860"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AXS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09</w:t>
      </w:r>
    </w:p>
    <w:p>
      <w:pPr>
        <w:spacing w:after="0" w:line="189"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AXS</w:t>
      </w:r>
      <w:r>
        <w:rPr>
          <w:rFonts w:ascii="MS PGothic" w:cs="MS PGothic" w:eastAsia="MS PGothic" w:hAnsi="MS PGothic"/>
          <w:sz w:val="17"/>
          <w:szCs w:val="17"/>
          <w:color w:val="auto"/>
        </w:rPr>
        <w:t>‑</w:t>
      </w:r>
      <w:r>
        <w:rPr>
          <w:rFonts w:ascii="Arial" w:cs="Arial" w:eastAsia="Arial" w:hAnsi="Arial"/>
          <w:sz w:val="17"/>
          <w:szCs w:val="17"/>
          <w:color w:val="auto"/>
        </w:rPr>
        <w:t xml:space="preserve">09 is a novel, oral medicine consisting of chirally pure esbupropion and DM under development for the treatment of CNS disorders. Esbupropion is the </w:t>
      </w:r>
      <w:r>
        <w:rPr>
          <w:rFonts w:ascii="Arial" w:cs="Arial" w:eastAsia="Arial" w:hAnsi="Arial"/>
          <w:sz w:val="17"/>
          <w:szCs w:val="17"/>
          <w:i w:val="1"/>
          <w:iCs w:val="1"/>
          <w:color w:val="auto"/>
        </w:rPr>
        <w:t>S</w:t>
      </w:r>
      <w:r>
        <w:rPr>
          <w:rFonts w:ascii="Arial" w:cs="Arial" w:eastAsia="Arial" w:hAnsi="Arial"/>
          <w:sz w:val="17"/>
          <w:szCs w:val="17"/>
          <w:color w:val="auto"/>
        </w:rPr>
        <w:t>-enantiomer of bupropion, a dopamine and norepinephrine reuptake inhibitor and nicotinic acetylcholine receptor antagonist which also serves to increase the bioavailability of DM. Enantiomers are molecules which are identical in chemical structure but which differ in the three-dimensional arrangement of the atoms, i.e. the molecules are mirror images. AXS 09 may potentially be applicable to the treatment of a variety of CNS disorders, based on the mechanisms of action of its two components.</w:t>
      </w:r>
    </w:p>
    <w:p>
      <w:pPr>
        <w:spacing w:after="0" w:line="165"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color w:val="auto"/>
        </w:rPr>
        <w:t xml:space="preserve">In February 2018, we announced the results of a Phase 1 pharmacokinetic trial of AXS-09. The Phase 1 trial was a randomized, multiple-dose, parallel group pharmacokinetic trial. A total of 32 healthy adult subjects were randomly assigned to treatment with AXS-09, </w:t>
      </w:r>
      <w:r>
        <w:rPr>
          <w:rFonts w:ascii="Arial" w:cs="Arial" w:eastAsia="Arial" w:hAnsi="Arial"/>
          <w:sz w:val="17"/>
          <w:szCs w:val="17"/>
          <w:i w:val="1"/>
          <w:iCs w:val="1"/>
          <w:color w:val="auto"/>
        </w:rPr>
        <w:t>R</w:t>
      </w:r>
      <w:r>
        <w:rPr>
          <w:rFonts w:ascii="Arial" w:cs="Arial" w:eastAsia="Arial" w:hAnsi="Arial"/>
          <w:sz w:val="17"/>
          <w:szCs w:val="17"/>
          <w:color w:val="auto"/>
        </w:rPr>
        <w:t xml:space="preserve">-bupropion and DM, single-entity </w:t>
      </w:r>
      <w:r>
        <w:rPr>
          <w:rFonts w:ascii="Arial" w:cs="Arial" w:eastAsia="Arial" w:hAnsi="Arial"/>
          <w:sz w:val="17"/>
          <w:szCs w:val="17"/>
          <w:i w:val="1"/>
          <w:iCs w:val="1"/>
          <w:color w:val="auto"/>
        </w:rPr>
        <w:t>S</w:t>
      </w:r>
      <w:r>
        <w:rPr>
          <w:rFonts w:ascii="Arial" w:cs="Arial" w:eastAsia="Arial" w:hAnsi="Arial"/>
          <w:sz w:val="17"/>
          <w:szCs w:val="17"/>
          <w:color w:val="auto"/>
        </w:rPr>
        <w:t xml:space="preserve">-bupropion, or single-entity </w:t>
      </w:r>
      <w:r>
        <w:rPr>
          <w:rFonts w:ascii="Arial" w:cs="Arial" w:eastAsia="Arial" w:hAnsi="Arial"/>
          <w:sz w:val="17"/>
          <w:szCs w:val="17"/>
          <w:i w:val="1"/>
          <w:iCs w:val="1"/>
          <w:color w:val="auto"/>
        </w:rPr>
        <w:t>R</w:t>
      </w:r>
      <w:r>
        <w:rPr>
          <w:rFonts w:ascii="Arial" w:cs="Arial" w:eastAsia="Arial" w:hAnsi="Arial"/>
          <w:sz w:val="17"/>
          <w:szCs w:val="17"/>
          <w:color w:val="auto"/>
        </w:rPr>
        <w:t>-bupropion tablets, for 8 days under fasting conditions. Plasma concentrations of DM, bupropion, and their metabolites were measured. The primary endpoint was the change in DM plasma concentrations from day 1 to day 8.</w:t>
      </w:r>
    </w:p>
    <w:p>
      <w:pPr>
        <w:spacing w:after="0" w:line="161"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 xml:space="preserve">Results of the Phase 1 trial demonstrated that AXS-09 resulted in substantial increases in DM plasma concentrations into a potentially therapeutic range with repeated dosing, p&lt;0.0001 day 1 versus day 8. AXS-09 was well tolerated with no serious adverse events reported in the trial. The increased plasma concentrations of DM after dosing with AXS-09, which contains the chirally pure </w:t>
      </w:r>
      <w:r>
        <w:rPr>
          <w:rFonts w:ascii="Arial" w:cs="Arial" w:eastAsia="Arial" w:hAnsi="Arial"/>
          <w:sz w:val="17"/>
          <w:szCs w:val="17"/>
          <w:i w:val="1"/>
          <w:iCs w:val="1"/>
          <w:color w:val="auto"/>
        </w:rPr>
        <w:t>S</w:t>
      </w:r>
      <w:r>
        <w:rPr>
          <w:rFonts w:ascii="Arial" w:cs="Arial" w:eastAsia="Arial" w:hAnsi="Arial"/>
          <w:sz w:val="17"/>
          <w:szCs w:val="17"/>
          <w:color w:val="auto"/>
        </w:rPr>
        <w:t xml:space="preserve">-enantiomer of bupropion, are comparable to those achieved with dosing of our first generation product candidate, AXS-05, which contains racemic bupropion, equal amounts of the S- and R-enantiomers. Results of this Phase 1 trial coupled with preclinical data also indicate the potential for enhanced absorption and therapeutic effect of the </w:t>
      </w:r>
      <w:r>
        <w:rPr>
          <w:rFonts w:ascii="Arial" w:cs="Arial" w:eastAsia="Arial" w:hAnsi="Arial"/>
          <w:sz w:val="17"/>
          <w:szCs w:val="17"/>
          <w:i w:val="1"/>
          <w:iCs w:val="1"/>
          <w:color w:val="auto"/>
        </w:rPr>
        <w:t>S</w:t>
      </w:r>
      <w:r>
        <w:rPr>
          <w:rFonts w:ascii="Arial" w:cs="Arial" w:eastAsia="Arial" w:hAnsi="Arial"/>
          <w:sz w:val="17"/>
          <w:szCs w:val="17"/>
          <w:color w:val="auto"/>
        </w:rPr>
        <w:t xml:space="preserve">-enantiomer as compared to the </w:t>
      </w:r>
      <w:r>
        <w:rPr>
          <w:rFonts w:ascii="Arial" w:cs="Arial" w:eastAsia="Arial" w:hAnsi="Arial"/>
          <w:sz w:val="17"/>
          <w:szCs w:val="17"/>
          <w:i w:val="1"/>
          <w:iCs w:val="1"/>
          <w:color w:val="auto"/>
        </w:rPr>
        <w:t>R</w:t>
      </w:r>
      <w:r>
        <w:rPr>
          <w:rFonts w:ascii="Arial" w:cs="Arial" w:eastAsia="Arial" w:hAnsi="Arial"/>
          <w:sz w:val="17"/>
          <w:szCs w:val="17"/>
          <w:color w:val="auto"/>
        </w:rPr>
        <w:t>-enantiomer.</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AXS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02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ind w:firstLine="648"/>
        <w:spacing w:after="0" w:line="189" w:lineRule="exact"/>
        <w:rPr>
          <w:sz w:val="20"/>
          <w:szCs w:val="20"/>
          <w:color w:val="auto"/>
        </w:rPr>
      </w:pPr>
      <w:r>
        <w:rPr>
          <w:rFonts w:ascii="Arial" w:cs="Arial" w:eastAsia="Arial" w:hAnsi="Arial"/>
          <w:sz w:val="18"/>
          <w:szCs w:val="18"/>
          <w:color w:val="auto"/>
        </w:rPr>
        <w:t>AXS</w:t>
      </w:r>
      <w:r>
        <w:rPr>
          <w:rFonts w:ascii="MS PGothic" w:cs="MS PGothic" w:eastAsia="MS PGothic" w:hAnsi="MS PGothic"/>
          <w:sz w:val="18"/>
          <w:szCs w:val="18"/>
          <w:color w:val="auto"/>
        </w:rPr>
        <w:t>‑</w:t>
      </w:r>
      <w:r>
        <w:rPr>
          <w:rFonts w:ascii="Arial" w:cs="Arial" w:eastAsia="Arial" w:hAnsi="Arial"/>
          <w:sz w:val="18"/>
          <w:szCs w:val="18"/>
          <w:color w:val="auto"/>
        </w:rPr>
        <w:t>02 is a novel, targeted investigational pain therapeutic. It is an orally administered, non</w:t>
      </w:r>
      <w:r>
        <w:rPr>
          <w:rFonts w:ascii="MS PGothic" w:cs="MS PGothic" w:eastAsia="MS PGothic" w:hAnsi="MS PGothic"/>
          <w:sz w:val="18"/>
          <w:szCs w:val="18"/>
          <w:color w:val="auto"/>
        </w:rPr>
        <w:t>‑</w:t>
      </w:r>
      <w:r>
        <w:rPr>
          <w:rFonts w:ascii="Arial" w:cs="Arial" w:eastAsia="Arial" w:hAnsi="Arial"/>
          <w:sz w:val="18"/>
          <w:szCs w:val="18"/>
          <w:color w:val="auto"/>
        </w:rPr>
        <w:t>opioid agent with a new mechanism of action for the treatment of pain. We are developing AXS</w:t>
      </w:r>
      <w:r>
        <w:rPr>
          <w:rFonts w:ascii="MS PGothic" w:cs="MS PGothic" w:eastAsia="MS PGothic" w:hAnsi="MS PGothic"/>
          <w:sz w:val="18"/>
          <w:szCs w:val="18"/>
          <w:color w:val="auto"/>
        </w:rPr>
        <w:t>‑</w:t>
      </w:r>
      <w:r>
        <w:rPr>
          <w:rFonts w:ascii="Arial" w:cs="Arial" w:eastAsia="Arial" w:hAnsi="Arial"/>
          <w:sz w:val="18"/>
          <w:szCs w:val="18"/>
          <w:color w:val="auto"/>
        </w:rPr>
        <w:t>02 for the treatment of the pain of knee OA associated with BMLs, and for the treatment of CLBP associated with MCs. No drug is currently approved by the FDA or the EMA specifically for these targeted subsets of knee OA and CLBP.</w:t>
      </w:r>
    </w:p>
    <w:p>
      <w:pPr>
        <w:spacing w:after="0" w:line="163" w:lineRule="exact"/>
        <w:rPr>
          <w:sz w:val="20"/>
          <w:szCs w:val="20"/>
          <w:color w:val="auto"/>
        </w:rPr>
      </w:pPr>
    </w:p>
    <w:p>
      <w:pPr>
        <w:ind w:right="60" w:firstLine="648"/>
        <w:spacing w:after="0" w:line="203" w:lineRule="exact"/>
        <w:rPr>
          <w:sz w:val="20"/>
          <w:szCs w:val="20"/>
          <w:color w:val="auto"/>
        </w:rPr>
      </w:pPr>
      <w:r>
        <w:rPr>
          <w:rFonts w:ascii="Arial" w:cs="Arial" w:eastAsia="Arial" w:hAnsi="Arial"/>
          <w:sz w:val="17"/>
          <w:szCs w:val="17"/>
          <w:color w:val="auto"/>
        </w:rPr>
        <w:t>We believe that, if successfully developed, AXS</w:t>
      </w:r>
      <w:r>
        <w:rPr>
          <w:rFonts w:ascii="MS PGothic" w:cs="MS PGothic" w:eastAsia="MS PGothic" w:hAnsi="MS PGothic"/>
          <w:sz w:val="17"/>
          <w:szCs w:val="17"/>
          <w:color w:val="auto"/>
        </w:rPr>
        <w:t>‑</w:t>
      </w:r>
      <w:r>
        <w:rPr>
          <w:rFonts w:ascii="Arial" w:cs="Arial" w:eastAsia="Arial" w:hAnsi="Arial"/>
          <w:sz w:val="17"/>
          <w:szCs w:val="17"/>
          <w:color w:val="auto"/>
        </w:rPr>
        <w:t>02 may overcome many of the limitations of current treatments for pain, and may be attractive to patients and their physicians, based on the following differentiating features:</w:t>
      </w:r>
    </w:p>
    <w:p>
      <w:pPr>
        <w:spacing w:after="0" w:line="162" w:lineRule="exact"/>
        <w:rPr>
          <w:sz w:val="20"/>
          <w:szCs w:val="20"/>
          <w:color w:val="auto"/>
        </w:rPr>
      </w:pPr>
    </w:p>
    <w:p>
      <w:pPr>
        <w:ind w:left="980" w:hanging="329"/>
        <w:spacing w:after="0" w:line="207" w:lineRule="exact"/>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Novel osteoclast</w:t>
      </w:r>
      <w:r>
        <w:rPr>
          <w:rFonts w:ascii="MS PGothic" w:cs="MS PGothic" w:eastAsia="MS PGothic" w:hAnsi="MS PGothic"/>
          <w:sz w:val="18"/>
          <w:szCs w:val="18"/>
          <w:color w:val="auto"/>
        </w:rPr>
        <w:t>‑</w:t>
      </w:r>
      <w:r>
        <w:rPr>
          <w:rFonts w:ascii="Arial" w:cs="Arial" w:eastAsia="Arial" w:hAnsi="Arial"/>
          <w:sz w:val="18"/>
          <w:szCs w:val="18"/>
          <w:color w:val="auto"/>
        </w:rPr>
        <w:t>inhibiting mechanism of action for the treatment of pain</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Targeted therapy approach that utilizes radiographic biomarkers to identify appropriate patients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Oral administration</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Convenient weekly dosing and short course of treatment</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for extended duration of pain relief</w:t>
      </w:r>
    </w:p>
    <w:p>
      <w:pPr>
        <w:spacing w:after="0" w:line="184"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Lack of opioid</w:t>
      </w:r>
      <w:r>
        <w:rPr>
          <w:rFonts w:ascii="MS PGothic" w:cs="MS PGothic" w:eastAsia="MS PGothic" w:hAnsi="MS PGothic"/>
          <w:sz w:val="18"/>
          <w:szCs w:val="18"/>
          <w:color w:val="auto"/>
        </w:rPr>
        <w:t>‑</w:t>
      </w:r>
      <w:r>
        <w:rPr>
          <w:rFonts w:ascii="Arial" w:cs="Arial" w:eastAsia="Arial" w:hAnsi="Arial"/>
          <w:sz w:val="18"/>
          <w:szCs w:val="18"/>
          <w:color w:val="auto"/>
        </w:rPr>
        <w:t>related side effects and abuse and addiction potential</w:t>
      </w:r>
    </w:p>
    <w:p>
      <w:pPr>
        <w:spacing w:after="0" w:line="185" w:lineRule="exact"/>
        <w:rPr>
          <w:sz w:val="20"/>
          <w:szCs w:val="20"/>
          <w:color w:val="auto"/>
        </w:rPr>
      </w:pPr>
    </w:p>
    <w:p>
      <w:pPr>
        <w:ind w:right="60" w:firstLine="648"/>
        <w:spacing w:after="0" w:line="194" w:lineRule="exact"/>
        <w:rPr>
          <w:sz w:val="20"/>
          <w:szCs w:val="20"/>
          <w:color w:val="auto"/>
        </w:rPr>
      </w:pPr>
      <w:r>
        <w:rPr>
          <w:rFonts w:ascii="Arial" w:cs="Arial" w:eastAsia="Arial" w:hAnsi="Arial"/>
          <w:sz w:val="18"/>
          <w:szCs w:val="18"/>
          <w:color w:val="auto"/>
        </w:rPr>
        <w:t>We initiated a Phase 3 trial with AXS</w:t>
      </w:r>
      <w:r>
        <w:rPr>
          <w:rFonts w:ascii="MS PGothic" w:cs="MS PGothic" w:eastAsia="MS PGothic" w:hAnsi="MS PGothic"/>
          <w:sz w:val="18"/>
          <w:szCs w:val="18"/>
          <w:color w:val="auto"/>
        </w:rPr>
        <w:t>‑</w:t>
      </w:r>
      <w:r>
        <w:rPr>
          <w:rFonts w:ascii="Arial" w:cs="Arial" w:eastAsia="Arial" w:hAnsi="Arial"/>
          <w:sz w:val="18"/>
          <w:szCs w:val="18"/>
          <w:color w:val="auto"/>
        </w:rPr>
        <w:t>02 for the treatment of pain in patients with knee OA associated with BMLs in March 2016. We have received IND clearance from the FDA to proceed with our planned Phase 3 clinical trial of AXS-02 in CLBP and plan to initiate the Phase 3 clinical trial upon the availability of resources.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Novel Mechanisms of Action for Pain</w:t>
      </w:r>
    </w:p>
    <w:p>
      <w:pPr>
        <w:spacing w:after="0" w:line="185" w:lineRule="exact"/>
        <w:rPr>
          <w:sz w:val="20"/>
          <w:szCs w:val="20"/>
          <w:color w:val="auto"/>
        </w:rPr>
      </w:pPr>
    </w:p>
    <w:p>
      <w:pPr>
        <w:ind w:right="40" w:firstLine="648"/>
        <w:spacing w:after="0" w:line="182" w:lineRule="exact"/>
        <w:rPr>
          <w:sz w:val="20"/>
          <w:szCs w:val="20"/>
          <w:color w:val="auto"/>
        </w:rPr>
      </w:pPr>
      <w:r>
        <w:rPr>
          <w:rFonts w:ascii="Arial" w:cs="Arial" w:eastAsia="Arial" w:hAnsi="Arial"/>
          <w:sz w:val="16"/>
          <w:szCs w:val="16"/>
          <w:color w:val="auto"/>
        </w:rPr>
        <w:t>Zoledronic acid, the active molecule in AXS</w:t>
      </w:r>
      <w:r>
        <w:rPr>
          <w:rFonts w:ascii="MS PGothic" w:cs="MS PGothic" w:eastAsia="MS PGothic" w:hAnsi="MS PGothic"/>
          <w:sz w:val="16"/>
          <w:szCs w:val="16"/>
          <w:color w:val="auto"/>
        </w:rPr>
        <w:t>‑</w:t>
      </w:r>
      <w:r>
        <w:rPr>
          <w:rFonts w:ascii="Arial" w:cs="Arial" w:eastAsia="Arial" w:hAnsi="Arial"/>
          <w:sz w:val="16"/>
          <w:szCs w:val="16"/>
          <w:color w:val="auto"/>
        </w:rPr>
        <w:t>02, is a potent nitrogen</w:t>
      </w:r>
      <w:r>
        <w:rPr>
          <w:rFonts w:ascii="MS PGothic" w:cs="MS PGothic" w:eastAsia="MS PGothic" w:hAnsi="MS PGothic"/>
          <w:sz w:val="16"/>
          <w:szCs w:val="16"/>
          <w:color w:val="auto"/>
        </w:rPr>
        <w:t>‑</w:t>
      </w:r>
      <w:r>
        <w:rPr>
          <w:rFonts w:ascii="Arial" w:cs="Arial" w:eastAsia="Arial" w:hAnsi="Arial"/>
          <w:sz w:val="16"/>
          <w:szCs w:val="16"/>
          <w:color w:val="auto"/>
        </w:rPr>
        <w:t>containing bisphosphonate. Bisphosphonates are compounds that bind with high affinity to bone mineral and inhibit the bone</w:t>
      </w:r>
      <w:r>
        <w:rPr>
          <w:rFonts w:ascii="MS PGothic" w:cs="MS PGothic" w:eastAsia="MS PGothic" w:hAnsi="MS PGothic"/>
          <w:sz w:val="16"/>
          <w:szCs w:val="16"/>
          <w:color w:val="auto"/>
        </w:rPr>
        <w:t>‑</w:t>
      </w:r>
      <w:r>
        <w:rPr>
          <w:rFonts w:ascii="Arial" w:cs="Arial" w:eastAsia="Arial" w:hAnsi="Arial"/>
          <w:sz w:val="16"/>
          <w:szCs w:val="16"/>
          <w:color w:val="auto"/>
        </w:rPr>
        <w:t>resorbing cells called osteoclasts. Zoledronic acid reduces osteoclast activity by inhibiting a critical enzyme called farnesyl pyrophosphate synthase, or FPPS. Zoledronic acid is the bisphosphonate with the strongest affinity for bone and the highest inhibitory activity of FPPS. Osteoclasts resorb bone by secreting protons and generating an acidic extracellular microenvironment. The secreted protons may directly excite pain receptors, which are found in mineralized bone. We believe that zoledronic acid may therefore reduce pain by inhibiting osteoclast hyperactivity and suppressing the up</w:t>
      </w:r>
      <w:r>
        <w:rPr>
          <w:rFonts w:ascii="MS PGothic" w:cs="MS PGothic" w:eastAsia="MS PGothic" w:hAnsi="MS PGothic"/>
          <w:sz w:val="16"/>
          <w:szCs w:val="16"/>
          <w:color w:val="auto"/>
        </w:rPr>
        <w:t>‑</w:t>
      </w:r>
      <w:r>
        <w:rPr>
          <w:rFonts w:ascii="Arial" w:cs="Arial" w:eastAsia="Arial" w:hAnsi="Arial"/>
          <w:sz w:val="16"/>
          <w:szCs w:val="16"/>
          <w:color w:val="auto"/>
        </w:rPr>
        <w:t>regulation of acid</w:t>
      </w:r>
      <w:r>
        <w:rPr>
          <w:rFonts w:ascii="MS PGothic" w:cs="MS PGothic" w:eastAsia="MS PGothic" w:hAnsi="MS PGothic"/>
          <w:sz w:val="16"/>
          <w:szCs w:val="16"/>
          <w:color w:val="auto"/>
        </w:rPr>
        <w:t>‑</w:t>
      </w:r>
      <w:r>
        <w:rPr>
          <w:rFonts w:ascii="Arial" w:cs="Arial" w:eastAsia="Arial" w:hAnsi="Arial"/>
          <w:sz w:val="16"/>
          <w:szCs w:val="16"/>
          <w:color w:val="auto"/>
        </w:rPr>
        <w:t>sensing ion channels on sensory neurons. Zoledronic acid has also been shown to inhibit the production of pro</w:t>
      </w:r>
      <w:r>
        <w:rPr>
          <w:rFonts w:ascii="MS PGothic" w:cs="MS PGothic" w:eastAsia="MS PGothic" w:hAnsi="MS PGothic"/>
          <w:sz w:val="16"/>
          <w:szCs w:val="16"/>
          <w:color w:val="auto"/>
        </w:rPr>
        <w:t>‑</w:t>
      </w:r>
      <w:r>
        <w:rPr>
          <w:rFonts w:ascii="Arial" w:cs="Arial" w:eastAsia="Arial" w:hAnsi="Arial"/>
          <w:sz w:val="16"/>
          <w:szCs w:val="16"/>
          <w:color w:val="auto"/>
        </w:rPr>
        <w:t>inflammatory cytokines and to have anti</w:t>
      </w:r>
      <w:r>
        <w:rPr>
          <w:rFonts w:ascii="MS PGothic" w:cs="MS PGothic" w:eastAsia="MS PGothic" w:hAnsi="MS PGothic"/>
          <w:sz w:val="16"/>
          <w:szCs w:val="16"/>
          <w:color w:val="auto"/>
        </w:rPr>
        <w:t>‑</w:t>
      </w:r>
      <w:r>
        <w:rPr>
          <w:rFonts w:ascii="Arial" w:cs="Arial" w:eastAsia="Arial" w:hAnsi="Arial"/>
          <w:sz w:val="16"/>
          <w:szCs w:val="16"/>
          <w:color w:val="auto"/>
        </w:rPr>
        <w:t>angiogenic properties.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Targeted Therapy for Pain</w:t>
      </w:r>
    </w:p>
    <w:p>
      <w:pPr>
        <w:spacing w:after="0" w:line="185" w:lineRule="exact"/>
        <w:rPr>
          <w:sz w:val="20"/>
          <w:szCs w:val="20"/>
          <w:color w:val="auto"/>
        </w:rPr>
      </w:pPr>
    </w:p>
    <w:p>
      <w:pPr>
        <w:ind w:right="80" w:firstLine="648"/>
        <w:spacing w:after="0" w:line="182" w:lineRule="exact"/>
        <w:rPr>
          <w:sz w:val="20"/>
          <w:szCs w:val="20"/>
          <w:color w:val="auto"/>
        </w:rPr>
      </w:pPr>
      <w:r>
        <w:rPr>
          <w:rFonts w:ascii="Arial" w:cs="Arial" w:eastAsia="Arial" w:hAnsi="Arial"/>
          <w:sz w:val="16"/>
          <w:szCs w:val="16"/>
          <w:color w:val="auto"/>
        </w:rPr>
        <w:t>We are developing AXS</w:t>
      </w:r>
      <w:r>
        <w:rPr>
          <w:rFonts w:ascii="MS PGothic" w:cs="MS PGothic" w:eastAsia="MS PGothic" w:hAnsi="MS PGothic"/>
          <w:sz w:val="16"/>
          <w:szCs w:val="16"/>
          <w:color w:val="auto"/>
        </w:rPr>
        <w:t>‑</w:t>
      </w:r>
      <w:r>
        <w:rPr>
          <w:rFonts w:ascii="Arial" w:cs="Arial" w:eastAsia="Arial" w:hAnsi="Arial"/>
          <w:sz w:val="16"/>
          <w:szCs w:val="16"/>
          <w:color w:val="auto"/>
        </w:rPr>
        <w:t>02 for specific subsets of patients who display certain target lesions or specific pathology that we believe may be addressed by the mechanisms of action of our product candidate. The target lesions include BMLs, and MCs. We are including only patients with BMLs in our registration trial of AXS</w:t>
      </w:r>
      <w:r>
        <w:rPr>
          <w:rFonts w:ascii="MS PGothic" w:cs="MS PGothic" w:eastAsia="MS PGothic" w:hAnsi="MS PGothic"/>
          <w:sz w:val="16"/>
          <w:szCs w:val="16"/>
          <w:color w:val="auto"/>
        </w:rPr>
        <w:t>‑</w:t>
      </w:r>
      <w:r>
        <w:rPr>
          <w:rFonts w:ascii="Arial" w:cs="Arial" w:eastAsia="Arial" w:hAnsi="Arial"/>
          <w:sz w:val="16"/>
          <w:szCs w:val="16"/>
          <w:color w:val="auto"/>
        </w:rPr>
        <w:t>02 for the pain of knee OA, and plan to only include patients with MCs in our registration trials of AXS</w:t>
      </w:r>
      <w:r>
        <w:rPr>
          <w:rFonts w:ascii="MS PGothic" w:cs="MS PGothic" w:eastAsia="MS PGothic" w:hAnsi="MS PGothic"/>
          <w:sz w:val="16"/>
          <w:szCs w:val="16"/>
          <w:color w:val="auto"/>
        </w:rPr>
        <w:t>‑</w:t>
      </w:r>
      <w:r>
        <w:rPr>
          <w:rFonts w:ascii="Arial" w:cs="Arial" w:eastAsia="Arial" w:hAnsi="Arial"/>
          <w:sz w:val="16"/>
          <w:szCs w:val="16"/>
          <w:color w:val="auto"/>
        </w:rPr>
        <w:t>02 for CLBP. These target lesions exhibit increased bone turnover, which is potentially inhibited by zoledronic acid. Furthermore, because zoledronic acid localizes preferentially to sites of high bone turnover, we believe it may specifically target these sites of disease activity in knee OA and CLBP. We believe that this targeted approach may result in a less heterogeneous patient population in our clinical trials, improve our ability to demonstrate a treatment effect, and, if approved, enable treatment of more appropriate patient populations.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Orally Administered</w:t>
      </w:r>
    </w:p>
    <w:p>
      <w:pPr>
        <w:spacing w:after="0" w:line="185" w:lineRule="exact"/>
        <w:rPr>
          <w:sz w:val="20"/>
          <w:szCs w:val="20"/>
          <w:color w:val="auto"/>
        </w:rPr>
      </w:pPr>
    </w:p>
    <w:p>
      <w:pPr>
        <w:ind w:firstLine="648"/>
        <w:spacing w:after="0" w:line="189" w:lineRule="exact"/>
        <w:rPr>
          <w:sz w:val="20"/>
          <w:szCs w:val="20"/>
          <w:color w:val="auto"/>
        </w:rPr>
      </w:pPr>
      <w:r>
        <w:rPr>
          <w:rFonts w:ascii="Arial" w:cs="Arial" w:eastAsia="Arial" w:hAnsi="Arial"/>
          <w:sz w:val="18"/>
          <w:szCs w:val="18"/>
          <w:color w:val="auto"/>
        </w:rPr>
        <w:t>AXS</w:t>
      </w:r>
      <w:r>
        <w:rPr>
          <w:rFonts w:ascii="MS PGothic" w:cs="MS PGothic" w:eastAsia="MS PGothic" w:hAnsi="MS PGothic"/>
          <w:sz w:val="18"/>
          <w:szCs w:val="18"/>
          <w:color w:val="auto"/>
        </w:rPr>
        <w:t>‑</w:t>
      </w:r>
      <w:r>
        <w:rPr>
          <w:rFonts w:ascii="Arial" w:cs="Arial" w:eastAsia="Arial" w:hAnsi="Arial"/>
          <w:sz w:val="18"/>
          <w:szCs w:val="18"/>
          <w:color w:val="auto"/>
        </w:rPr>
        <w:t>02 is a novel oral formulation of zoledronic acid. Zoledronic acid is currently marketed only as an intravenous, or IV, preparation and is not currently approved for the treatment of pain. Our oral formulation uses a disodium salt of zoledronic acid, which exhibits substantially improved solubility as compared to the diacid form. This improved solubility may facilitate oral absorption.</w:t>
      </w:r>
    </w:p>
    <w:p>
      <w:pPr>
        <w:spacing w:after="0" w:line="163" w:lineRule="exact"/>
        <w:rPr>
          <w:sz w:val="20"/>
          <w:szCs w:val="20"/>
          <w:color w:val="auto"/>
        </w:rPr>
      </w:pPr>
    </w:p>
    <w:p>
      <w:pPr>
        <w:ind w:right="40" w:firstLine="648"/>
        <w:spacing w:after="0" w:line="187" w:lineRule="exact"/>
        <w:rPr>
          <w:sz w:val="20"/>
          <w:szCs w:val="20"/>
          <w:color w:val="auto"/>
        </w:rPr>
      </w:pPr>
      <w:r>
        <w:rPr>
          <w:rFonts w:ascii="Arial" w:cs="Arial" w:eastAsia="Arial" w:hAnsi="Arial"/>
          <w:sz w:val="17"/>
          <w:szCs w:val="17"/>
          <w:color w:val="auto"/>
        </w:rPr>
        <w:t>Oral administration is non</w:t>
      </w:r>
      <w:r>
        <w:rPr>
          <w:rFonts w:ascii="MS PGothic" w:cs="MS PGothic" w:eastAsia="MS PGothic" w:hAnsi="MS PGothic"/>
          <w:sz w:val="17"/>
          <w:szCs w:val="17"/>
          <w:color w:val="auto"/>
        </w:rPr>
        <w:t>‑</w:t>
      </w:r>
      <w:r>
        <w:rPr>
          <w:rFonts w:ascii="Arial" w:cs="Arial" w:eastAsia="Arial" w:hAnsi="Arial"/>
          <w:sz w:val="17"/>
          <w:szCs w:val="17"/>
          <w:color w:val="auto"/>
        </w:rPr>
        <w:t>invasive, less costly, more convenient, and less burdensome to patients and prescribers as compared to IV dosing. Oral administration provides greater prescribing flexibility for clinicians and convenience for patients since it allows them to self</w:t>
      </w:r>
      <w:r>
        <w:rPr>
          <w:rFonts w:ascii="MS PGothic" w:cs="MS PGothic" w:eastAsia="MS PGothic" w:hAnsi="MS PGothic"/>
          <w:sz w:val="17"/>
          <w:szCs w:val="17"/>
          <w:color w:val="auto"/>
        </w:rPr>
        <w:t>‑</w:t>
      </w:r>
      <w:r>
        <w:rPr>
          <w:rFonts w:ascii="Arial" w:cs="Arial" w:eastAsia="Arial" w:hAnsi="Arial"/>
          <w:sz w:val="17"/>
          <w:szCs w:val="17"/>
          <w:color w:val="auto"/>
        </w:rPr>
        <w:t>administer the therapy at home and avoid having to travel to and from a hospital or infusion facility. Additionally, based on clinical experience with currently approved bisphosphonates, oral administration of zoledronic acid may have certain safety advantages as compared to IV dosing.</w:t>
      </w:r>
    </w:p>
    <w:p>
      <w:pPr>
        <w:spacing w:after="0" w:line="16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In a recent trial of 6,097 patients treated over 3 years who received either IV zoledronic acid therapy or oral therapy with alternative bisphosphonates, 76% and 73% of patients indicated a preference for oral versus IV formulations if all agents showed equal efficacy at randomization and therapy completion,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Infrequent Dosing and Convenient Regimen</w:t>
      </w:r>
    </w:p>
    <w:p>
      <w:pPr>
        <w:spacing w:after="0" w:line="185" w:lineRule="exact"/>
        <w:rPr>
          <w:sz w:val="20"/>
          <w:szCs w:val="20"/>
          <w:color w:val="auto"/>
        </w:rPr>
      </w:pPr>
    </w:p>
    <w:p>
      <w:pPr>
        <w:ind w:right="40" w:firstLine="648"/>
        <w:spacing w:after="0" w:line="189" w:lineRule="exact"/>
        <w:rPr>
          <w:sz w:val="20"/>
          <w:szCs w:val="20"/>
          <w:color w:val="auto"/>
        </w:rPr>
      </w:pPr>
      <w:r>
        <w:rPr>
          <w:rFonts w:ascii="Arial" w:cs="Arial" w:eastAsia="Arial" w:hAnsi="Arial"/>
          <w:sz w:val="18"/>
          <w:szCs w:val="18"/>
          <w:color w:val="auto"/>
        </w:rPr>
        <w:t>The potency and pharmacokinetics of zoledronic acid may allow for very infrequent dosing and for a short and convenient treatment regimen. Because of its convenient administration and limited treatment duration, we believe that AXS</w:t>
      </w:r>
      <w:r>
        <w:rPr>
          <w:rFonts w:ascii="MS PGothic" w:cs="MS PGothic" w:eastAsia="MS PGothic" w:hAnsi="MS PGothic"/>
          <w:sz w:val="18"/>
          <w:szCs w:val="18"/>
          <w:color w:val="auto"/>
        </w:rPr>
        <w:t>‑</w:t>
      </w:r>
      <w:r>
        <w:rPr>
          <w:rFonts w:ascii="Arial" w:cs="Arial" w:eastAsia="Arial" w:hAnsi="Arial"/>
          <w:sz w:val="18"/>
          <w:szCs w:val="18"/>
          <w:color w:val="auto"/>
        </w:rPr>
        <w:t>02, if successfully developed, may improve compliance and be preferred by patients and their physicians over currently available treatments.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Extended Pain Relief</w:t>
      </w:r>
    </w:p>
    <w:p>
      <w:pPr>
        <w:spacing w:after="0" w:line="169"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AXS</w:t>
      </w:r>
      <w:r>
        <w:rPr>
          <w:rFonts w:ascii="MS PGothic" w:cs="MS PGothic" w:eastAsia="MS PGothic" w:hAnsi="MS PGothic"/>
          <w:sz w:val="18"/>
          <w:szCs w:val="18"/>
          <w:color w:val="auto"/>
        </w:rPr>
        <w:t>‑</w:t>
      </w:r>
      <w:r>
        <w:rPr>
          <w:rFonts w:ascii="Arial" w:cs="Arial" w:eastAsia="Arial" w:hAnsi="Arial"/>
          <w:sz w:val="18"/>
          <w:szCs w:val="18"/>
          <w:color w:val="auto"/>
        </w:rPr>
        <w:t>02 may provide pain relief of long duration based on results of trials conducted with IV</w:t>
      </w:r>
      <w:r>
        <w:rPr>
          <w:rFonts w:ascii="MS PGothic" w:cs="MS PGothic" w:eastAsia="MS PGothic" w:hAnsi="MS PGothic"/>
          <w:sz w:val="18"/>
          <w:szCs w:val="18"/>
          <w:color w:val="auto"/>
        </w:rPr>
        <w:t>‑</w:t>
      </w:r>
      <w:r>
        <w:rPr>
          <w:rFonts w:ascii="Arial" w:cs="Arial" w:eastAsia="Arial" w:hAnsi="Arial"/>
          <w:sz w:val="18"/>
          <w:szCs w:val="18"/>
          <w:color w:val="auto"/>
        </w:rPr>
        <w:t>administered</w:t>
      </w:r>
    </w:p>
    <w:p>
      <w:pPr>
        <w:spacing w:after="0" w:line="203" w:lineRule="auto"/>
        <w:rPr>
          <w:sz w:val="20"/>
          <w:szCs w:val="20"/>
          <w:color w:val="auto"/>
        </w:rPr>
      </w:pPr>
      <w:r>
        <w:rPr>
          <w:rFonts w:ascii="Arial" w:cs="Arial" w:eastAsia="Arial" w:hAnsi="Arial"/>
          <w:sz w:val="18"/>
          <w:szCs w:val="18"/>
          <w:color w:val="auto"/>
        </w:rPr>
        <w:t>zoledronic acid. In trials in patients with knee OA and BMLs and CLBP associated with MCs, treatment with</w:t>
      </w:r>
    </w:p>
    <w:p>
      <w:pPr>
        <w:spacing w:after="0" w:line="176" w:lineRule="exact"/>
        <w:rPr>
          <w:sz w:val="20"/>
          <w:szCs w:val="20"/>
          <w:color w:val="auto"/>
        </w:rPr>
      </w:pPr>
      <w:r>
        <w:rPr>
          <w:rFonts w:ascii="Arial" w:cs="Arial" w:eastAsia="Arial" w:hAnsi="Arial"/>
          <w:sz w:val="16"/>
          <w:szCs w:val="16"/>
          <w:color w:val="auto"/>
        </w:rPr>
        <w:t>IV</w:t>
      </w:r>
      <w:r>
        <w:rPr>
          <w:rFonts w:ascii="MS PGothic" w:cs="MS PGothic" w:eastAsia="MS PGothic" w:hAnsi="MS PGothic"/>
          <w:sz w:val="16"/>
          <w:szCs w:val="16"/>
          <w:color w:val="auto"/>
        </w:rPr>
        <w:t>‑</w:t>
      </w:r>
      <w:r>
        <w:rPr>
          <w:rFonts w:ascii="Arial" w:cs="Arial" w:eastAsia="Arial" w:hAnsi="Arial"/>
          <w:sz w:val="16"/>
          <w:szCs w:val="16"/>
          <w:color w:val="auto"/>
        </w:rPr>
        <w:t>administered zoledronic acid resulted in pain relief that was measurable one or more months after cessation of treatment.</w:t>
      </w:r>
    </w:p>
    <w:p>
      <w:pPr>
        <w:spacing w:after="0" w:line="229" w:lineRule="auto"/>
        <w:rPr>
          <w:sz w:val="20"/>
          <w:szCs w:val="20"/>
          <w:color w:val="auto"/>
        </w:rPr>
      </w:pPr>
      <w:r>
        <w:rPr>
          <w:rFonts w:ascii="Arial" w:cs="Arial" w:eastAsia="Arial" w:hAnsi="Arial"/>
          <w:sz w:val="16"/>
          <w:szCs w:val="16"/>
          <w:color w:val="auto"/>
        </w:rPr>
        <w:t>For example, pain reduction as compared to placebo was demonstrated 6 months after treatment in knee OA, and 1 month</w:t>
      </w:r>
    </w:p>
    <w:p>
      <w:pPr>
        <w:spacing w:after="0" w:line="216" w:lineRule="auto"/>
        <w:rPr>
          <w:sz w:val="20"/>
          <w:szCs w:val="20"/>
          <w:color w:val="auto"/>
        </w:rPr>
      </w:pPr>
      <w:r>
        <w:rPr>
          <w:rFonts w:ascii="Arial" w:cs="Arial" w:eastAsia="Arial" w:hAnsi="Arial"/>
          <w:sz w:val="17"/>
          <w:szCs w:val="17"/>
          <w:color w:val="auto"/>
        </w:rPr>
        <w:t>after treatment in CLBP. Furthermore, 1 year after treatment, a statistically significant reduction was observed in the</w:t>
      </w:r>
    </w:p>
    <w:p>
      <w:pPr>
        <w:spacing w:after="0" w:line="176" w:lineRule="exact"/>
        <w:rPr>
          <w:sz w:val="20"/>
          <w:szCs w:val="20"/>
          <w:color w:val="auto"/>
        </w:rPr>
      </w:pPr>
      <w:r>
        <w:rPr>
          <w:rFonts w:ascii="Arial" w:cs="Arial" w:eastAsia="Arial" w:hAnsi="Arial"/>
          <w:sz w:val="17"/>
          <w:szCs w:val="17"/>
          <w:color w:val="auto"/>
        </w:rPr>
        <w:t>percentage of zoledronic acid</w:t>
      </w:r>
      <w:r>
        <w:rPr>
          <w:rFonts w:ascii="MS PGothic" w:cs="MS PGothic" w:eastAsia="MS PGothic" w:hAnsi="MS PGothic"/>
          <w:sz w:val="17"/>
          <w:szCs w:val="17"/>
          <w:color w:val="auto"/>
        </w:rPr>
        <w:t>‑</w:t>
      </w:r>
      <w:r>
        <w:rPr>
          <w:rFonts w:ascii="Arial" w:cs="Arial" w:eastAsia="Arial" w:hAnsi="Arial"/>
          <w:sz w:val="17"/>
          <w:szCs w:val="17"/>
          <w:color w:val="auto"/>
        </w:rPr>
        <w:t>treated patients with CLBP who were taking non</w:t>
      </w:r>
      <w:r>
        <w:rPr>
          <w:rFonts w:ascii="MS PGothic" w:cs="MS PGothic" w:eastAsia="MS PGothic" w:hAnsi="MS PGothic"/>
          <w:sz w:val="17"/>
          <w:szCs w:val="17"/>
          <w:color w:val="auto"/>
        </w:rPr>
        <w:t>‑</w:t>
      </w:r>
      <w:r>
        <w:rPr>
          <w:rFonts w:ascii="Arial" w:cs="Arial" w:eastAsia="Arial" w:hAnsi="Arial"/>
          <w:sz w:val="17"/>
          <w:szCs w:val="17"/>
          <w:color w:val="auto"/>
        </w:rPr>
        <w:t>steroidal anti</w:t>
      </w:r>
      <w:r>
        <w:rPr>
          <w:rFonts w:ascii="MS PGothic" w:cs="MS PGothic" w:eastAsia="MS PGothic" w:hAnsi="MS PGothic"/>
          <w:sz w:val="17"/>
          <w:szCs w:val="17"/>
          <w:color w:val="auto"/>
        </w:rPr>
        <w:t>‑</w:t>
      </w:r>
      <w:r>
        <w:rPr>
          <w:rFonts w:ascii="Arial" w:cs="Arial" w:eastAsia="Arial" w:hAnsi="Arial"/>
          <w:sz w:val="17"/>
          <w:szCs w:val="17"/>
          <w:color w:val="auto"/>
        </w:rPr>
        <w:t>inflammatory drugs, or</w:t>
      </w:r>
    </w:p>
    <w:p>
      <w:pPr>
        <w:spacing w:after="0" w:line="176" w:lineRule="exact"/>
        <w:rPr>
          <w:sz w:val="20"/>
          <w:szCs w:val="20"/>
          <w:color w:val="auto"/>
        </w:rPr>
      </w:pPr>
      <w:r>
        <w:rPr>
          <w:rFonts w:ascii="Arial" w:cs="Arial" w:eastAsia="Arial" w:hAnsi="Arial"/>
          <w:sz w:val="16"/>
          <w:szCs w:val="16"/>
          <w:color w:val="auto"/>
        </w:rPr>
        <w:t>NSAIDs, as compared to placebo</w:t>
      </w:r>
      <w:r>
        <w:rPr>
          <w:rFonts w:ascii="MS PGothic" w:cs="MS PGothic" w:eastAsia="MS PGothic" w:hAnsi="MS PGothic"/>
          <w:sz w:val="16"/>
          <w:szCs w:val="16"/>
          <w:color w:val="auto"/>
        </w:rPr>
        <w:t>‑</w:t>
      </w:r>
      <w:r>
        <w:rPr>
          <w:rFonts w:ascii="Arial" w:cs="Arial" w:eastAsia="Arial" w:hAnsi="Arial"/>
          <w:sz w:val="16"/>
          <w:szCs w:val="16"/>
          <w:color w:val="auto"/>
        </w:rPr>
        <w:t>treated patients. This observed extended pain reduction may be related to the potency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zoledronic acid and its long residence time in bone.</w:t>
      </w:r>
    </w:p>
    <w:p>
      <w:pPr>
        <w:spacing w:after="0" w:line="169"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Lack of Opioid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related Side Effects and Abuse and Addiction Potential</w:t>
      </w:r>
    </w:p>
    <w:p>
      <w:pPr>
        <w:spacing w:after="0" w:line="185"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Reflecting the currently limited treatment options for chronic pain, opioid medications are widely prescribed despite their numerous significant undesirable side effects and potential consequences. These side effects and consequences include dependency, addiction and abuse potential, respiratory depression, hypotension, constipation, and a higher incidence of falls and fractures in older patients. Prescription opioids are also increasingly associated with deaths from unintentional overdose, with over 16,000 deaths reported in the United States each year.</w:t>
      </w:r>
    </w:p>
    <w:p>
      <w:pPr>
        <w:spacing w:after="0" w:line="161" w:lineRule="exact"/>
        <w:rPr>
          <w:sz w:val="20"/>
          <w:szCs w:val="20"/>
          <w:color w:val="auto"/>
        </w:rPr>
      </w:pPr>
    </w:p>
    <w:p>
      <w:pPr>
        <w:ind w:firstLine="648"/>
        <w:spacing w:after="0" w:line="194" w:lineRule="exact"/>
        <w:rPr>
          <w:sz w:val="20"/>
          <w:szCs w:val="20"/>
          <w:color w:val="auto"/>
        </w:rPr>
      </w:pPr>
      <w:r>
        <w:rPr>
          <w:rFonts w:ascii="Arial" w:cs="Arial" w:eastAsia="Arial" w:hAnsi="Arial"/>
          <w:sz w:val="18"/>
          <w:szCs w:val="18"/>
          <w:color w:val="auto"/>
        </w:rPr>
        <w:t>AXS</w:t>
      </w:r>
      <w:r>
        <w:rPr>
          <w:rFonts w:ascii="MS PGothic" w:cs="MS PGothic" w:eastAsia="MS PGothic" w:hAnsi="MS PGothic"/>
          <w:sz w:val="18"/>
          <w:szCs w:val="18"/>
          <w:color w:val="auto"/>
        </w:rPr>
        <w:t>‑</w:t>
      </w:r>
      <w:r>
        <w:rPr>
          <w:rFonts w:ascii="Arial" w:cs="Arial" w:eastAsia="Arial" w:hAnsi="Arial"/>
          <w:sz w:val="18"/>
          <w:szCs w:val="18"/>
          <w:color w:val="auto"/>
        </w:rPr>
        <w:t>02 exerts its potential effects for the treatment of pain via novel non</w:t>
      </w:r>
      <w:r>
        <w:rPr>
          <w:rFonts w:ascii="MS PGothic" w:cs="MS PGothic" w:eastAsia="MS PGothic" w:hAnsi="MS PGothic"/>
          <w:sz w:val="18"/>
          <w:szCs w:val="18"/>
          <w:color w:val="auto"/>
        </w:rPr>
        <w:t>‑</w:t>
      </w:r>
      <w:r>
        <w:rPr>
          <w:rFonts w:ascii="Arial" w:cs="Arial" w:eastAsia="Arial" w:hAnsi="Arial"/>
          <w:sz w:val="18"/>
          <w:szCs w:val="18"/>
          <w:color w:val="auto"/>
        </w:rPr>
        <w:t>opioid mechanisms of action. If successfully developed, AXS</w:t>
      </w:r>
      <w:r>
        <w:rPr>
          <w:rFonts w:ascii="MS PGothic" w:cs="MS PGothic" w:eastAsia="MS PGothic" w:hAnsi="MS PGothic"/>
          <w:sz w:val="18"/>
          <w:szCs w:val="18"/>
          <w:color w:val="auto"/>
        </w:rPr>
        <w:t>‑</w:t>
      </w:r>
      <w:r>
        <w:rPr>
          <w:rFonts w:ascii="Arial" w:cs="Arial" w:eastAsia="Arial" w:hAnsi="Arial"/>
          <w:sz w:val="18"/>
          <w:szCs w:val="18"/>
          <w:color w:val="auto"/>
        </w:rPr>
        <w:t>02 would represent an alternative treatment for pain that lacks the addiction and abuse potential and other serious side effects of opioids.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Knee Osteoarthritis (OA) Associated with Bone Marrow Lesions (BMLs)</w:t>
      </w:r>
    </w:p>
    <w:p>
      <w:pPr>
        <w:spacing w:after="0" w:line="185" w:lineRule="exact"/>
        <w:rPr>
          <w:sz w:val="20"/>
          <w:szCs w:val="20"/>
          <w:color w:val="auto"/>
        </w:rPr>
      </w:pPr>
    </w:p>
    <w:p>
      <w:pPr>
        <w:ind w:right="220" w:firstLine="648"/>
        <w:spacing w:after="0" w:line="203" w:lineRule="exact"/>
        <w:rPr>
          <w:sz w:val="20"/>
          <w:szCs w:val="20"/>
          <w:color w:val="auto"/>
        </w:rPr>
      </w:pPr>
      <w:r>
        <w:rPr>
          <w:rFonts w:ascii="Arial" w:cs="Arial" w:eastAsia="Arial" w:hAnsi="Arial"/>
          <w:sz w:val="17"/>
          <w:szCs w:val="17"/>
          <w:color w:val="auto"/>
        </w:rPr>
        <w:t>We are developing AXS</w:t>
      </w:r>
      <w:r>
        <w:rPr>
          <w:rFonts w:ascii="MS PGothic" w:cs="MS PGothic" w:eastAsia="MS PGothic" w:hAnsi="MS PGothic"/>
          <w:sz w:val="17"/>
          <w:szCs w:val="17"/>
          <w:color w:val="auto"/>
        </w:rPr>
        <w:t>‑</w:t>
      </w:r>
      <w:r>
        <w:rPr>
          <w:rFonts w:ascii="Arial" w:cs="Arial" w:eastAsia="Arial" w:hAnsi="Arial"/>
          <w:sz w:val="17"/>
          <w:szCs w:val="17"/>
          <w:color w:val="auto"/>
        </w:rPr>
        <w:t>02 for the treatment of the pain of knee OA associated with BMLs. There is currently no therapy specifically approved by the FDA or the EMA to treat this subset of knee OA. The FDA has agreed to an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80"/>
        <w:spacing w:after="0" w:line="203" w:lineRule="exact"/>
        <w:rPr>
          <w:sz w:val="20"/>
          <w:szCs w:val="20"/>
          <w:color w:val="auto"/>
        </w:rPr>
      </w:pPr>
      <w:r>
        <w:rPr>
          <w:rFonts w:ascii="Arial" w:cs="Arial" w:eastAsia="Arial" w:hAnsi="Arial"/>
          <w:sz w:val="18"/>
          <w:szCs w:val="18"/>
          <w:color w:val="auto"/>
        </w:rPr>
        <w:t>SPA for our ongoing Phase 3 COAST</w:t>
      </w:r>
      <w:r>
        <w:rPr>
          <w:rFonts w:ascii="MS PGothic" w:cs="MS PGothic" w:eastAsia="MS PGothic" w:hAnsi="MS PGothic"/>
          <w:sz w:val="18"/>
          <w:szCs w:val="18"/>
          <w:color w:val="auto"/>
        </w:rPr>
        <w:t>‑</w:t>
      </w:r>
      <w:r>
        <w:rPr>
          <w:rFonts w:ascii="Arial" w:cs="Arial" w:eastAsia="Arial" w:hAnsi="Arial"/>
          <w:sz w:val="18"/>
          <w:szCs w:val="18"/>
          <w:color w:val="auto"/>
        </w:rPr>
        <w:t>1 study in subjects with knee OA and BMLs. The FDA has also granted Fast Track designation for AXS</w:t>
      </w:r>
      <w:r>
        <w:rPr>
          <w:rFonts w:ascii="MS PGothic" w:cs="MS PGothic" w:eastAsia="MS PGothic" w:hAnsi="MS PGothic"/>
          <w:sz w:val="18"/>
          <w:szCs w:val="18"/>
          <w:color w:val="auto"/>
        </w:rPr>
        <w:t>‑</w:t>
      </w:r>
      <w:r>
        <w:rPr>
          <w:rFonts w:ascii="Arial" w:cs="Arial" w:eastAsia="Arial" w:hAnsi="Arial"/>
          <w:sz w:val="18"/>
          <w:szCs w:val="18"/>
          <w:color w:val="auto"/>
        </w:rPr>
        <w:t>02 for the treatment of the pain of knee OA associated with BMLs.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Indication Overview</w:t>
      </w:r>
    </w:p>
    <w:p>
      <w:pPr>
        <w:spacing w:after="0" w:line="185"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Knee OA is a disorder characterized by periarticular bone changes, progressive loss of articular cartilage, joint space narrowing, and eventual total joint failure. It is clinically manifested by knee pain, significant physical disability, and reduced quality of life. While currently available drug therapies attempt to address the pain of knee OA, they are not thought to address the cause of the pain.</w:t>
      </w:r>
    </w:p>
    <w:p>
      <w:pPr>
        <w:spacing w:after="0" w:line="163"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Recently, BMLs have been recognized as an important feature of knee OA because of their relation to the pain and pathogenesis of the condition. BMLs appear as areas of increased signal intensity on MRI of the knee, and represent regions of increased subchondral bone turnover. BMLs are clinically relevant because they are associated with and predict knee pain, disease severity, and structural progression in patients with knee OA, based on published studies. Findings from several cross</w:t>
      </w:r>
      <w:r>
        <w:rPr>
          <w:rFonts w:ascii="MS PGothic" w:cs="MS PGothic" w:eastAsia="MS PGothic" w:hAnsi="MS PGothic"/>
          <w:sz w:val="16"/>
          <w:szCs w:val="16"/>
          <w:color w:val="auto"/>
        </w:rPr>
        <w:t>‑</w:t>
      </w:r>
      <w:r>
        <w:rPr>
          <w:rFonts w:ascii="Arial" w:cs="Arial" w:eastAsia="Arial" w:hAnsi="Arial"/>
          <w:sz w:val="16"/>
          <w:szCs w:val="16"/>
          <w:color w:val="auto"/>
        </w:rPr>
        <w:t>sectional and longitudinal studies have demonstrated that (1) BMLs are strongly associated with the presence and severity of pain in patients with knee OA, (2) new or enlarging BMLs are associated with increased pain and diminishing BMLs with decreased pain, (3) BMLs are associated with progression of joint space narrowing and cartilage loss, (4) BMLs predict knee joint replacement, and (5) increasing BML size is associated with cartilage loss. These studies therefore suggest that BMLs are a source of knee pain and a potential target for pharmaceutical intervention.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is currently no therapy specifically approved by the FDA or the EMA to treat the pain of knee OA associated</w:t>
      </w:r>
    </w:p>
    <w:p>
      <w:pPr>
        <w:spacing w:after="0" w:line="183" w:lineRule="exact"/>
        <w:rPr>
          <w:sz w:val="20"/>
          <w:szCs w:val="20"/>
          <w:color w:val="auto"/>
        </w:rPr>
      </w:pPr>
      <w:r>
        <w:rPr>
          <w:rFonts w:ascii="Arial" w:cs="Arial" w:eastAsia="Arial" w:hAnsi="Arial"/>
          <w:sz w:val="17"/>
          <w:szCs w:val="17"/>
          <w:color w:val="auto"/>
        </w:rPr>
        <w:t>with BMLs. Currently available therapy for the broader knee OA population include non</w:t>
      </w:r>
      <w:r>
        <w:rPr>
          <w:rFonts w:ascii="MS PGothic" w:cs="MS PGothic" w:eastAsia="MS PGothic" w:hAnsi="MS PGothic"/>
          <w:sz w:val="17"/>
          <w:szCs w:val="17"/>
          <w:color w:val="auto"/>
        </w:rPr>
        <w:t>‑</w:t>
      </w:r>
      <w:r>
        <w:rPr>
          <w:rFonts w:ascii="Arial" w:cs="Arial" w:eastAsia="Arial" w:hAnsi="Arial"/>
          <w:sz w:val="17"/>
          <w:szCs w:val="17"/>
          <w:color w:val="auto"/>
        </w:rPr>
        <w:t>pharmacological treatments, oral</w:t>
      </w:r>
    </w:p>
    <w:p>
      <w:pPr>
        <w:spacing w:after="0" w:line="176" w:lineRule="exact"/>
        <w:rPr>
          <w:sz w:val="20"/>
          <w:szCs w:val="20"/>
          <w:color w:val="auto"/>
        </w:rPr>
      </w:pPr>
      <w:r>
        <w:rPr>
          <w:rFonts w:ascii="Arial" w:cs="Arial" w:eastAsia="Arial" w:hAnsi="Arial"/>
          <w:sz w:val="18"/>
          <w:szCs w:val="18"/>
          <w:color w:val="auto"/>
        </w:rPr>
        <w:t>and topical medications, and intra</w:t>
      </w:r>
      <w:r>
        <w:rPr>
          <w:rFonts w:ascii="MS PGothic" w:cs="MS PGothic" w:eastAsia="MS PGothic" w:hAnsi="MS PGothic"/>
          <w:sz w:val="18"/>
          <w:szCs w:val="18"/>
          <w:color w:val="auto"/>
        </w:rPr>
        <w:t>‑</w:t>
      </w:r>
      <w:r>
        <w:rPr>
          <w:rFonts w:ascii="Arial" w:cs="Arial" w:eastAsia="Arial" w:hAnsi="Arial"/>
          <w:sz w:val="18"/>
          <w:szCs w:val="18"/>
          <w:color w:val="auto"/>
        </w:rPr>
        <w:t>articular injections. Non</w:t>
      </w:r>
      <w:r>
        <w:rPr>
          <w:rFonts w:ascii="MS PGothic" w:cs="MS PGothic" w:eastAsia="MS PGothic" w:hAnsi="MS PGothic"/>
          <w:sz w:val="18"/>
          <w:szCs w:val="18"/>
          <w:color w:val="auto"/>
        </w:rPr>
        <w:t>‑</w:t>
      </w:r>
      <w:r>
        <w:rPr>
          <w:rFonts w:ascii="Arial" w:cs="Arial" w:eastAsia="Arial" w:hAnsi="Arial"/>
          <w:sz w:val="18"/>
          <w:szCs w:val="18"/>
          <w:color w:val="auto"/>
        </w:rPr>
        <w:t>pharmacological approaches include exercise, weight</w:t>
      </w:r>
    </w:p>
    <w:p>
      <w:pPr>
        <w:spacing w:after="0" w:line="176" w:lineRule="exact"/>
        <w:rPr>
          <w:sz w:val="20"/>
          <w:szCs w:val="20"/>
          <w:color w:val="auto"/>
        </w:rPr>
      </w:pPr>
      <w:r>
        <w:rPr>
          <w:rFonts w:ascii="Arial" w:cs="Arial" w:eastAsia="Arial" w:hAnsi="Arial"/>
          <w:sz w:val="17"/>
          <w:szCs w:val="17"/>
          <w:color w:val="auto"/>
        </w:rPr>
        <w:t>management, strength training, self</w:t>
      </w:r>
      <w:r>
        <w:rPr>
          <w:rFonts w:ascii="MS PGothic" w:cs="MS PGothic" w:eastAsia="MS PGothic" w:hAnsi="MS PGothic"/>
          <w:sz w:val="17"/>
          <w:szCs w:val="17"/>
          <w:color w:val="auto"/>
        </w:rPr>
        <w:t>‑</w:t>
      </w:r>
      <w:r>
        <w:rPr>
          <w:rFonts w:ascii="Arial" w:cs="Arial" w:eastAsia="Arial" w:hAnsi="Arial"/>
          <w:sz w:val="17"/>
          <w:szCs w:val="17"/>
          <w:color w:val="auto"/>
        </w:rPr>
        <w:t>management, and education. Oral treatments include acetaminophen, selective and</w:t>
      </w:r>
    </w:p>
    <w:p>
      <w:pPr>
        <w:spacing w:after="0" w:line="177"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selective NSAIDs, and opioid medications. Intra</w:t>
      </w:r>
      <w:r>
        <w:rPr>
          <w:rFonts w:ascii="MS PGothic" w:cs="MS PGothic" w:eastAsia="MS PGothic" w:hAnsi="MS PGothic"/>
          <w:sz w:val="16"/>
          <w:szCs w:val="16"/>
          <w:color w:val="auto"/>
        </w:rPr>
        <w:t>‑</w:t>
      </w:r>
      <w:r>
        <w:rPr>
          <w:rFonts w:ascii="Arial" w:cs="Arial" w:eastAsia="Arial" w:hAnsi="Arial"/>
          <w:sz w:val="16"/>
          <w:szCs w:val="16"/>
          <w:color w:val="auto"/>
        </w:rPr>
        <w:t>articular injections for knee OA include intra</w:t>
      </w:r>
      <w:r>
        <w:rPr>
          <w:rFonts w:ascii="MS PGothic" w:cs="MS PGothic" w:eastAsia="MS PGothic" w:hAnsi="MS PGothic"/>
          <w:sz w:val="16"/>
          <w:szCs w:val="16"/>
          <w:color w:val="auto"/>
        </w:rPr>
        <w:t>‑</w:t>
      </w:r>
      <w:r>
        <w:rPr>
          <w:rFonts w:ascii="Arial" w:cs="Arial" w:eastAsia="Arial" w:hAnsi="Arial"/>
          <w:sz w:val="16"/>
          <w:szCs w:val="16"/>
          <w:color w:val="auto"/>
        </w:rPr>
        <w:t>articular hyaluronic acid,</w:t>
      </w:r>
    </w:p>
    <w:p>
      <w:pPr>
        <w:spacing w:after="0" w:line="176" w:lineRule="exact"/>
        <w:rPr>
          <w:sz w:val="20"/>
          <w:szCs w:val="20"/>
          <w:color w:val="auto"/>
        </w:rPr>
      </w:pPr>
      <w:r>
        <w:rPr>
          <w:rFonts w:ascii="Arial" w:cs="Arial" w:eastAsia="Arial" w:hAnsi="Arial"/>
          <w:sz w:val="17"/>
          <w:szCs w:val="17"/>
          <w:color w:val="auto"/>
        </w:rPr>
        <w:t>or IAHA, and intra</w:t>
      </w:r>
      <w:r>
        <w:rPr>
          <w:rFonts w:ascii="MS PGothic" w:cs="MS PGothic" w:eastAsia="MS PGothic" w:hAnsi="MS PGothic"/>
          <w:sz w:val="17"/>
          <w:szCs w:val="17"/>
          <w:color w:val="auto"/>
        </w:rPr>
        <w:t>‑</w:t>
      </w:r>
      <w:r>
        <w:rPr>
          <w:rFonts w:ascii="Arial" w:cs="Arial" w:eastAsia="Arial" w:hAnsi="Arial"/>
          <w:sz w:val="17"/>
          <w:szCs w:val="17"/>
          <w:color w:val="auto"/>
        </w:rPr>
        <w:t>articular corticosteroids, or IACS. These treatments are generally short</w:t>
      </w:r>
      <w:r>
        <w:rPr>
          <w:rFonts w:ascii="MS PGothic" w:cs="MS PGothic" w:eastAsia="MS PGothic" w:hAnsi="MS PGothic"/>
          <w:sz w:val="17"/>
          <w:szCs w:val="17"/>
          <w:color w:val="auto"/>
        </w:rPr>
        <w:t>‑</w:t>
      </w:r>
      <w:r>
        <w:rPr>
          <w:rFonts w:ascii="Arial" w:cs="Arial" w:eastAsia="Arial" w:hAnsi="Arial"/>
          <w:sz w:val="17"/>
          <w:szCs w:val="17"/>
          <w:color w:val="auto"/>
        </w:rPr>
        <w:t>acting and may address the</w:t>
      </w:r>
    </w:p>
    <w:p>
      <w:pPr>
        <w:spacing w:after="0" w:line="229" w:lineRule="auto"/>
        <w:rPr>
          <w:sz w:val="20"/>
          <w:szCs w:val="20"/>
          <w:color w:val="auto"/>
        </w:rPr>
      </w:pPr>
      <w:r>
        <w:rPr>
          <w:rFonts w:ascii="Arial" w:cs="Arial" w:eastAsia="Arial" w:hAnsi="Arial"/>
          <w:sz w:val="16"/>
          <w:szCs w:val="16"/>
          <w:color w:val="auto"/>
        </w:rPr>
        <w:t>symptoms of knee OA, but are not thought to have an effect on the underlying cause of the condition. Knee joint replacement</w:t>
      </w:r>
    </w:p>
    <w:p>
      <w:pPr>
        <w:spacing w:after="0" w:line="176" w:lineRule="exact"/>
        <w:rPr>
          <w:sz w:val="20"/>
          <w:szCs w:val="20"/>
          <w:color w:val="auto"/>
        </w:rPr>
      </w:pPr>
      <w:r>
        <w:rPr>
          <w:rFonts w:ascii="Arial" w:cs="Arial" w:eastAsia="Arial" w:hAnsi="Arial"/>
          <w:sz w:val="16"/>
          <w:szCs w:val="16"/>
          <w:color w:val="auto"/>
        </w:rPr>
        <w:t>surgery is viewed as a last resort for patients who, despite pharmacological and non</w:t>
      </w:r>
      <w:r>
        <w:rPr>
          <w:rFonts w:ascii="MS PGothic" w:cs="MS PGothic" w:eastAsia="MS PGothic" w:hAnsi="MS PGothic"/>
          <w:sz w:val="16"/>
          <w:szCs w:val="16"/>
          <w:color w:val="auto"/>
        </w:rPr>
        <w:t>‑</w:t>
      </w:r>
      <w:r>
        <w:rPr>
          <w:rFonts w:ascii="Arial" w:cs="Arial" w:eastAsia="Arial" w:hAnsi="Arial"/>
          <w:sz w:val="16"/>
          <w:szCs w:val="16"/>
          <w:color w:val="auto"/>
        </w:rPr>
        <w:t>pharmacological treatment, do not have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adequate pain relief and functional improvement.</w:t>
      </w:r>
    </w:p>
    <w:p>
      <w:pPr>
        <w:spacing w:after="0" w:line="169" w:lineRule="exact"/>
        <w:rPr>
          <w:sz w:val="20"/>
          <w:szCs w:val="20"/>
          <w:color w:val="auto"/>
        </w:rPr>
      </w:pPr>
    </w:p>
    <w:p>
      <w:pPr>
        <w:ind w:right="360" w:firstLine="648"/>
        <w:spacing w:after="0" w:line="224" w:lineRule="auto"/>
        <w:rPr>
          <w:sz w:val="20"/>
          <w:szCs w:val="20"/>
          <w:color w:val="auto"/>
        </w:rPr>
      </w:pPr>
      <w:r>
        <w:rPr>
          <w:rFonts w:ascii="Arial" w:cs="Arial" w:eastAsia="Arial" w:hAnsi="Arial"/>
          <w:sz w:val="18"/>
          <w:szCs w:val="18"/>
          <w:color w:val="auto"/>
        </w:rPr>
        <w:t>Results of epidemiological studies suggest that there are approximately 25 million patients in the United States, 50 years of age and older, with radiographic knee OA. Approximately 12 million of these patients are estimated to be symptomatic, 7 million of whom we estimate have BMLs.</w:t>
      </w:r>
    </w:p>
    <w:p>
      <w:pPr>
        <w:spacing w:after="0" w:line="163"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Rationale for the Use of AXS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02 in the Pain of Knee OA Associated with BMLs</w:t>
      </w:r>
    </w:p>
    <w:p>
      <w:pPr>
        <w:spacing w:after="0" w:line="185" w:lineRule="exact"/>
        <w:rPr>
          <w:sz w:val="20"/>
          <w:szCs w:val="20"/>
          <w:color w:val="auto"/>
        </w:rPr>
      </w:pPr>
    </w:p>
    <w:p>
      <w:pPr>
        <w:ind w:right="180" w:firstLine="648"/>
        <w:spacing w:after="0" w:line="181" w:lineRule="exact"/>
        <w:rPr>
          <w:sz w:val="20"/>
          <w:szCs w:val="20"/>
          <w:color w:val="auto"/>
        </w:rPr>
      </w:pPr>
      <w:r>
        <w:rPr>
          <w:rFonts w:ascii="Arial" w:cs="Arial" w:eastAsia="Arial" w:hAnsi="Arial"/>
          <w:sz w:val="16"/>
          <w:szCs w:val="16"/>
          <w:color w:val="auto"/>
        </w:rPr>
        <w:t>The rationale for utilizing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the pain of knee OA associated with BMLs is based on the observations that (1) BMLs are strongly associated with pain in knee OA, (2) BMLs represent regions of increased subchondral bone turnover and reduced mineral content based on studies of BMLs resected from human subjects, and</w:t>
      </w:r>
    </w:p>
    <w:p>
      <w:pPr>
        <w:spacing w:after="0" w:line="2" w:lineRule="exact"/>
        <w:rPr>
          <w:sz w:val="20"/>
          <w:szCs w:val="20"/>
          <w:color w:val="auto"/>
        </w:rPr>
      </w:pPr>
    </w:p>
    <w:p>
      <w:pPr>
        <w:ind w:right="40" w:firstLine="3"/>
        <w:spacing w:after="0" w:line="189" w:lineRule="exact"/>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zoledronic acid potently inhibits bone turnover, increases bone mineral density, and localizes preferentially to regions of increased bone turnover. The pharmacological actions of zoledronic acid therefore suggest the potential for AXS</w:t>
      </w:r>
      <w:r>
        <w:rPr>
          <w:rFonts w:ascii="MS PGothic" w:cs="MS PGothic" w:eastAsia="MS PGothic" w:hAnsi="MS PGothic"/>
          <w:sz w:val="18"/>
          <w:szCs w:val="18"/>
          <w:color w:val="auto"/>
        </w:rPr>
        <w:t>‑</w:t>
      </w:r>
      <w:r>
        <w:rPr>
          <w:rFonts w:ascii="Arial" w:cs="Arial" w:eastAsia="Arial" w:hAnsi="Arial"/>
          <w:sz w:val="18"/>
          <w:szCs w:val="18"/>
          <w:color w:val="auto"/>
        </w:rPr>
        <w:t>02 to affect BMLs, thereby reducing pain in patients with knee OA associated with BMLs.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Chronic Low Back Pain (CLBP) Associated with Modic Changes (MCs)</w:t>
      </w:r>
    </w:p>
    <w:p>
      <w:pPr>
        <w:spacing w:after="0" w:line="185" w:lineRule="exact"/>
        <w:rPr>
          <w:sz w:val="20"/>
          <w:szCs w:val="20"/>
          <w:color w:val="auto"/>
        </w:rPr>
      </w:pPr>
    </w:p>
    <w:p>
      <w:pPr>
        <w:ind w:right="740" w:firstLine="648"/>
        <w:spacing w:after="0" w:line="203" w:lineRule="exact"/>
        <w:rPr>
          <w:sz w:val="20"/>
          <w:szCs w:val="20"/>
          <w:color w:val="auto"/>
        </w:rPr>
      </w:pPr>
      <w:r>
        <w:rPr>
          <w:rFonts w:ascii="Arial" w:cs="Arial" w:eastAsia="Arial" w:hAnsi="Arial"/>
          <w:sz w:val="18"/>
          <w:szCs w:val="18"/>
          <w:color w:val="auto"/>
        </w:rPr>
        <w:t>We are developing AXS</w:t>
      </w:r>
      <w:r>
        <w:rPr>
          <w:rFonts w:ascii="MS PGothic" w:cs="MS PGothic" w:eastAsia="MS PGothic" w:hAnsi="MS PGothic"/>
          <w:sz w:val="18"/>
          <w:szCs w:val="18"/>
          <w:color w:val="auto"/>
        </w:rPr>
        <w:t>‑</w:t>
      </w:r>
      <w:r>
        <w:rPr>
          <w:rFonts w:ascii="Arial" w:cs="Arial" w:eastAsia="Arial" w:hAnsi="Arial"/>
          <w:sz w:val="18"/>
          <w:szCs w:val="18"/>
          <w:color w:val="auto"/>
        </w:rPr>
        <w:t>02 for the treatment of CLBP associated with MCs. There is currently no therapy specifically approved by the FDA or the EMA to treat this subset of CLBP.</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Indication Overview</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CLBP is defined as persistent or fluctuating low back pain lasting at least three months. It is a disabling and costly</w:t>
      </w:r>
    </w:p>
    <w:p>
      <w:pPr>
        <w:spacing w:after="0"/>
        <w:rPr>
          <w:sz w:val="20"/>
          <w:szCs w:val="20"/>
          <w:color w:val="auto"/>
        </w:rPr>
      </w:pPr>
      <w:r>
        <w:rPr>
          <w:rFonts w:ascii="Arial" w:cs="Arial" w:eastAsia="Arial" w:hAnsi="Arial"/>
          <w:sz w:val="16"/>
          <w:szCs w:val="16"/>
          <w:color w:val="auto"/>
        </w:rPr>
        <w:t>condition that is associated with increased healthcare utilization. The economic costs of CLBP are estimated to range from</w:t>
      </w:r>
    </w:p>
    <w:p>
      <w:pPr>
        <w:spacing w:after="0" w:line="229" w:lineRule="auto"/>
        <w:rPr>
          <w:sz w:val="20"/>
          <w:szCs w:val="20"/>
          <w:color w:val="auto"/>
        </w:rPr>
      </w:pPr>
      <w:r>
        <w:rPr>
          <w:rFonts w:ascii="Arial" w:cs="Arial" w:eastAsia="Arial" w:hAnsi="Arial"/>
          <w:sz w:val="16"/>
          <w:szCs w:val="16"/>
          <w:color w:val="auto"/>
        </w:rPr>
        <w:t>$12.2 billion to $90.6 billion annually in the United States. Factors that contribute to this economic impact include prolonged</w:t>
      </w:r>
    </w:p>
    <w:p>
      <w:pPr>
        <w:spacing w:after="0" w:line="229" w:lineRule="auto"/>
        <w:rPr>
          <w:sz w:val="20"/>
          <w:szCs w:val="20"/>
          <w:color w:val="auto"/>
        </w:rPr>
      </w:pPr>
      <w:r>
        <w:rPr>
          <w:rFonts w:ascii="Arial" w:cs="Arial" w:eastAsia="Arial" w:hAnsi="Arial"/>
          <w:sz w:val="16"/>
          <w:szCs w:val="16"/>
          <w:color w:val="auto"/>
        </w:rPr>
        <w:t>loss of function, consequent loss of work productivity, treatment costs, and disability payments. Low back pain may be due to</w:t>
      </w:r>
    </w:p>
    <w:p>
      <w:pPr>
        <w:spacing w:after="0" w:line="229" w:lineRule="auto"/>
        <w:rPr>
          <w:sz w:val="20"/>
          <w:szCs w:val="20"/>
          <w:color w:val="auto"/>
        </w:rPr>
      </w:pPr>
      <w:r>
        <w:rPr>
          <w:rFonts w:ascii="Arial" w:cs="Arial" w:eastAsia="Arial" w:hAnsi="Arial"/>
          <w:sz w:val="16"/>
          <w:szCs w:val="16"/>
          <w:color w:val="auto"/>
        </w:rPr>
        <w:t>a specific cause such as fracture, tumor, infection, or nerve root compression. However, it is estimated that in more than 85%</w:t>
      </w:r>
    </w:p>
    <w:p>
      <w:pPr>
        <w:spacing w:after="0" w:line="196" w:lineRule="exact"/>
        <w:rPr>
          <w:sz w:val="20"/>
          <w:szCs w:val="20"/>
          <w:color w:val="auto"/>
        </w:rPr>
      </w:pPr>
      <w:r>
        <w:rPr>
          <w:rFonts w:ascii="Arial" w:cs="Arial" w:eastAsia="Arial" w:hAnsi="Arial"/>
          <w:sz w:val="17"/>
          <w:szCs w:val="17"/>
          <w:color w:val="auto"/>
        </w:rPr>
        <w:t>of cases such specific causes cannot be identified, resulting in the majority of cases being classified as non</w:t>
      </w:r>
      <w:r>
        <w:rPr>
          <w:rFonts w:ascii="MS PGothic" w:cs="MS PGothic" w:eastAsia="MS PGothic" w:hAnsi="MS PGothic"/>
          <w:sz w:val="17"/>
          <w:szCs w:val="17"/>
          <w:color w:val="auto"/>
        </w:rPr>
        <w:t>‑</w:t>
      </w:r>
      <w:r>
        <w:rPr>
          <w:rFonts w:ascii="Arial" w:cs="Arial" w:eastAsia="Arial" w:hAnsi="Arial"/>
          <w:sz w:val="17"/>
          <w:szCs w:val="17"/>
          <w:color w:val="auto"/>
        </w:rPr>
        <w:t>specific.</w:t>
      </w:r>
    </w:p>
    <w:p>
      <w:pPr>
        <w:spacing w:after="0" w:line="180" w:lineRule="exact"/>
        <w:rPr>
          <w:sz w:val="20"/>
          <w:szCs w:val="20"/>
          <w:color w:val="auto"/>
        </w:rPr>
      </w:pPr>
    </w:p>
    <w:p>
      <w:pPr>
        <w:ind w:right="60" w:firstLine="648"/>
        <w:spacing w:after="0" w:line="184" w:lineRule="exact"/>
        <w:rPr>
          <w:sz w:val="20"/>
          <w:szCs w:val="20"/>
          <w:color w:val="auto"/>
        </w:rPr>
      </w:pPr>
      <w:r>
        <w:rPr>
          <w:rFonts w:ascii="Arial" w:cs="Arial" w:eastAsia="Arial" w:hAnsi="Arial"/>
          <w:sz w:val="16"/>
          <w:szCs w:val="16"/>
          <w:color w:val="auto"/>
        </w:rPr>
        <w:t>Recently, it has been suggested that patients with MCs may represent a specific clinical subgroup of CLBP patients. MCs are vertebral bone marrow changes that are visible on MRI of the spine, and that represent regions of increased bone turnover and pro</w:t>
      </w:r>
      <w:r>
        <w:rPr>
          <w:rFonts w:ascii="MS PGothic" w:cs="MS PGothic" w:eastAsia="MS PGothic" w:hAnsi="MS PGothic"/>
          <w:sz w:val="16"/>
          <w:szCs w:val="16"/>
          <w:color w:val="auto"/>
        </w:rPr>
        <w:t>‑</w:t>
      </w:r>
      <w:r>
        <w:rPr>
          <w:rFonts w:ascii="Arial" w:cs="Arial" w:eastAsia="Arial" w:hAnsi="Arial"/>
          <w:sz w:val="16"/>
          <w:szCs w:val="16"/>
          <w:color w:val="auto"/>
        </w:rPr>
        <w:t>inflammatory mediators. MCs are classified into types 1, 2, or 3, based on radiographic and histological features. MCs are clinically relevant because they are associated with low back pain, based on published studies. Findings from studies in clinical and non</w:t>
      </w:r>
      <w:r>
        <w:rPr>
          <w:rFonts w:ascii="MS PGothic" w:cs="MS PGothic" w:eastAsia="MS PGothic" w:hAnsi="MS PGothic"/>
          <w:sz w:val="16"/>
          <w:szCs w:val="16"/>
          <w:color w:val="auto"/>
        </w:rPr>
        <w:t>‑</w:t>
      </w:r>
      <w:r>
        <w:rPr>
          <w:rFonts w:ascii="Arial" w:cs="Arial" w:eastAsia="Arial" w:hAnsi="Arial"/>
          <w:sz w:val="16"/>
          <w:szCs w:val="16"/>
          <w:color w:val="auto"/>
        </w:rPr>
        <w:t>clinical populations have demonstrated that the presence of MCs, especially type 1 MCs, is correlated with low back pain, predicts persistent symptoms, and sick leaves, and is associated with poor outcomes. These studies therefore suggest that MCs are a potential target for pharmaceutical intervention.</w:t>
      </w:r>
    </w:p>
    <w:p>
      <w:pPr>
        <w:spacing w:after="0" w:line="163" w:lineRule="exact"/>
        <w:rPr>
          <w:sz w:val="20"/>
          <w:szCs w:val="20"/>
          <w:color w:val="auto"/>
        </w:rPr>
      </w:pPr>
    </w:p>
    <w:p>
      <w:pPr>
        <w:ind w:right="100" w:firstLine="648"/>
        <w:spacing w:after="0" w:line="187" w:lineRule="exact"/>
        <w:rPr>
          <w:sz w:val="20"/>
          <w:szCs w:val="20"/>
          <w:color w:val="auto"/>
        </w:rPr>
      </w:pPr>
      <w:r>
        <w:rPr>
          <w:rFonts w:ascii="Arial" w:cs="Arial" w:eastAsia="Arial" w:hAnsi="Arial"/>
          <w:sz w:val="18"/>
          <w:szCs w:val="18"/>
          <w:color w:val="auto"/>
        </w:rPr>
        <w:t>There is currently no therapy specifically approved by the FDA or the EMA to treat CLBP associated with MCs. Currently available therapy for the broader CLBP population includes non</w:t>
      </w:r>
      <w:r>
        <w:rPr>
          <w:rFonts w:ascii="MS PGothic" w:cs="MS PGothic" w:eastAsia="MS PGothic" w:hAnsi="MS PGothic"/>
          <w:sz w:val="18"/>
          <w:szCs w:val="18"/>
          <w:color w:val="auto"/>
        </w:rPr>
        <w:t>‑</w:t>
      </w:r>
      <w:r>
        <w:rPr>
          <w:rFonts w:ascii="Arial" w:cs="Arial" w:eastAsia="Arial" w:hAnsi="Arial"/>
          <w:sz w:val="18"/>
          <w:szCs w:val="18"/>
          <w:color w:val="auto"/>
        </w:rPr>
        <w:t>pharmacological approaches, such as exercise, and pharmacological treatments, such as NSAIDs and opioid medications. Current pharmacological treatments are generally short</w:t>
      </w:r>
      <w:r>
        <w:rPr>
          <w:rFonts w:ascii="MS PGothic" w:cs="MS PGothic" w:eastAsia="MS PGothic" w:hAnsi="MS PGothic"/>
          <w:sz w:val="18"/>
          <w:szCs w:val="18"/>
          <w:color w:val="auto"/>
        </w:rPr>
        <w:t>‑</w:t>
      </w:r>
      <w:r>
        <w:rPr>
          <w:rFonts w:ascii="Arial" w:cs="Arial" w:eastAsia="Arial" w:hAnsi="Arial"/>
          <w:sz w:val="18"/>
          <w:szCs w:val="18"/>
          <w:color w:val="auto"/>
        </w:rPr>
        <w:t>acting and may address the symptoms of CLBP, but are not thought to have an effect on the underlying cause of the condition.</w:t>
      </w:r>
    </w:p>
    <w:p>
      <w:pPr>
        <w:spacing w:after="0" w:line="162" w:lineRule="exact"/>
        <w:rPr>
          <w:sz w:val="20"/>
          <w:szCs w:val="20"/>
          <w:color w:val="auto"/>
        </w:rPr>
      </w:pPr>
    </w:p>
    <w:p>
      <w:pPr>
        <w:jc w:val="both"/>
        <w:ind w:right="100" w:firstLine="648"/>
        <w:spacing w:after="0" w:line="224" w:lineRule="auto"/>
        <w:rPr>
          <w:sz w:val="20"/>
          <w:szCs w:val="20"/>
          <w:color w:val="auto"/>
        </w:rPr>
      </w:pPr>
      <w:r>
        <w:rPr>
          <w:rFonts w:ascii="Arial" w:cs="Arial" w:eastAsia="Arial" w:hAnsi="Arial"/>
          <w:sz w:val="18"/>
          <w:szCs w:val="18"/>
          <w:color w:val="auto"/>
        </w:rPr>
        <w:t>Results of epidemiological studies suggest that there are approximately 121 million adults in the United States with low back pain in a given year. Approximately 9 million of these sufferers are estimated to have CLBP, of whom we estimate approximately 1.6 million have type 1 MCs.</w:t>
      </w:r>
    </w:p>
    <w:p>
      <w:pPr>
        <w:spacing w:after="0" w:line="163"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Rationale for the Use of AXS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02 in CLBP Associated with MCs</w:t>
      </w:r>
    </w:p>
    <w:p>
      <w:pPr>
        <w:spacing w:after="0" w:line="185"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The rationale for utilizing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CLBP associated with MCs is based on the observations that</w:t>
      </w:r>
    </w:p>
    <w:p>
      <w:pPr>
        <w:spacing w:after="0" w:line="8" w:lineRule="exact"/>
        <w:rPr>
          <w:sz w:val="20"/>
          <w:szCs w:val="20"/>
          <w:color w:val="auto"/>
        </w:rPr>
      </w:pPr>
    </w:p>
    <w:p>
      <w:pPr>
        <w:ind w:right="60" w:firstLine="3"/>
        <w:spacing w:after="0" w:line="184" w:lineRule="exact"/>
        <w:tabs>
          <w:tab w:leader="none" w:pos="255" w:val="left"/>
        </w:tabs>
        <w:numPr>
          <w:ilvl w:val="0"/>
          <w:numId w:val="8"/>
        </w:numPr>
        <w:rPr>
          <w:rFonts w:ascii="Arial" w:cs="Arial" w:eastAsia="Arial" w:hAnsi="Arial"/>
          <w:sz w:val="16"/>
          <w:szCs w:val="16"/>
          <w:color w:val="auto"/>
        </w:rPr>
      </w:pPr>
      <w:r>
        <w:rPr>
          <w:rFonts w:ascii="Arial" w:cs="Arial" w:eastAsia="Arial" w:hAnsi="Arial"/>
          <w:sz w:val="16"/>
          <w:szCs w:val="16"/>
          <w:color w:val="auto"/>
        </w:rPr>
        <w:t>MCs are associated with low back pain, (2) MCs represent regions of increased bone turnover based on three</w:t>
      </w:r>
      <w:r>
        <w:rPr>
          <w:rFonts w:ascii="MS PGothic" w:cs="MS PGothic" w:eastAsia="MS PGothic" w:hAnsi="MS PGothic"/>
          <w:sz w:val="16"/>
          <w:szCs w:val="16"/>
          <w:color w:val="auto"/>
        </w:rPr>
        <w:t>‑</w:t>
      </w:r>
      <w:r>
        <w:rPr>
          <w:rFonts w:ascii="Arial" w:cs="Arial" w:eastAsia="Arial" w:hAnsi="Arial"/>
          <w:sz w:val="16"/>
          <w:szCs w:val="16"/>
          <w:color w:val="auto"/>
        </w:rPr>
        <w:t>phase bone scans and increased pro</w:t>
      </w:r>
      <w:r>
        <w:rPr>
          <w:rFonts w:ascii="MS PGothic" w:cs="MS PGothic" w:eastAsia="MS PGothic" w:hAnsi="MS PGothic"/>
          <w:sz w:val="16"/>
          <w:szCs w:val="16"/>
          <w:color w:val="auto"/>
        </w:rPr>
        <w:t>‑</w:t>
      </w:r>
      <w:r>
        <w:rPr>
          <w:rFonts w:ascii="Arial" w:cs="Arial" w:eastAsia="Arial" w:hAnsi="Arial"/>
          <w:sz w:val="16"/>
          <w:szCs w:val="16"/>
          <w:color w:val="auto"/>
        </w:rPr>
        <w:t>inflammatory cytokines and vascular density based on analysis of lesions resected from human subjects, and (3) zoledronic acid potently inhibits bone turnover, may reduce pro</w:t>
      </w:r>
      <w:r>
        <w:rPr>
          <w:rFonts w:ascii="MS PGothic" w:cs="MS PGothic" w:eastAsia="MS PGothic" w:hAnsi="MS PGothic"/>
          <w:sz w:val="16"/>
          <w:szCs w:val="16"/>
          <w:color w:val="auto"/>
        </w:rPr>
        <w:t>‑</w:t>
      </w:r>
      <w:r>
        <w:rPr>
          <w:rFonts w:ascii="Arial" w:cs="Arial" w:eastAsia="Arial" w:hAnsi="Arial"/>
          <w:sz w:val="16"/>
          <w:szCs w:val="16"/>
          <w:color w:val="auto"/>
        </w:rPr>
        <w:t>inflammatory cytokine production, is anti</w:t>
      </w:r>
      <w:r>
        <w:rPr>
          <w:rFonts w:ascii="MS PGothic" w:cs="MS PGothic" w:eastAsia="MS PGothic" w:hAnsi="MS PGothic"/>
          <w:sz w:val="16"/>
          <w:szCs w:val="16"/>
          <w:color w:val="auto"/>
        </w:rPr>
        <w:t>‑</w:t>
      </w:r>
      <w:r>
        <w:rPr>
          <w:rFonts w:ascii="Arial" w:cs="Arial" w:eastAsia="Arial" w:hAnsi="Arial"/>
          <w:sz w:val="16"/>
          <w:szCs w:val="16"/>
          <w:color w:val="auto"/>
        </w:rPr>
        <w:t>angiogenic, and localizes preferentially to regions of increased turnover. The pharmacological actions of zoledronic acid therefore suggest the potential for AXS</w:t>
      </w:r>
      <w:r>
        <w:rPr>
          <w:rFonts w:ascii="MS PGothic" w:cs="MS PGothic" w:eastAsia="MS PGothic" w:hAnsi="MS PGothic"/>
          <w:sz w:val="16"/>
          <w:szCs w:val="16"/>
          <w:color w:val="auto"/>
        </w:rPr>
        <w:t>‑</w:t>
      </w:r>
      <w:r>
        <w:rPr>
          <w:rFonts w:ascii="Arial" w:cs="Arial" w:eastAsia="Arial" w:hAnsi="Arial"/>
          <w:sz w:val="16"/>
          <w:szCs w:val="16"/>
          <w:color w:val="auto"/>
        </w:rPr>
        <w:t>02 to affect MCs, thereby reducing pain in patients with CLBP associated with MCs.</w:t>
      </w:r>
    </w:p>
    <w:p>
      <w:pPr>
        <w:spacing w:after="0" w:line="162"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Clinical Development of 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02</w:t>
      </w:r>
    </w:p>
    <w:p>
      <w:pPr>
        <w:spacing w:after="0" w:line="185" w:lineRule="exact"/>
        <w:rPr>
          <w:sz w:val="20"/>
          <w:szCs w:val="20"/>
          <w:color w:val="auto"/>
        </w:rPr>
      </w:pPr>
    </w:p>
    <w:p>
      <w:pPr>
        <w:ind w:right="500" w:firstLine="648"/>
        <w:spacing w:after="0" w:line="194" w:lineRule="exact"/>
        <w:rPr>
          <w:sz w:val="20"/>
          <w:szCs w:val="20"/>
          <w:color w:val="auto"/>
        </w:rPr>
      </w:pPr>
      <w:r>
        <w:rPr>
          <w:rFonts w:ascii="Arial" w:cs="Arial" w:eastAsia="Arial" w:hAnsi="Arial"/>
          <w:sz w:val="18"/>
          <w:szCs w:val="18"/>
          <w:color w:val="auto"/>
        </w:rPr>
        <w:t>We are developing AXS</w:t>
      </w:r>
      <w:r>
        <w:rPr>
          <w:rFonts w:ascii="MS PGothic" w:cs="MS PGothic" w:eastAsia="MS PGothic" w:hAnsi="MS PGothic"/>
          <w:sz w:val="18"/>
          <w:szCs w:val="18"/>
          <w:color w:val="auto"/>
        </w:rPr>
        <w:t>‑</w:t>
      </w:r>
      <w:r>
        <w:rPr>
          <w:rFonts w:ascii="Arial" w:cs="Arial" w:eastAsia="Arial" w:hAnsi="Arial"/>
          <w:sz w:val="18"/>
          <w:szCs w:val="18"/>
          <w:color w:val="auto"/>
        </w:rPr>
        <w:t>02 and intend to seek FDA approval for the product candidate utilizing the 505(b)(2) regulatory pathway. We currently plan to rely on the FDA’s prior finding of safety and efficacy for IV</w:t>
      </w:r>
      <w:r>
        <w:rPr>
          <w:rFonts w:ascii="MS PGothic" w:cs="MS PGothic" w:eastAsia="MS PGothic" w:hAnsi="MS PGothic"/>
          <w:sz w:val="18"/>
          <w:szCs w:val="18"/>
          <w:color w:val="auto"/>
        </w:rPr>
        <w:t>‑</w:t>
      </w:r>
      <w:r>
        <w:rPr>
          <w:rFonts w:ascii="Arial" w:cs="Arial" w:eastAsia="Arial" w:hAnsi="Arial"/>
          <w:sz w:val="18"/>
          <w:szCs w:val="18"/>
          <w:color w:val="auto"/>
        </w:rPr>
        <w:t>administered zoledronic acid as well as published literature to support our marketing application.</w:t>
      </w:r>
    </w:p>
    <w:p>
      <w:pPr>
        <w:spacing w:after="0" w:line="163" w:lineRule="exact"/>
        <w:rPr>
          <w:sz w:val="20"/>
          <w:szCs w:val="20"/>
          <w:color w:val="auto"/>
        </w:rPr>
      </w:pPr>
    </w:p>
    <w:p>
      <w:pPr>
        <w:ind w:right="260" w:firstLine="648"/>
        <w:spacing w:after="0" w:line="194" w:lineRule="exact"/>
        <w:rPr>
          <w:sz w:val="20"/>
          <w:szCs w:val="20"/>
          <w:color w:val="auto"/>
        </w:rPr>
      </w:pPr>
      <w:r>
        <w:rPr>
          <w:rFonts w:ascii="Arial" w:cs="Arial" w:eastAsia="Arial" w:hAnsi="Arial"/>
          <w:sz w:val="18"/>
          <w:szCs w:val="18"/>
          <w:color w:val="auto"/>
        </w:rPr>
        <w:t>We held a Type C meeting with the FDA in June 2014 where we presented our clinical development plan for AXS</w:t>
      </w:r>
      <w:r>
        <w:rPr>
          <w:rFonts w:ascii="MS PGothic" w:cs="MS PGothic" w:eastAsia="MS PGothic" w:hAnsi="MS PGothic"/>
          <w:sz w:val="18"/>
          <w:szCs w:val="18"/>
          <w:color w:val="auto"/>
        </w:rPr>
        <w:t>‑</w:t>
      </w:r>
      <w:r>
        <w:rPr>
          <w:rFonts w:ascii="Arial" w:cs="Arial" w:eastAsia="Arial" w:hAnsi="Arial"/>
          <w:sz w:val="18"/>
          <w:szCs w:val="18"/>
          <w:color w:val="auto"/>
        </w:rPr>
        <w:t>02 in the treatment of pain associated with CRPS, the pain of knee OA associated with BMLs, and CLBP associated with MCs.</w:t>
      </w:r>
    </w:p>
    <w:p>
      <w:pPr>
        <w:spacing w:after="0" w:line="163" w:lineRule="exact"/>
        <w:rPr>
          <w:sz w:val="20"/>
          <w:szCs w:val="20"/>
          <w:color w:val="auto"/>
        </w:rPr>
      </w:pPr>
    </w:p>
    <w:p>
      <w:pPr>
        <w:ind w:right="120" w:firstLine="648"/>
        <w:spacing w:after="0" w:line="189" w:lineRule="exact"/>
        <w:rPr>
          <w:sz w:val="20"/>
          <w:szCs w:val="20"/>
          <w:color w:val="auto"/>
        </w:rPr>
      </w:pPr>
      <w:r>
        <w:rPr>
          <w:rFonts w:ascii="Arial" w:cs="Arial" w:eastAsia="Arial" w:hAnsi="Arial"/>
          <w:sz w:val="16"/>
          <w:szCs w:val="16"/>
          <w:color w:val="auto"/>
        </w:rPr>
        <w:t>In October 2015, we reached agreement with the FDA regarding an SPA on the design of a Phase 3 clinical trial with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the pain of knee OA associated with BMLs. An SPA documents the FDA’s agreement that the design and planned analysis of a clinical trial adequately address scientific and regulatory objectives that, if met, would support a regulatory submission for approval of a drug. An SPA, however, does not guarantee FDA approval.</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In April 2016, we received Fast Track designation from the FDA for AXS</w:t>
      </w:r>
      <w:r>
        <w:rPr>
          <w:rFonts w:ascii="MS PGothic" w:cs="MS PGothic" w:eastAsia="MS PGothic" w:hAnsi="MS PGothic"/>
          <w:sz w:val="17"/>
          <w:szCs w:val="17"/>
          <w:color w:val="auto"/>
        </w:rPr>
        <w:t>‑</w:t>
      </w:r>
      <w:r>
        <w:rPr>
          <w:rFonts w:ascii="Arial" w:cs="Arial" w:eastAsia="Arial" w:hAnsi="Arial"/>
          <w:sz w:val="17"/>
          <w:szCs w:val="17"/>
          <w:color w:val="auto"/>
        </w:rPr>
        <w:t>02 for the treatment of the pain of knee OA associated with BMLs. The FDA’s Fast Track designation program is designed to aid in the development and expedite the review of drugs that are intended to treat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conditions. In order to receive Fast Track designation, a product candidate must also demonstrate the potential to address an unmet medical need. Fast Track designation provides greater access to, and more frequent communication with, the FDA throughout the entire drug development and review process, with the goal of getting important new drugs to patients more rapidly. It also provides the opportunity to submit sections of an NDA on a rolling basis, where the FDA may review portions of the NDA as they are received instead of waiting for the entire NDA submission. In addition, Fast Track designated product candidates may be eligible for priority review at the time of NDA submission.</w:t>
      </w:r>
    </w:p>
    <w:p>
      <w:pPr>
        <w:spacing w:after="0" w:line="162" w:lineRule="exact"/>
        <w:rPr>
          <w:sz w:val="20"/>
          <w:szCs w:val="20"/>
          <w:color w:val="auto"/>
        </w:rPr>
      </w:pPr>
    </w:p>
    <w:p>
      <w:pPr>
        <w:ind w:right="280" w:firstLine="648"/>
        <w:spacing w:after="0" w:line="203" w:lineRule="exact"/>
        <w:rPr>
          <w:sz w:val="20"/>
          <w:szCs w:val="20"/>
          <w:color w:val="auto"/>
        </w:rPr>
      </w:pPr>
      <w:r>
        <w:rPr>
          <w:rFonts w:ascii="Arial" w:cs="Arial" w:eastAsia="Arial" w:hAnsi="Arial"/>
          <w:sz w:val="18"/>
          <w:szCs w:val="18"/>
          <w:color w:val="auto"/>
        </w:rPr>
        <w:t>In February 2017, we received IND clearance from the FDA to proceed with our planned Phase 3 clinical trial of AXS</w:t>
      </w:r>
      <w:r>
        <w:rPr>
          <w:rFonts w:ascii="MS PGothic" w:cs="MS PGothic" w:eastAsia="MS PGothic" w:hAnsi="MS PGothic"/>
          <w:sz w:val="18"/>
          <w:szCs w:val="18"/>
          <w:color w:val="auto"/>
        </w:rPr>
        <w:t>‑</w:t>
      </w:r>
      <w:r>
        <w:rPr>
          <w:rFonts w:ascii="Arial" w:cs="Arial" w:eastAsia="Arial" w:hAnsi="Arial"/>
          <w:sz w:val="18"/>
          <w:szCs w:val="18"/>
          <w:color w:val="auto"/>
        </w:rPr>
        <w:t>02 in CLBP.</w:t>
      </w:r>
    </w:p>
    <w:p>
      <w:pPr>
        <w:spacing w:after="0" w:line="162"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As discussed below, we had previously initiated a Phase 3 clinical trial of AXS-02 for the treatment of complex regional pain syndrome, or CRPS, which we referred to as the CREATE-1 trial. In January 2018, an independent data monitoring committee, or IDMC, conducted an interim analysis of the CREATE-1 trial of AXS-02 in CRPS and of the COAST-1 trial of AXS-02 in knee OA associated with BMLs. The IDMC recommended that the COAST-1 trial be continued to full enrollment, and that the CREATE-1 trial be stopped for futility.</w:t>
      </w:r>
    </w:p>
    <w:p>
      <w:pPr>
        <w:spacing w:after="0" w:line="162" w:lineRule="exact"/>
        <w:rPr>
          <w:sz w:val="20"/>
          <w:szCs w:val="20"/>
          <w:color w:val="auto"/>
        </w:rPr>
      </w:pPr>
    </w:p>
    <w:p>
      <w:pPr>
        <w:ind w:right="100" w:firstLine="648"/>
        <w:spacing w:after="0" w:line="187" w:lineRule="exact"/>
        <w:rPr>
          <w:sz w:val="20"/>
          <w:szCs w:val="20"/>
          <w:color w:val="auto"/>
        </w:rPr>
      </w:pPr>
      <w:r>
        <w:rPr>
          <w:rFonts w:ascii="Arial" w:cs="Arial" w:eastAsia="Arial" w:hAnsi="Arial"/>
          <w:sz w:val="16"/>
          <w:szCs w:val="16"/>
          <w:color w:val="auto"/>
        </w:rPr>
        <w:t>We completed oral toxicology studies in the rat and dog models to support the dosing of AXS</w:t>
      </w:r>
      <w:r>
        <w:rPr>
          <w:rFonts w:ascii="MS PGothic" w:cs="MS PGothic" w:eastAsia="MS PGothic" w:hAnsi="MS PGothic"/>
          <w:sz w:val="16"/>
          <w:szCs w:val="16"/>
          <w:color w:val="auto"/>
        </w:rPr>
        <w:t>‑</w:t>
      </w:r>
      <w:r>
        <w:rPr>
          <w:rFonts w:ascii="Arial" w:cs="Arial" w:eastAsia="Arial" w:hAnsi="Arial"/>
          <w:sz w:val="16"/>
          <w:szCs w:val="16"/>
          <w:color w:val="auto"/>
        </w:rPr>
        <w:t>02 in our completed Phase 1 trial and in our ongoing and planned Phase 3 trials. Dose</w:t>
      </w:r>
      <w:r>
        <w:rPr>
          <w:rFonts w:ascii="MS PGothic" w:cs="MS PGothic" w:eastAsia="MS PGothic" w:hAnsi="MS PGothic"/>
          <w:sz w:val="16"/>
          <w:szCs w:val="16"/>
          <w:color w:val="auto"/>
        </w:rPr>
        <w:t>‑</w:t>
      </w:r>
      <w:r>
        <w:rPr>
          <w:rFonts w:ascii="Arial" w:cs="Arial" w:eastAsia="Arial" w:hAnsi="Arial"/>
          <w:sz w:val="16"/>
          <w:szCs w:val="16"/>
          <w:color w:val="auto"/>
        </w:rPr>
        <w:t>limiting adverse effects were primarily gastrointestinal related. We have completed a Phase 1 trial of AXS</w:t>
      </w:r>
      <w:r>
        <w:rPr>
          <w:rFonts w:ascii="MS PGothic" w:cs="MS PGothic" w:eastAsia="MS PGothic" w:hAnsi="MS PGothic"/>
          <w:sz w:val="16"/>
          <w:szCs w:val="16"/>
          <w:color w:val="auto"/>
        </w:rPr>
        <w:t>‑</w:t>
      </w:r>
      <w:r>
        <w:rPr>
          <w:rFonts w:ascii="Arial" w:cs="Arial" w:eastAsia="Arial" w:hAnsi="Arial"/>
          <w:sz w:val="16"/>
          <w:szCs w:val="16"/>
          <w:color w:val="auto"/>
        </w:rPr>
        <w:t>02 to characterize the pharmacokinetics of zoledronic acid and its effects on markers of bone resorption after oral administration of AXS</w:t>
      </w:r>
      <w:r>
        <w:rPr>
          <w:rFonts w:ascii="MS PGothic" w:cs="MS PGothic" w:eastAsia="MS PGothic" w:hAnsi="MS PGothic"/>
          <w:sz w:val="16"/>
          <w:szCs w:val="16"/>
          <w:color w:val="auto"/>
        </w:rPr>
        <w:t>‑</w:t>
      </w:r>
      <w:r>
        <w:rPr>
          <w:rFonts w:ascii="Arial" w:cs="Arial" w:eastAsia="Arial" w:hAnsi="Arial"/>
          <w:sz w:val="16"/>
          <w:szCs w:val="16"/>
          <w:color w:val="auto"/>
        </w:rPr>
        <w:t>02. In this trial, oral administration of AXS</w:t>
      </w:r>
      <w:r>
        <w:rPr>
          <w:rFonts w:ascii="MS PGothic" w:cs="MS PGothic" w:eastAsia="MS PGothic" w:hAnsi="MS PGothic"/>
          <w:sz w:val="16"/>
          <w:szCs w:val="16"/>
          <w:color w:val="auto"/>
        </w:rPr>
        <w:t>‑</w:t>
      </w:r>
      <w:r>
        <w:rPr>
          <w:rFonts w:ascii="Arial" w:cs="Arial" w:eastAsia="Arial" w:hAnsi="Arial"/>
          <w:sz w:val="16"/>
          <w:szCs w:val="16"/>
          <w:color w:val="auto"/>
        </w:rPr>
        <w:t>02 tablets resulted in rapid absorption of zoledronic acid and marked suppression of bone resorption markers.</w:t>
      </w:r>
    </w:p>
    <w:p>
      <w:pPr>
        <w:spacing w:after="0" w:line="162" w:lineRule="exact"/>
        <w:rPr>
          <w:sz w:val="20"/>
          <w:szCs w:val="20"/>
          <w:color w:val="auto"/>
        </w:rPr>
      </w:pPr>
    </w:p>
    <w:p>
      <w:pPr>
        <w:ind w:firstLine="648"/>
        <w:spacing w:after="0" w:line="183" w:lineRule="exact"/>
        <w:rPr>
          <w:sz w:val="20"/>
          <w:szCs w:val="20"/>
          <w:color w:val="auto"/>
        </w:rPr>
      </w:pPr>
      <w:r>
        <w:rPr>
          <w:rFonts w:ascii="Arial" w:cs="Arial" w:eastAsia="Arial" w:hAnsi="Arial"/>
          <w:sz w:val="18"/>
          <w:szCs w:val="18"/>
          <w:color w:val="auto"/>
        </w:rPr>
        <w:t>The potential effect of zoledronic acid on the pain of knee OA associated with BMLs has been demonstrated in a Phase 2, investigator</w:t>
      </w:r>
      <w:r>
        <w:rPr>
          <w:rFonts w:ascii="MS PGothic" w:cs="MS PGothic" w:eastAsia="MS PGothic" w:hAnsi="MS PGothic"/>
          <w:sz w:val="18"/>
          <w:szCs w:val="18"/>
          <w:color w:val="auto"/>
        </w:rPr>
        <w:t>‑</w:t>
      </w:r>
      <w:r>
        <w:rPr>
          <w:rFonts w:ascii="Arial" w:cs="Arial" w:eastAsia="Arial" w:hAnsi="Arial"/>
          <w:sz w:val="18"/>
          <w:szCs w:val="18"/>
          <w:color w:val="auto"/>
        </w:rPr>
        <w:t>initiated, randomized, double</w:t>
      </w:r>
      <w:r>
        <w:rPr>
          <w:rFonts w:ascii="MS PGothic" w:cs="MS PGothic" w:eastAsia="MS PGothic" w:hAnsi="MS PGothic"/>
          <w:sz w:val="18"/>
          <w:szCs w:val="18"/>
          <w:color w:val="auto"/>
        </w:rPr>
        <w:t>‑</w:t>
      </w:r>
      <w:r>
        <w:rPr>
          <w:rFonts w:ascii="Arial" w:cs="Arial" w:eastAsia="Arial" w:hAnsi="Arial"/>
          <w:sz w:val="18"/>
          <w:szCs w:val="18"/>
          <w:color w:val="auto"/>
        </w:rPr>
        <w:t>blind, placebo</w:t>
      </w:r>
      <w:r>
        <w:rPr>
          <w:rFonts w:ascii="MS PGothic" w:cs="MS PGothic" w:eastAsia="MS PGothic" w:hAnsi="MS PGothic"/>
          <w:sz w:val="18"/>
          <w:szCs w:val="18"/>
          <w:color w:val="auto"/>
        </w:rPr>
        <w:t>‑</w:t>
      </w:r>
      <w:r>
        <w:rPr>
          <w:rFonts w:ascii="Arial" w:cs="Arial" w:eastAsia="Arial" w:hAnsi="Arial"/>
          <w:sz w:val="18"/>
          <w:szCs w:val="18"/>
          <w:color w:val="auto"/>
        </w:rPr>
        <w:t>controlled trial. In this trial, IV administration of zoledronic acid resulted in a statistically significant reduction in pain and BML size at 6 months. The potential effect of zoledronic acid in CLBP associated with MCs has been demonstrated in a Phase 2, investigator</w:t>
      </w:r>
      <w:r>
        <w:rPr>
          <w:rFonts w:ascii="MS PGothic" w:cs="MS PGothic" w:eastAsia="MS PGothic" w:hAnsi="MS PGothic"/>
          <w:sz w:val="18"/>
          <w:szCs w:val="18"/>
          <w:color w:val="auto"/>
        </w:rPr>
        <w:t>‑</w:t>
      </w:r>
      <w:r>
        <w:rPr>
          <w:rFonts w:ascii="Arial" w:cs="Arial" w:eastAsia="Arial" w:hAnsi="Arial"/>
          <w:sz w:val="18"/>
          <w:szCs w:val="18"/>
          <w:color w:val="auto"/>
        </w:rPr>
        <w:t>initiated, randomized, double</w:t>
      </w:r>
      <w:r>
        <w:rPr>
          <w:rFonts w:ascii="MS PGothic" w:cs="MS PGothic" w:eastAsia="MS PGothic" w:hAnsi="MS PGothic"/>
          <w:sz w:val="18"/>
          <w:szCs w:val="18"/>
          <w:color w:val="auto"/>
        </w:rPr>
        <w:t>‑</w:t>
      </w:r>
      <w:r>
        <w:rPr>
          <w:rFonts w:ascii="Arial" w:cs="Arial" w:eastAsia="Arial" w:hAnsi="Arial"/>
          <w:sz w:val="18"/>
          <w:szCs w:val="18"/>
          <w:color w:val="auto"/>
        </w:rPr>
        <w:t>blind, placebo</w:t>
      </w:r>
      <w:r>
        <w:rPr>
          <w:rFonts w:ascii="MS PGothic" w:cs="MS PGothic" w:eastAsia="MS PGothic" w:hAnsi="MS PGothic"/>
          <w:sz w:val="18"/>
          <w:szCs w:val="18"/>
          <w:color w:val="auto"/>
        </w:rPr>
        <w:t>‑</w:t>
      </w:r>
      <w:r>
        <w:rPr>
          <w:rFonts w:ascii="Arial" w:cs="Arial" w:eastAsia="Arial" w:hAnsi="Arial"/>
          <w:sz w:val="18"/>
          <w:szCs w:val="18"/>
          <w:color w:val="auto"/>
        </w:rPr>
        <w:t>controlled trial. In this trial, IV administration of zoledronic acid resulted in statistically significant reductions in pain at 1 month and NSAID use at 12 months. We have obtained exclusive rights to the data generated from this trial in CLBP.</w:t>
      </w:r>
    </w:p>
    <w:p>
      <w:pPr>
        <w:spacing w:after="0" w:line="165" w:lineRule="exact"/>
        <w:rPr>
          <w:sz w:val="20"/>
          <w:szCs w:val="20"/>
          <w:color w:val="auto"/>
        </w:rPr>
      </w:pPr>
    </w:p>
    <w:p>
      <w:pPr>
        <w:ind w:right="260" w:firstLine="648"/>
        <w:spacing w:after="0" w:line="187" w:lineRule="exact"/>
        <w:rPr>
          <w:sz w:val="20"/>
          <w:szCs w:val="20"/>
          <w:color w:val="auto"/>
        </w:rPr>
      </w:pPr>
      <w:r>
        <w:rPr>
          <w:rFonts w:ascii="Arial" w:cs="Arial" w:eastAsia="Arial" w:hAnsi="Arial"/>
          <w:sz w:val="17"/>
          <w:szCs w:val="17"/>
          <w:color w:val="auto"/>
        </w:rPr>
        <w:t>We are currently conducting a randomized, double</w:t>
      </w:r>
      <w:r>
        <w:rPr>
          <w:rFonts w:ascii="MS PGothic" w:cs="MS PGothic" w:eastAsia="MS PGothic" w:hAnsi="MS PGothic"/>
          <w:sz w:val="17"/>
          <w:szCs w:val="17"/>
          <w:color w:val="auto"/>
        </w:rPr>
        <w:t>‑</w:t>
      </w:r>
      <w:r>
        <w:rPr>
          <w:rFonts w:ascii="Arial" w:cs="Arial" w:eastAsia="Arial" w:hAnsi="Arial"/>
          <w:sz w:val="17"/>
          <w:szCs w:val="17"/>
          <w:color w:val="auto"/>
        </w:rPr>
        <w:t>blind, placebo</w:t>
      </w:r>
      <w:r>
        <w:rPr>
          <w:rFonts w:ascii="MS PGothic" w:cs="MS PGothic" w:eastAsia="MS PGothic" w:hAnsi="MS PGothic"/>
          <w:sz w:val="17"/>
          <w:szCs w:val="17"/>
          <w:color w:val="auto"/>
        </w:rPr>
        <w:t>‑</w:t>
      </w:r>
      <w:r>
        <w:rPr>
          <w:rFonts w:ascii="Arial" w:cs="Arial" w:eastAsia="Arial" w:hAnsi="Arial"/>
          <w:sz w:val="17"/>
          <w:szCs w:val="17"/>
          <w:color w:val="auto"/>
        </w:rPr>
        <w:t>controlled Phase 3 trial of AXS</w:t>
      </w:r>
      <w:r>
        <w:rPr>
          <w:rFonts w:ascii="MS PGothic" w:cs="MS PGothic" w:eastAsia="MS PGothic" w:hAnsi="MS PGothic"/>
          <w:sz w:val="17"/>
          <w:szCs w:val="17"/>
          <w:color w:val="auto"/>
        </w:rPr>
        <w:t>‑</w:t>
      </w:r>
      <w:r>
        <w:rPr>
          <w:rFonts w:ascii="Arial" w:cs="Arial" w:eastAsia="Arial" w:hAnsi="Arial"/>
          <w:sz w:val="17"/>
          <w:szCs w:val="17"/>
          <w:color w:val="auto"/>
        </w:rPr>
        <w:t>02 in patients with knee OA associated with BMLs. In February 2017, we received IND clearance from the FDA to proceed with our planned Phase 3 clinical trial of AXS-02 in CLBP. We believe our planned Phase 3 dosing of AXS</w:t>
      </w:r>
      <w:r>
        <w:rPr>
          <w:rFonts w:ascii="MS PGothic" w:cs="MS PGothic" w:eastAsia="MS PGothic" w:hAnsi="MS PGothic"/>
          <w:sz w:val="17"/>
          <w:szCs w:val="17"/>
          <w:color w:val="auto"/>
        </w:rPr>
        <w:t>‑</w:t>
      </w:r>
      <w:r>
        <w:rPr>
          <w:rFonts w:ascii="Arial" w:cs="Arial" w:eastAsia="Arial" w:hAnsi="Arial"/>
          <w:sz w:val="17"/>
          <w:szCs w:val="17"/>
          <w:color w:val="auto"/>
        </w:rPr>
        <w:t>02 will provide cumulative systemic exposure of zoledronic acid that is similar to that achieved with the 5 mg IV dose used in the Phase 2 trials in knee OA and CLBP, based on the results of our completed Phase 1 trial.</w:t>
      </w:r>
    </w:p>
    <w:p>
      <w:pPr>
        <w:spacing w:after="0" w:line="121"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Completed Phase 1 Trial of AXS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02</w:t>
      </w:r>
    </w:p>
    <w:p>
      <w:pPr>
        <w:spacing w:after="0" w:line="185" w:lineRule="exact"/>
        <w:rPr>
          <w:sz w:val="20"/>
          <w:szCs w:val="20"/>
          <w:color w:val="auto"/>
        </w:rPr>
      </w:pPr>
    </w:p>
    <w:p>
      <w:pPr>
        <w:ind w:right="160" w:firstLine="648"/>
        <w:spacing w:after="0" w:line="183" w:lineRule="exact"/>
        <w:rPr>
          <w:sz w:val="20"/>
          <w:szCs w:val="20"/>
          <w:color w:val="auto"/>
        </w:rPr>
      </w:pPr>
      <w:r>
        <w:rPr>
          <w:rFonts w:ascii="Arial" w:cs="Arial" w:eastAsia="Arial" w:hAnsi="Arial"/>
          <w:sz w:val="18"/>
          <w:szCs w:val="18"/>
          <w:color w:val="auto"/>
        </w:rPr>
        <w:t>We conducted a Phase 1 trial to assess the fasting pharmacokinetics, pharmacodynamics, safety, and tolerability of orally administered AXS</w:t>
      </w:r>
      <w:r>
        <w:rPr>
          <w:rFonts w:ascii="MS PGothic" w:cs="MS PGothic" w:eastAsia="MS PGothic" w:hAnsi="MS PGothic"/>
          <w:sz w:val="18"/>
          <w:szCs w:val="18"/>
          <w:color w:val="auto"/>
        </w:rPr>
        <w:t>‑</w:t>
      </w:r>
      <w:r>
        <w:rPr>
          <w:rFonts w:ascii="Arial" w:cs="Arial" w:eastAsia="Arial" w:hAnsi="Arial"/>
          <w:sz w:val="18"/>
          <w:szCs w:val="18"/>
          <w:color w:val="auto"/>
        </w:rPr>
        <w:t>02 tablets in healthy adult male and postmenopausal female volunteers under a Health Canada Clinical Trial Application. The trial was a randomized, open</w:t>
      </w:r>
      <w:r>
        <w:rPr>
          <w:rFonts w:ascii="MS PGothic" w:cs="MS PGothic" w:eastAsia="MS PGothic" w:hAnsi="MS PGothic"/>
          <w:sz w:val="18"/>
          <w:szCs w:val="18"/>
          <w:color w:val="auto"/>
        </w:rPr>
        <w:t>‑</w:t>
      </w:r>
      <w:r>
        <w:rPr>
          <w:rFonts w:ascii="Arial" w:cs="Arial" w:eastAsia="Arial" w:hAnsi="Arial"/>
          <w:sz w:val="18"/>
          <w:szCs w:val="18"/>
          <w:color w:val="auto"/>
        </w:rPr>
        <w:t>label, partial crossover study in a total of 36 subjects. Each subject received two of the following four treatments: three varying oral doses of AXS</w:t>
      </w:r>
      <w:r>
        <w:rPr>
          <w:rFonts w:ascii="MS PGothic" w:cs="MS PGothic" w:eastAsia="MS PGothic" w:hAnsi="MS PGothic"/>
          <w:sz w:val="18"/>
          <w:szCs w:val="18"/>
          <w:color w:val="auto"/>
        </w:rPr>
        <w:t>‑</w:t>
      </w:r>
      <w:r>
        <w:rPr>
          <w:rFonts w:ascii="Arial" w:cs="Arial" w:eastAsia="Arial" w:hAnsi="Arial"/>
          <w:sz w:val="18"/>
          <w:szCs w:val="18"/>
          <w:color w:val="auto"/>
        </w:rPr>
        <w:t>02 or a 1 mg IV dose of zoledronic acid. Each treatment was separated by a wash</w:t>
      </w:r>
      <w:r>
        <w:rPr>
          <w:rFonts w:ascii="MS PGothic" w:cs="MS PGothic" w:eastAsia="MS PGothic" w:hAnsi="MS PGothic"/>
          <w:sz w:val="18"/>
          <w:szCs w:val="18"/>
          <w:color w:val="auto"/>
        </w:rPr>
        <w:t>‑</w:t>
      </w:r>
      <w:r>
        <w:rPr>
          <w:rFonts w:ascii="Arial" w:cs="Arial" w:eastAsia="Arial" w:hAnsi="Arial"/>
          <w:sz w:val="18"/>
          <w:szCs w:val="18"/>
          <w:color w:val="auto"/>
        </w:rPr>
        <w:t>out period of at least 14 days. Blood samples were collected prior to dosing and after dosing to measure zoledronic acid plasma concentrations and the effect of AXS</w:t>
      </w:r>
      <w:r>
        <w:rPr>
          <w:rFonts w:ascii="MS PGothic" w:cs="MS PGothic" w:eastAsia="MS PGothic" w:hAnsi="MS PGothic"/>
          <w:sz w:val="18"/>
          <w:szCs w:val="18"/>
          <w:color w:val="auto"/>
        </w:rPr>
        <w:t>‑</w:t>
      </w:r>
      <w:r>
        <w:rPr>
          <w:rFonts w:ascii="Arial" w:cs="Arial" w:eastAsia="Arial" w:hAnsi="Arial"/>
          <w:sz w:val="18"/>
          <w:szCs w:val="18"/>
          <w:color w:val="auto"/>
        </w:rPr>
        <w:t>02 on biomarkers of bone resorption, including serum CTx.</w:t>
      </w:r>
    </w:p>
    <w:p>
      <w:pPr>
        <w:spacing w:after="0" w:line="165" w:lineRule="exact"/>
        <w:rPr>
          <w:sz w:val="20"/>
          <w:szCs w:val="20"/>
          <w:color w:val="auto"/>
        </w:rPr>
      </w:pPr>
    </w:p>
    <w:p>
      <w:pPr>
        <w:ind w:right="380" w:firstLine="648"/>
        <w:spacing w:after="0" w:line="211" w:lineRule="exact"/>
        <w:rPr>
          <w:sz w:val="20"/>
          <w:szCs w:val="20"/>
          <w:color w:val="auto"/>
        </w:rPr>
      </w:pPr>
      <w:r>
        <w:rPr>
          <w:rFonts w:ascii="Arial" w:cs="Arial" w:eastAsia="Arial" w:hAnsi="Arial"/>
          <w:sz w:val="16"/>
          <w:szCs w:val="16"/>
          <w:color w:val="auto"/>
        </w:rPr>
        <w:t>Zoledronic acid was rapidly absorbed after oral administration of AXS</w:t>
      </w:r>
      <w:r>
        <w:rPr>
          <w:rFonts w:ascii="MS PGothic" w:cs="MS PGothic" w:eastAsia="MS PGothic" w:hAnsi="MS PGothic"/>
          <w:sz w:val="16"/>
          <w:szCs w:val="16"/>
          <w:color w:val="auto"/>
        </w:rPr>
        <w:t>‑</w:t>
      </w:r>
      <w:r>
        <w:rPr>
          <w:rFonts w:ascii="Arial" w:cs="Arial" w:eastAsia="Arial" w:hAnsi="Arial"/>
          <w:sz w:val="16"/>
          <w:szCs w:val="16"/>
          <w:color w:val="auto"/>
        </w:rPr>
        <w:t>02 tablets with median time to reach the maximum plasma concentration, or T</w:t>
      </w:r>
      <w:r>
        <w:rPr>
          <w:rFonts w:ascii="Arial" w:cs="Arial" w:eastAsia="Arial" w:hAnsi="Arial"/>
          <w:sz w:val="26"/>
          <w:szCs w:val="26"/>
          <w:color w:val="auto"/>
          <w:vertAlign w:val="subscript"/>
        </w:rPr>
        <w:t>max</w:t>
      </w:r>
      <w:r>
        <w:rPr>
          <w:rFonts w:ascii="Arial" w:cs="Arial" w:eastAsia="Arial" w:hAnsi="Arial"/>
          <w:sz w:val="16"/>
          <w:szCs w:val="16"/>
          <w:color w:val="auto"/>
        </w:rPr>
        <w:t>, of 30 to 45 minutes. The absolute oral bioavailability of zoledronic acid after</w:t>
      </w:r>
    </w:p>
    <w:p>
      <w:pPr>
        <w:spacing w:after="0" w:line="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administration of AXS</w:t>
      </w:r>
      <w:r>
        <w:rPr>
          <w:rFonts w:ascii="MS PGothic" w:cs="MS PGothic" w:eastAsia="MS PGothic" w:hAnsi="MS PGothic"/>
          <w:sz w:val="18"/>
          <w:szCs w:val="18"/>
          <w:color w:val="auto"/>
        </w:rPr>
        <w:t>‑</w:t>
      </w:r>
      <w:r>
        <w:rPr>
          <w:rFonts w:ascii="Arial" w:cs="Arial" w:eastAsia="Arial" w:hAnsi="Arial"/>
          <w:sz w:val="18"/>
          <w:szCs w:val="18"/>
          <w:color w:val="auto"/>
        </w:rPr>
        <w:t>02 tablets found in this trial was greater than that reported for oral bisphosphonate agents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60"/>
        <w:spacing w:after="0" w:line="204" w:lineRule="exact"/>
        <w:rPr>
          <w:sz w:val="20"/>
          <w:szCs w:val="20"/>
          <w:color w:val="auto"/>
        </w:rPr>
      </w:pPr>
      <w:r>
        <w:rPr>
          <w:rFonts w:ascii="Arial" w:cs="Arial" w:eastAsia="Arial" w:hAnsi="Arial"/>
          <w:sz w:val="16"/>
          <w:szCs w:val="16"/>
          <w:color w:val="auto"/>
        </w:rPr>
        <w:t>currently marketed in the United States, based on FDA package inserts. Zoledronic acid plasma concentrations after oral administration of AXS</w:t>
      </w:r>
      <w:r>
        <w:rPr>
          <w:rFonts w:ascii="MS PGothic" w:cs="MS PGothic" w:eastAsia="MS PGothic" w:hAnsi="MS PGothic"/>
          <w:sz w:val="16"/>
          <w:szCs w:val="16"/>
          <w:color w:val="auto"/>
        </w:rPr>
        <w:t>‑</w:t>
      </w:r>
      <w:r>
        <w:rPr>
          <w:rFonts w:ascii="Arial" w:cs="Arial" w:eastAsia="Arial" w:hAnsi="Arial"/>
          <w:sz w:val="16"/>
          <w:szCs w:val="16"/>
          <w:color w:val="auto"/>
        </w:rPr>
        <w:t>02, measured using area under the plasma concentration curve, or AUC, and maximum plasma concentration, or C</w:t>
      </w:r>
      <w:r>
        <w:rPr>
          <w:rFonts w:ascii="Arial" w:cs="Arial" w:eastAsia="Arial" w:hAnsi="Arial"/>
          <w:sz w:val="26"/>
          <w:szCs w:val="26"/>
          <w:color w:val="auto"/>
          <w:vertAlign w:val="subscript"/>
        </w:rPr>
        <w:t>max</w:t>
      </w:r>
      <w:r>
        <w:rPr>
          <w:rFonts w:ascii="Arial" w:cs="Arial" w:eastAsia="Arial" w:hAnsi="Arial"/>
          <w:sz w:val="16"/>
          <w:szCs w:val="16"/>
          <w:color w:val="auto"/>
        </w:rPr>
        <w:t>, were found to be dose proportional in the range tested using the power model.</w:t>
      </w:r>
    </w:p>
    <w:p>
      <w:pPr>
        <w:spacing w:after="0" w:line="185" w:lineRule="exact"/>
        <w:rPr>
          <w:sz w:val="20"/>
          <w:szCs w:val="20"/>
          <w:color w:val="auto"/>
        </w:rPr>
      </w:pPr>
    </w:p>
    <w:p>
      <w:pPr>
        <w:jc w:val="both"/>
        <w:ind w:right="320" w:firstLine="648"/>
        <w:spacing w:after="0" w:line="194" w:lineRule="exact"/>
        <w:rPr>
          <w:sz w:val="20"/>
          <w:szCs w:val="20"/>
          <w:color w:val="auto"/>
        </w:rPr>
      </w:pPr>
      <w:r>
        <w:rPr>
          <w:rFonts w:ascii="Arial" w:cs="Arial" w:eastAsia="Arial" w:hAnsi="Arial"/>
          <w:sz w:val="18"/>
          <w:szCs w:val="18"/>
          <w:color w:val="auto"/>
        </w:rPr>
        <w:t>Oral administration of AXS</w:t>
      </w:r>
      <w:r>
        <w:rPr>
          <w:rFonts w:ascii="MS PGothic" w:cs="MS PGothic" w:eastAsia="MS PGothic" w:hAnsi="MS PGothic"/>
          <w:sz w:val="18"/>
          <w:szCs w:val="18"/>
          <w:color w:val="auto"/>
        </w:rPr>
        <w:t>‑</w:t>
      </w:r>
      <w:r>
        <w:rPr>
          <w:rFonts w:ascii="Arial" w:cs="Arial" w:eastAsia="Arial" w:hAnsi="Arial"/>
          <w:sz w:val="18"/>
          <w:szCs w:val="18"/>
          <w:color w:val="auto"/>
        </w:rPr>
        <w:t>02 resulted in marked reductions of biomarkers of bone resorption. For example, as shown in the figure below, levels of serum CTx were reduced by approximately 80 to 90% seven days after dosing. This effect was generally maintained 14 to 15 days after dosing.</w:t>
      </w:r>
    </w:p>
    <w:p>
      <w:pPr>
        <w:spacing w:after="0" w:line="148" w:lineRule="exact"/>
        <w:rPr>
          <w:sz w:val="20"/>
          <w:szCs w:val="20"/>
          <w:color w:val="auto"/>
        </w:rPr>
      </w:pPr>
    </w:p>
    <w:p>
      <w:pPr>
        <w:jc w:val="center"/>
        <w:ind w:right="-39"/>
        <w:spacing w:after="0" w:line="207" w:lineRule="exact"/>
        <w:rPr>
          <w:sz w:val="20"/>
          <w:szCs w:val="20"/>
          <w:color w:val="auto"/>
        </w:rPr>
      </w:pPr>
      <w:r>
        <w:rPr>
          <w:rFonts w:ascii="Arial" w:cs="Arial" w:eastAsia="Arial" w:hAnsi="Arial"/>
          <w:sz w:val="18"/>
          <w:szCs w:val="18"/>
          <w:b w:val="1"/>
          <w:bCs w:val="1"/>
          <w:color w:val="auto"/>
        </w:rPr>
        <w:t>Serum CTx change from baseline after oral administration of varying doses of AXS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02,</w:t>
      </w:r>
    </w:p>
    <w:p>
      <w:pPr>
        <w:jc w:val="center"/>
        <w:ind w:right="-39"/>
        <w:spacing w:after="0"/>
        <w:rPr>
          <w:sz w:val="20"/>
          <w:szCs w:val="20"/>
          <w:color w:val="auto"/>
        </w:rPr>
      </w:pPr>
      <w:r>
        <w:rPr>
          <w:rFonts w:ascii="Arial" w:cs="Arial" w:eastAsia="Arial" w:hAnsi="Arial"/>
          <w:sz w:val="18"/>
          <w:szCs w:val="18"/>
          <w:b w:val="1"/>
          <w:bCs w:val="1"/>
          <w:color w:val="auto"/>
        </w:rPr>
        <w:t>and IV administration of 1 mg zoledronic acid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125095</wp:posOffset>
            </wp:positionV>
            <wp:extent cx="4193540" cy="23583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193540" cy="235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140" w:firstLine="648"/>
        <w:spacing w:after="0" w:line="187" w:lineRule="exact"/>
        <w:rPr>
          <w:sz w:val="20"/>
          <w:szCs w:val="20"/>
          <w:color w:val="auto"/>
        </w:rPr>
      </w:pPr>
      <w:r>
        <w:rPr>
          <w:rFonts w:ascii="Arial" w:cs="Arial" w:eastAsia="Arial" w:hAnsi="Arial"/>
          <w:sz w:val="17"/>
          <w:szCs w:val="17"/>
          <w:color w:val="auto"/>
        </w:rPr>
        <w:t>There were no reported serious adverse events in the trial. The majority of treatment</w:t>
      </w:r>
      <w:r>
        <w:rPr>
          <w:rFonts w:ascii="MS PGothic" w:cs="MS PGothic" w:eastAsia="MS PGothic" w:hAnsi="MS PGothic"/>
          <w:sz w:val="17"/>
          <w:szCs w:val="17"/>
          <w:color w:val="auto"/>
        </w:rPr>
        <w:t>‑</w:t>
      </w:r>
      <w:r>
        <w:rPr>
          <w:rFonts w:ascii="Arial" w:cs="Arial" w:eastAsia="Arial" w:hAnsi="Arial"/>
          <w:sz w:val="17"/>
          <w:szCs w:val="17"/>
          <w:color w:val="auto"/>
        </w:rPr>
        <w:t>emergent adverse events experienced were graded as mild or moderate in severity, were transient in nature, and were completely resolved by the end of the study. The most commonly reported adverse events were headache, fever, musculoskeletal pain, diarrhea, abdominal pain, nausea, myalgia, and chills. Adverse events were reported more frequently with increasing oral doses, and more frequently in the oral dose groups than in the IV dose group.</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 of Zoledronic Acid in the Pain of Knee OA Associated with BMLs</w:t>
      </w:r>
    </w:p>
    <w:p>
      <w:pPr>
        <w:spacing w:after="0" w:line="169"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IV</w:t>
      </w:r>
      <w:r>
        <w:rPr>
          <w:rFonts w:ascii="MS PGothic" w:cs="MS PGothic" w:eastAsia="MS PGothic" w:hAnsi="MS PGothic"/>
          <w:sz w:val="18"/>
          <w:szCs w:val="18"/>
          <w:color w:val="auto"/>
        </w:rPr>
        <w:t>‑</w:t>
      </w:r>
      <w:r>
        <w:rPr>
          <w:rFonts w:ascii="Arial" w:cs="Arial" w:eastAsia="Arial" w:hAnsi="Arial"/>
          <w:sz w:val="18"/>
          <w:szCs w:val="18"/>
          <w:color w:val="auto"/>
        </w:rPr>
        <w:t>administered zoledronic acid, the active molecule in AXS</w:t>
      </w:r>
      <w:r>
        <w:rPr>
          <w:rFonts w:ascii="MS PGothic" w:cs="MS PGothic" w:eastAsia="MS PGothic" w:hAnsi="MS PGothic"/>
          <w:sz w:val="18"/>
          <w:szCs w:val="18"/>
          <w:color w:val="auto"/>
        </w:rPr>
        <w:t>‑</w:t>
      </w:r>
      <w:r>
        <w:rPr>
          <w:rFonts w:ascii="Arial" w:cs="Arial" w:eastAsia="Arial" w:hAnsi="Arial"/>
          <w:sz w:val="18"/>
          <w:szCs w:val="18"/>
          <w:color w:val="auto"/>
        </w:rPr>
        <w:t>02, was tested in an investigator</w:t>
      </w:r>
      <w:r>
        <w:rPr>
          <w:rFonts w:ascii="MS PGothic" w:cs="MS PGothic" w:eastAsia="MS PGothic" w:hAnsi="MS PGothic"/>
          <w:sz w:val="18"/>
          <w:szCs w:val="18"/>
          <w:color w:val="auto"/>
        </w:rPr>
        <w:t>‑</w:t>
      </w:r>
      <w:r>
        <w:rPr>
          <w:rFonts w:ascii="Arial" w:cs="Arial" w:eastAsia="Arial" w:hAnsi="Arial"/>
          <w:sz w:val="18"/>
          <w:szCs w:val="18"/>
          <w:color w:val="auto"/>
        </w:rPr>
        <w:t>initiated,</w:t>
      </w:r>
    </w:p>
    <w:p>
      <w:pPr>
        <w:spacing w:after="0" w:line="176" w:lineRule="exact"/>
        <w:rPr>
          <w:sz w:val="20"/>
          <w:szCs w:val="20"/>
          <w:color w:val="auto"/>
        </w:rPr>
      </w:pPr>
      <w:r>
        <w:rPr>
          <w:rFonts w:ascii="Arial" w:cs="Arial" w:eastAsia="Arial" w:hAnsi="Arial"/>
          <w:sz w:val="16"/>
          <w:szCs w:val="16"/>
          <w:color w:val="auto"/>
        </w:rPr>
        <w:t>single</w:t>
      </w:r>
      <w:r>
        <w:rPr>
          <w:rFonts w:ascii="MS PGothic" w:cs="MS PGothic" w:eastAsia="MS PGothic" w:hAnsi="MS PGothic"/>
          <w:sz w:val="16"/>
          <w:szCs w:val="16"/>
          <w:color w:val="auto"/>
        </w:rPr>
        <w:t>‑</w:t>
      </w:r>
      <w:r>
        <w:rPr>
          <w:rFonts w:ascii="Arial" w:cs="Arial" w:eastAsia="Arial" w:hAnsi="Arial"/>
          <w:sz w:val="16"/>
          <w:szCs w:val="16"/>
          <w:color w:val="auto"/>
        </w:rPr>
        <w:t>center, randomized, double</w:t>
      </w:r>
      <w:r>
        <w:rPr>
          <w:rFonts w:ascii="MS PGothic" w:cs="MS PGothic" w:eastAsia="MS PGothic" w:hAnsi="MS PGothic"/>
          <w:sz w:val="16"/>
          <w:szCs w:val="16"/>
          <w:color w:val="auto"/>
        </w:rPr>
        <w:t>‑</w:t>
      </w:r>
      <w:r>
        <w:rPr>
          <w:rFonts w:ascii="Arial" w:cs="Arial" w:eastAsia="Arial" w:hAnsi="Arial"/>
          <w:sz w:val="16"/>
          <w:szCs w:val="16"/>
          <w:color w:val="auto"/>
        </w:rPr>
        <w:t>blind, placebo</w:t>
      </w:r>
      <w:r>
        <w:rPr>
          <w:rFonts w:ascii="MS PGothic" w:cs="MS PGothic" w:eastAsia="MS PGothic" w:hAnsi="MS PGothic"/>
          <w:sz w:val="16"/>
          <w:szCs w:val="16"/>
          <w:color w:val="auto"/>
        </w:rPr>
        <w:t>‑</w:t>
      </w:r>
      <w:r>
        <w:rPr>
          <w:rFonts w:ascii="Arial" w:cs="Arial" w:eastAsia="Arial" w:hAnsi="Arial"/>
          <w:sz w:val="16"/>
          <w:szCs w:val="16"/>
          <w:color w:val="auto"/>
        </w:rPr>
        <w:t>controlled trial in patients with knee OA and BMLs. In this trial, zoledronic</w:t>
      </w:r>
    </w:p>
    <w:p>
      <w:pPr>
        <w:spacing w:after="0" w:line="229" w:lineRule="auto"/>
        <w:rPr>
          <w:sz w:val="20"/>
          <w:szCs w:val="20"/>
          <w:color w:val="auto"/>
        </w:rPr>
      </w:pPr>
      <w:r>
        <w:rPr>
          <w:rFonts w:ascii="Arial" w:cs="Arial" w:eastAsia="Arial" w:hAnsi="Arial"/>
          <w:sz w:val="16"/>
          <w:szCs w:val="16"/>
          <w:color w:val="auto"/>
        </w:rPr>
        <w:t>acid treatment reduced pain and BML size, as further described below, demonstrating an effect on symptom and structure.</w:t>
      </w:r>
    </w:p>
    <w:p>
      <w:pPr>
        <w:spacing w:after="0" w:line="207" w:lineRule="exact"/>
        <w:rPr>
          <w:sz w:val="20"/>
          <w:szCs w:val="20"/>
          <w:color w:val="auto"/>
        </w:rPr>
      </w:pPr>
      <w:r>
        <w:rPr>
          <w:rFonts w:ascii="Arial" w:cs="Arial" w:eastAsia="Arial" w:hAnsi="Arial"/>
          <w:sz w:val="18"/>
          <w:szCs w:val="18"/>
          <w:color w:val="auto"/>
        </w:rPr>
        <w:t>The design and results of this trial have been reported in a peer</w:t>
      </w:r>
      <w:r>
        <w:rPr>
          <w:rFonts w:ascii="MS PGothic" w:cs="MS PGothic" w:eastAsia="MS PGothic" w:hAnsi="MS PGothic"/>
          <w:sz w:val="18"/>
          <w:szCs w:val="18"/>
          <w:color w:val="auto"/>
        </w:rPr>
        <w:t>‑</w:t>
      </w:r>
      <w:r>
        <w:rPr>
          <w:rFonts w:ascii="Arial" w:cs="Arial" w:eastAsia="Arial" w:hAnsi="Arial"/>
          <w:sz w:val="18"/>
          <w:szCs w:val="18"/>
          <w:color w:val="auto"/>
        </w:rPr>
        <w:t>reviewed journal.</w:t>
      </w:r>
    </w:p>
    <w:p>
      <w:pPr>
        <w:spacing w:after="0" w:line="169"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In the trial, 59 patients, aged 50 to 80 years, with clinical knee OA and knee BMLs on MRI were randomized in a 1:1 ratio to receive either a single 5</w:t>
      </w:r>
      <w:r>
        <w:rPr>
          <w:rFonts w:ascii="MS PGothic" w:cs="MS PGothic" w:eastAsia="MS PGothic" w:hAnsi="MS PGothic"/>
          <w:sz w:val="16"/>
          <w:szCs w:val="16"/>
          <w:color w:val="auto"/>
        </w:rPr>
        <w:t>‑</w:t>
      </w:r>
      <w:r>
        <w:rPr>
          <w:rFonts w:ascii="Arial" w:cs="Arial" w:eastAsia="Arial" w:hAnsi="Arial"/>
          <w:sz w:val="16"/>
          <w:szCs w:val="16"/>
          <w:color w:val="auto"/>
        </w:rPr>
        <w:t>mg IV infusion of zoledronic acid or placebo. BMLs were determined using proton density</w:t>
      </w:r>
      <w:r>
        <w:rPr>
          <w:rFonts w:ascii="MS PGothic" w:cs="MS PGothic" w:eastAsia="MS PGothic" w:hAnsi="MS PGothic"/>
          <w:sz w:val="16"/>
          <w:szCs w:val="16"/>
          <w:color w:val="auto"/>
        </w:rPr>
        <w:t>‑</w:t>
      </w:r>
      <w:r>
        <w:rPr>
          <w:rFonts w:ascii="Arial" w:cs="Arial" w:eastAsia="Arial" w:hAnsi="Arial"/>
          <w:sz w:val="16"/>
          <w:szCs w:val="16"/>
          <w:color w:val="auto"/>
        </w:rPr>
        <w:t>weighted fat saturation magnetic resonance images at baseline, 6, and 12 months. Pain intensity was measured at baseline, 3, 6, and 12 months using a 100</w:t>
      </w:r>
      <w:r>
        <w:rPr>
          <w:rFonts w:ascii="MS PGothic" w:cs="MS PGothic" w:eastAsia="MS PGothic" w:hAnsi="MS PGothic"/>
          <w:sz w:val="16"/>
          <w:szCs w:val="16"/>
          <w:color w:val="auto"/>
        </w:rPr>
        <w:t>‑</w:t>
      </w:r>
      <w:r>
        <w:rPr>
          <w:rFonts w:ascii="Arial" w:cs="Arial" w:eastAsia="Arial" w:hAnsi="Arial"/>
          <w:sz w:val="16"/>
          <w:szCs w:val="16"/>
          <w:color w:val="auto"/>
        </w:rPr>
        <w:t>mm visual analogue scale, or VAS, which is a standard clinical measurement for pain severity. Total BML area was measured in square millimeters at baseline, 6, and 12 months. The primary outcomes were the change from baseline to 6 months in pain intensity as measured by the VAS, and maximal area of BML measured at</w:t>
      </w:r>
    </w:p>
    <w:p>
      <w:pPr>
        <w:spacing w:after="0" w:line="2"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6 months. Participants were allowed to remain on their background pain medications but the dose was kept constant through the trial period where possible. One subject randomized to placebo received zoledronic acid.</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79"/>
        <w:spacing w:after="0" w:line="235" w:lineRule="auto"/>
        <w:rPr>
          <w:sz w:val="20"/>
          <w:szCs w:val="20"/>
          <w:color w:val="auto"/>
        </w:rPr>
      </w:pPr>
      <w:r>
        <w:rPr>
          <w:rFonts w:ascii="Arial" w:cs="Arial" w:eastAsia="Arial" w:hAnsi="Arial"/>
          <w:sz w:val="18"/>
          <w:szCs w:val="18"/>
          <w:color w:val="auto"/>
        </w:rPr>
        <w:t>Therefore, data for this patient was included in the zoledronic acid arm in the analyses and results discussed below. This analysis is referred to as a per protocol analysis.</w:t>
      </w:r>
    </w:p>
    <w:p>
      <w:pPr>
        <w:spacing w:after="0" w:line="162" w:lineRule="exact"/>
        <w:rPr>
          <w:sz w:val="20"/>
          <w:szCs w:val="20"/>
          <w:color w:val="auto"/>
        </w:rPr>
      </w:pPr>
    </w:p>
    <w:p>
      <w:pPr>
        <w:ind w:right="219" w:firstLine="648"/>
        <w:spacing w:after="0" w:line="189" w:lineRule="exact"/>
        <w:rPr>
          <w:sz w:val="20"/>
          <w:szCs w:val="20"/>
          <w:color w:val="auto"/>
        </w:rPr>
      </w:pPr>
      <w:r>
        <w:rPr>
          <w:rFonts w:ascii="Arial" w:cs="Arial" w:eastAsia="Arial" w:hAnsi="Arial"/>
          <w:sz w:val="16"/>
          <w:szCs w:val="16"/>
          <w:color w:val="auto"/>
        </w:rPr>
        <w:t>At baseline, the mean VAS score was 54 mm. As shown in the figure below, there was a statistically significant reduction in pain intensity, measured using the VAS, from baseline to 6 months in the zoledronic acid</w:t>
      </w:r>
      <w:r>
        <w:rPr>
          <w:rFonts w:ascii="MS PGothic" w:cs="MS PGothic" w:eastAsia="MS PGothic" w:hAnsi="MS PGothic"/>
          <w:sz w:val="16"/>
          <w:szCs w:val="16"/>
          <w:color w:val="auto"/>
        </w:rPr>
        <w:t>‑</w:t>
      </w:r>
      <w:r>
        <w:rPr>
          <w:rFonts w:ascii="Arial" w:cs="Arial" w:eastAsia="Arial" w:hAnsi="Arial"/>
          <w:sz w:val="16"/>
          <w:szCs w:val="16"/>
          <w:color w:val="auto"/>
        </w:rPr>
        <w:t>treated group as compared to placebo, using the per protocol analysis. Changes in pain intensity between baseline and the other time points were numerically greater in the zoledronic acid arm than in the placebo arm but were not statistically significant.</w:t>
      </w:r>
    </w:p>
    <w:p>
      <w:pPr>
        <w:spacing w:after="0" w:line="1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Pain intensity over time in knee OA patients with BMLs treated with zoledronic acid or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850900</wp:posOffset>
            </wp:positionH>
            <wp:positionV relativeFrom="paragraph">
              <wp:posOffset>137795</wp:posOffset>
            </wp:positionV>
            <wp:extent cx="4056380" cy="24955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056380"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line="207" w:lineRule="exact"/>
        <w:rPr>
          <w:sz w:val="20"/>
          <w:szCs w:val="20"/>
          <w:color w:val="auto"/>
        </w:rPr>
      </w:pPr>
      <w:r>
        <w:rPr>
          <w:rFonts w:ascii="Arial" w:cs="Arial" w:eastAsia="Arial" w:hAnsi="Arial"/>
          <w:sz w:val="18"/>
          <w:szCs w:val="18"/>
          <w:color w:val="auto"/>
        </w:rPr>
        <w:t xml:space="preserve">Source: Derived from </w:t>
      </w:r>
      <w:r>
        <w:rPr>
          <w:rFonts w:ascii="Arial" w:cs="Arial" w:eastAsia="Arial" w:hAnsi="Arial"/>
          <w:sz w:val="18"/>
          <w:szCs w:val="18"/>
          <w:i w:val="1"/>
          <w:iCs w:val="1"/>
          <w:color w:val="auto"/>
        </w:rPr>
        <w:t>Laslett et al. Ann Rheum Dis. 2012;71:1322</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1328.</w:t>
      </w:r>
    </w:p>
    <w:p>
      <w:pPr>
        <w:spacing w:after="0" w:line="185" w:lineRule="exact"/>
        <w:rPr>
          <w:sz w:val="20"/>
          <w:szCs w:val="20"/>
          <w:color w:val="auto"/>
        </w:rPr>
      </w:pPr>
    </w:p>
    <w:p>
      <w:pPr>
        <w:ind w:right="159" w:firstLine="648"/>
        <w:spacing w:after="0" w:line="194" w:lineRule="exact"/>
        <w:rPr>
          <w:sz w:val="20"/>
          <w:szCs w:val="20"/>
          <w:color w:val="auto"/>
        </w:rPr>
      </w:pPr>
      <w:r>
        <w:rPr>
          <w:rFonts w:ascii="Arial" w:cs="Arial" w:eastAsia="Arial" w:hAnsi="Arial"/>
          <w:sz w:val="17"/>
          <w:szCs w:val="17"/>
          <w:color w:val="auto"/>
        </w:rPr>
        <w:t>As shown in the figure below, there was a statistically significant reduction in BML area at 6 months in the zoledronic acid</w:t>
      </w:r>
      <w:r>
        <w:rPr>
          <w:rFonts w:ascii="MS PGothic" w:cs="MS PGothic" w:eastAsia="MS PGothic" w:hAnsi="MS PGothic"/>
          <w:sz w:val="17"/>
          <w:szCs w:val="17"/>
          <w:color w:val="auto"/>
        </w:rPr>
        <w:t>‑</w:t>
      </w:r>
      <w:r>
        <w:rPr>
          <w:rFonts w:ascii="Arial" w:cs="Arial" w:eastAsia="Arial" w:hAnsi="Arial"/>
          <w:sz w:val="17"/>
          <w:szCs w:val="17"/>
          <w:color w:val="auto"/>
        </w:rPr>
        <w:t>treated group as compared to placebo. At the 12 month assessment, the changes in BML size were lower in magnitude in the zoledronic acid arm as compared to the placebo arm and were not statistically significant.</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BML area over time in subjects treated with zoledronic acid or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137795</wp:posOffset>
            </wp:positionV>
            <wp:extent cx="4047490" cy="23495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47490"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220"/>
        <w:spacing w:after="0" w:line="207" w:lineRule="exact"/>
        <w:rPr>
          <w:sz w:val="20"/>
          <w:szCs w:val="20"/>
          <w:color w:val="auto"/>
        </w:rPr>
      </w:pPr>
      <w:r>
        <w:rPr>
          <w:rFonts w:ascii="Arial" w:cs="Arial" w:eastAsia="Arial" w:hAnsi="Arial"/>
          <w:sz w:val="18"/>
          <w:szCs w:val="18"/>
          <w:color w:val="auto"/>
        </w:rPr>
        <w:t xml:space="preserve">Source: Derived from </w:t>
      </w:r>
      <w:r>
        <w:rPr>
          <w:rFonts w:ascii="Arial" w:cs="Arial" w:eastAsia="Arial" w:hAnsi="Arial"/>
          <w:sz w:val="18"/>
          <w:szCs w:val="18"/>
          <w:i w:val="1"/>
          <w:iCs w:val="1"/>
          <w:color w:val="auto"/>
        </w:rPr>
        <w:t>Laslett et al. Ann Rheum Dis. 2012;71:1322</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1328.</w:t>
      </w:r>
    </w:p>
    <w:p>
      <w:pPr>
        <w:spacing w:after="0" w:line="185" w:lineRule="exact"/>
        <w:rPr>
          <w:sz w:val="20"/>
          <w:szCs w:val="20"/>
          <w:color w:val="auto"/>
        </w:rPr>
      </w:pPr>
    </w:p>
    <w:p>
      <w:pPr>
        <w:ind w:right="300" w:firstLine="648"/>
        <w:spacing w:after="0" w:line="194" w:lineRule="exact"/>
        <w:rPr>
          <w:sz w:val="20"/>
          <w:szCs w:val="20"/>
          <w:color w:val="auto"/>
        </w:rPr>
      </w:pPr>
      <w:r>
        <w:rPr>
          <w:rFonts w:ascii="Arial" w:cs="Arial" w:eastAsia="Arial" w:hAnsi="Arial"/>
          <w:sz w:val="16"/>
          <w:szCs w:val="16"/>
          <w:color w:val="auto"/>
        </w:rPr>
        <w:t>The most commonly reported adverse events were acute phase reactions, which are primarily cold or flu</w:t>
      </w:r>
      <w:r>
        <w:rPr>
          <w:rFonts w:ascii="MS PGothic" w:cs="MS PGothic" w:eastAsia="MS PGothic" w:hAnsi="MS PGothic"/>
          <w:sz w:val="16"/>
          <w:szCs w:val="16"/>
          <w:color w:val="auto"/>
        </w:rPr>
        <w:t>‑</w:t>
      </w:r>
      <w:r>
        <w:rPr>
          <w:rFonts w:ascii="Arial" w:cs="Arial" w:eastAsia="Arial" w:hAnsi="Arial"/>
          <w:sz w:val="16"/>
          <w:szCs w:val="16"/>
          <w:color w:val="auto"/>
        </w:rPr>
        <w:t>like symptoms and headaches. Adverse events occurred more frequently in the zoledronic acid</w:t>
      </w:r>
      <w:r>
        <w:rPr>
          <w:rFonts w:ascii="MS PGothic" w:cs="MS PGothic" w:eastAsia="MS PGothic" w:hAnsi="MS PGothic"/>
          <w:sz w:val="16"/>
          <w:szCs w:val="16"/>
          <w:color w:val="auto"/>
        </w:rPr>
        <w:t>‑</w:t>
      </w:r>
      <w:r>
        <w:rPr>
          <w:rFonts w:ascii="Arial" w:cs="Arial" w:eastAsia="Arial" w:hAnsi="Arial"/>
          <w:sz w:val="16"/>
          <w:szCs w:val="16"/>
          <w:color w:val="auto"/>
        </w:rPr>
        <w:t>treated group. Serious adverse events were primarily non</w:t>
      </w:r>
      <w:r>
        <w:rPr>
          <w:rFonts w:ascii="MS PGothic" w:cs="MS PGothic" w:eastAsia="MS PGothic" w:hAnsi="MS PGothic"/>
          <w:sz w:val="16"/>
          <w:szCs w:val="16"/>
          <w:color w:val="auto"/>
        </w:rPr>
        <w:t>‑</w:t>
      </w:r>
      <w:r>
        <w:rPr>
          <w:rFonts w:ascii="Arial" w:cs="Arial" w:eastAsia="Arial" w:hAnsi="Arial"/>
          <w:sz w:val="16"/>
          <w:szCs w:val="16"/>
          <w:color w:val="auto"/>
        </w:rPr>
        <w:t>elective hospital admissions, none of which were considered causally related to study drug.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 of Zoledronic Acid in CLBP Associated with MCs</w:t>
      </w:r>
    </w:p>
    <w:p>
      <w:pPr>
        <w:spacing w:after="0" w:line="185" w:lineRule="exact"/>
        <w:rPr>
          <w:sz w:val="20"/>
          <w:szCs w:val="20"/>
          <w:color w:val="auto"/>
        </w:rPr>
      </w:pPr>
    </w:p>
    <w:p>
      <w:pPr>
        <w:ind w:right="320" w:firstLine="648"/>
        <w:spacing w:after="0" w:line="189" w:lineRule="exact"/>
        <w:rPr>
          <w:sz w:val="20"/>
          <w:szCs w:val="20"/>
          <w:color w:val="auto"/>
        </w:rPr>
      </w:pPr>
      <w:r>
        <w:rPr>
          <w:rFonts w:ascii="Arial" w:cs="Arial" w:eastAsia="Arial" w:hAnsi="Arial"/>
          <w:sz w:val="18"/>
          <w:szCs w:val="18"/>
          <w:color w:val="auto"/>
        </w:rPr>
        <w:t>IV</w:t>
      </w:r>
      <w:r>
        <w:rPr>
          <w:rFonts w:ascii="MS PGothic" w:cs="MS PGothic" w:eastAsia="MS PGothic" w:hAnsi="MS PGothic"/>
          <w:sz w:val="18"/>
          <w:szCs w:val="18"/>
          <w:color w:val="auto"/>
        </w:rPr>
        <w:t>‑</w:t>
      </w:r>
      <w:r>
        <w:rPr>
          <w:rFonts w:ascii="Arial" w:cs="Arial" w:eastAsia="Arial" w:hAnsi="Arial"/>
          <w:sz w:val="18"/>
          <w:szCs w:val="18"/>
          <w:color w:val="auto"/>
        </w:rPr>
        <w:t>administered zoledronic acid was tested in an investigator</w:t>
      </w:r>
      <w:r>
        <w:rPr>
          <w:rFonts w:ascii="MS PGothic" w:cs="MS PGothic" w:eastAsia="MS PGothic" w:hAnsi="MS PGothic"/>
          <w:sz w:val="18"/>
          <w:szCs w:val="18"/>
          <w:color w:val="auto"/>
        </w:rPr>
        <w:t>‑</w:t>
      </w:r>
      <w:r>
        <w:rPr>
          <w:rFonts w:ascii="Arial" w:cs="Arial" w:eastAsia="Arial" w:hAnsi="Arial"/>
          <w:sz w:val="18"/>
          <w:szCs w:val="18"/>
          <w:color w:val="auto"/>
        </w:rPr>
        <w:t>initiated, single</w:t>
      </w:r>
      <w:r>
        <w:rPr>
          <w:rFonts w:ascii="MS PGothic" w:cs="MS PGothic" w:eastAsia="MS PGothic" w:hAnsi="MS PGothic"/>
          <w:sz w:val="18"/>
          <w:szCs w:val="18"/>
          <w:color w:val="auto"/>
        </w:rPr>
        <w:t>‑</w:t>
      </w:r>
      <w:r>
        <w:rPr>
          <w:rFonts w:ascii="Arial" w:cs="Arial" w:eastAsia="Arial" w:hAnsi="Arial"/>
          <w:sz w:val="18"/>
          <w:szCs w:val="18"/>
          <w:color w:val="auto"/>
        </w:rPr>
        <w:t>center, randomized, double</w:t>
      </w:r>
      <w:r>
        <w:rPr>
          <w:rFonts w:ascii="MS PGothic" w:cs="MS PGothic" w:eastAsia="MS PGothic" w:hAnsi="MS PGothic"/>
          <w:sz w:val="18"/>
          <w:szCs w:val="18"/>
          <w:color w:val="auto"/>
        </w:rPr>
        <w:t>‑</w:t>
      </w:r>
      <w:r>
        <w:rPr>
          <w:rFonts w:ascii="Arial" w:cs="Arial" w:eastAsia="Arial" w:hAnsi="Arial"/>
          <w:sz w:val="18"/>
          <w:szCs w:val="18"/>
          <w:color w:val="auto"/>
        </w:rPr>
        <w:t>blind, placebo</w:t>
      </w:r>
      <w:r>
        <w:rPr>
          <w:rFonts w:ascii="MS PGothic" w:cs="MS PGothic" w:eastAsia="MS PGothic" w:hAnsi="MS PGothic"/>
          <w:sz w:val="18"/>
          <w:szCs w:val="18"/>
          <w:color w:val="auto"/>
        </w:rPr>
        <w:t>‑</w:t>
      </w:r>
      <w:r>
        <w:rPr>
          <w:rFonts w:ascii="Arial" w:cs="Arial" w:eastAsia="Arial" w:hAnsi="Arial"/>
          <w:sz w:val="18"/>
          <w:szCs w:val="18"/>
          <w:color w:val="auto"/>
        </w:rPr>
        <w:t>controlled trial in patients with CLBP associated with MCs. In this trial, zoledronic acid treatment resulted in statistically significant reductions in pain at 1 month and NSAID use at 12 months. We have exclusive rights to reference these trial data.</w:t>
      </w:r>
    </w:p>
    <w:p>
      <w:pPr>
        <w:spacing w:after="0" w:line="163"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In the trial, 40 patients, with a mean age of approximately 50 years, with low back pain lasting at least 3 months and MCs on MRI, were randomized in a 1:1 ratio to receive either a single 5</w:t>
      </w:r>
      <w:r>
        <w:rPr>
          <w:rFonts w:ascii="MS PGothic" w:cs="MS PGothic" w:eastAsia="MS PGothic" w:hAnsi="MS PGothic"/>
          <w:sz w:val="16"/>
          <w:szCs w:val="16"/>
          <w:color w:val="auto"/>
        </w:rPr>
        <w:t>‑</w:t>
      </w:r>
      <w:r>
        <w:rPr>
          <w:rFonts w:ascii="Arial" w:cs="Arial" w:eastAsia="Arial" w:hAnsi="Arial"/>
          <w:sz w:val="16"/>
          <w:szCs w:val="16"/>
          <w:color w:val="auto"/>
        </w:rPr>
        <w:t>mg IV infusion of zoledronic acid or placebo. MCs were determined on MRI performed within 6 months prior to enrollment. Other inclusion criteria included pain intensity of at least 6 cm on a 10</w:t>
      </w:r>
      <w:r>
        <w:rPr>
          <w:rFonts w:ascii="MS PGothic" w:cs="MS PGothic" w:eastAsia="MS PGothic" w:hAnsi="MS PGothic"/>
          <w:sz w:val="16"/>
          <w:szCs w:val="16"/>
          <w:color w:val="auto"/>
        </w:rPr>
        <w:t>‑</w:t>
      </w:r>
      <w:r>
        <w:rPr>
          <w:rFonts w:ascii="Arial" w:cs="Arial" w:eastAsia="Arial" w:hAnsi="Arial"/>
          <w:sz w:val="16"/>
          <w:szCs w:val="16"/>
          <w:color w:val="auto"/>
        </w:rPr>
        <w:t>cm VAS or an Oswestry Disability Index, or ODI, of at least 30%. Low back pain intensity was measured at screening and 1 and 12 months after infusion using a 10</w:t>
      </w:r>
      <w:r>
        <w:rPr>
          <w:rFonts w:ascii="MS PGothic" w:cs="MS PGothic" w:eastAsia="MS PGothic" w:hAnsi="MS PGothic"/>
          <w:sz w:val="16"/>
          <w:szCs w:val="16"/>
          <w:color w:val="auto"/>
        </w:rPr>
        <w:t>‑</w:t>
      </w:r>
      <w:r>
        <w:rPr>
          <w:rFonts w:ascii="Arial" w:cs="Arial" w:eastAsia="Arial" w:hAnsi="Arial"/>
          <w:sz w:val="16"/>
          <w:szCs w:val="16"/>
          <w:color w:val="auto"/>
        </w:rPr>
        <w:t>cm VAS. The primary outcome was the change in low back pain intensity as measured by the VAS. Pain medication use was inquired about during study visits.</w:t>
      </w:r>
    </w:p>
    <w:p>
      <w:pPr>
        <w:spacing w:after="0" w:line="166" w:lineRule="exact"/>
        <w:rPr>
          <w:sz w:val="20"/>
          <w:szCs w:val="20"/>
          <w:color w:val="auto"/>
        </w:rPr>
      </w:pPr>
    </w:p>
    <w:p>
      <w:pPr>
        <w:ind w:firstLine="648"/>
        <w:spacing w:after="0" w:line="187" w:lineRule="exact"/>
        <w:rPr>
          <w:sz w:val="20"/>
          <w:szCs w:val="20"/>
          <w:color w:val="auto"/>
        </w:rPr>
      </w:pPr>
      <w:r>
        <w:rPr>
          <w:rFonts w:ascii="Arial" w:cs="Arial" w:eastAsia="Arial" w:hAnsi="Arial"/>
          <w:sz w:val="17"/>
          <w:szCs w:val="17"/>
          <w:color w:val="auto"/>
        </w:rPr>
        <w:t>Study participants had a mean low back pain duration of 293 days at study entry, and initial low back pain intensity of 6.7 on the VAS. All patients displayed either type 1, type 2, or mixed type 1 and type 2 MCs on MRI. As shown in the figure below, there was a statistically significant reduction in pain intensity, measured using the VAS, at 1 month in the zoledronic acid</w:t>
      </w:r>
      <w:r>
        <w:rPr>
          <w:rFonts w:ascii="MS PGothic" w:cs="MS PGothic" w:eastAsia="MS PGothic" w:hAnsi="MS PGothic"/>
          <w:sz w:val="17"/>
          <w:szCs w:val="17"/>
          <w:color w:val="auto"/>
        </w:rPr>
        <w:t>‑</w:t>
      </w:r>
      <w:r>
        <w:rPr>
          <w:rFonts w:ascii="Arial" w:cs="Arial" w:eastAsia="Arial" w:hAnsi="Arial"/>
          <w:sz w:val="17"/>
          <w:szCs w:val="17"/>
          <w:color w:val="auto"/>
        </w:rPr>
        <w:t>treated group as compared to placebo. Changes in pain intensity at 12 months were numerically greater in the zoledronic acid arm than in the placebo arm but were not statistically significant.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Change in pain intensity at 1 month in CLBP patients treated with zoledronic acid or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137795</wp:posOffset>
            </wp:positionV>
            <wp:extent cx="3902075" cy="2160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902075"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60" w:firstLine="648"/>
        <w:spacing w:after="0" w:line="194" w:lineRule="exact"/>
        <w:rPr>
          <w:sz w:val="20"/>
          <w:szCs w:val="20"/>
          <w:color w:val="auto"/>
        </w:rPr>
      </w:pPr>
      <w:r>
        <w:rPr>
          <w:rFonts w:ascii="Arial" w:cs="Arial" w:eastAsia="Arial" w:hAnsi="Arial"/>
          <w:sz w:val="18"/>
          <w:szCs w:val="18"/>
          <w:color w:val="auto"/>
        </w:rPr>
        <w:t>As shown in the figure below, at 1 year only 20% of patients in the zoledronic acid treatment group reported using NSAIDs compared to 60% of patients in the placebo group. At baseline, there were no differences in self</w:t>
      </w:r>
      <w:r>
        <w:rPr>
          <w:rFonts w:ascii="MS PGothic" w:cs="MS PGothic" w:eastAsia="MS PGothic" w:hAnsi="MS PGothic"/>
          <w:sz w:val="18"/>
          <w:szCs w:val="18"/>
          <w:color w:val="auto"/>
        </w:rPr>
        <w:t>‑</w:t>
      </w:r>
      <w:r>
        <w:rPr>
          <w:rFonts w:ascii="Arial" w:cs="Arial" w:eastAsia="Arial" w:hAnsi="Arial"/>
          <w:sz w:val="18"/>
          <w:szCs w:val="18"/>
          <w:color w:val="auto"/>
        </w:rPr>
        <w:t>reported use of NSAIDs between the treatment groups.</w:t>
      </w:r>
    </w:p>
    <w:p>
      <w:pPr>
        <w:spacing w:after="0" w:line="163" w:lineRule="exact"/>
        <w:rPr>
          <w:sz w:val="20"/>
          <w:szCs w:val="20"/>
          <w:color w:val="auto"/>
        </w:rPr>
      </w:pPr>
    </w:p>
    <w:p>
      <w:pPr>
        <w:ind w:firstLine="648"/>
        <w:spacing w:after="0" w:line="189" w:lineRule="exact"/>
        <w:rPr>
          <w:sz w:val="20"/>
          <w:szCs w:val="20"/>
          <w:color w:val="auto"/>
        </w:rPr>
      </w:pPr>
      <w:r>
        <w:rPr>
          <w:rFonts w:ascii="Arial" w:cs="Arial" w:eastAsia="Arial" w:hAnsi="Arial"/>
          <w:sz w:val="17"/>
          <w:szCs w:val="17"/>
          <w:color w:val="auto"/>
        </w:rPr>
        <w:t>The most commonly reported adverse events were acute phase reactions, which occurred more frequently in the zoledronic acid</w:t>
      </w:r>
      <w:r>
        <w:rPr>
          <w:rFonts w:ascii="MS PGothic" w:cs="MS PGothic" w:eastAsia="MS PGothic" w:hAnsi="MS PGothic"/>
          <w:sz w:val="17"/>
          <w:szCs w:val="17"/>
          <w:color w:val="auto"/>
        </w:rPr>
        <w:t>‑</w:t>
      </w:r>
      <w:r>
        <w:rPr>
          <w:rFonts w:ascii="Arial" w:cs="Arial" w:eastAsia="Arial" w:hAnsi="Arial"/>
          <w:sz w:val="17"/>
          <w:szCs w:val="17"/>
          <w:color w:val="auto"/>
        </w:rPr>
        <w:t>treated group. The majority of the acute phase reactions were rated mild to moderate in severity and typically resolved within three days of onset. Sinusitis requiring temporary hospitalization following zoledronic acid infusion was reported in one patient and was therefore classified as a serious adverse event.</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NSAID use at 1 year in CLBP patients treated with zoledronic acid or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1108075</wp:posOffset>
            </wp:positionH>
            <wp:positionV relativeFrom="paragraph">
              <wp:posOffset>137795</wp:posOffset>
            </wp:positionV>
            <wp:extent cx="3542030" cy="23926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42030" cy="239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Ongoing COAST</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 Study</w:t>
      </w:r>
    </w:p>
    <w:p>
      <w:pPr>
        <w:spacing w:after="0" w:line="185" w:lineRule="exact"/>
        <w:rPr>
          <w:sz w:val="20"/>
          <w:szCs w:val="20"/>
          <w:color w:val="auto"/>
        </w:rPr>
      </w:pPr>
    </w:p>
    <w:p>
      <w:pPr>
        <w:ind w:right="20" w:firstLine="648"/>
        <w:spacing w:after="0" w:line="187" w:lineRule="exact"/>
        <w:rPr>
          <w:sz w:val="20"/>
          <w:szCs w:val="20"/>
          <w:color w:val="auto"/>
        </w:rPr>
      </w:pPr>
      <w:r>
        <w:rPr>
          <w:rFonts w:ascii="Arial" w:cs="Arial" w:eastAsia="Arial" w:hAnsi="Arial"/>
          <w:sz w:val="17"/>
          <w:szCs w:val="17"/>
          <w:color w:val="auto"/>
        </w:rPr>
        <w:t>In March 2016, we initiated the COAST-1 study, a Phase 3, randomized, double</w:t>
      </w:r>
      <w:r>
        <w:rPr>
          <w:rFonts w:ascii="MS PGothic" w:cs="MS PGothic" w:eastAsia="MS PGothic" w:hAnsi="MS PGothic"/>
          <w:sz w:val="17"/>
          <w:szCs w:val="17"/>
          <w:color w:val="auto"/>
        </w:rPr>
        <w:t>‑</w:t>
      </w:r>
      <w:r>
        <w:rPr>
          <w:rFonts w:ascii="Arial" w:cs="Arial" w:eastAsia="Arial" w:hAnsi="Arial"/>
          <w:sz w:val="17"/>
          <w:szCs w:val="17"/>
          <w:color w:val="auto"/>
        </w:rPr>
        <w:t>blind, placebo</w:t>
      </w:r>
      <w:r>
        <w:rPr>
          <w:rFonts w:ascii="MS PGothic" w:cs="MS PGothic" w:eastAsia="MS PGothic" w:hAnsi="MS PGothic"/>
          <w:sz w:val="17"/>
          <w:szCs w:val="17"/>
          <w:color w:val="auto"/>
        </w:rPr>
        <w:t>‑</w:t>
      </w:r>
      <w:r>
        <w:rPr>
          <w:rFonts w:ascii="Arial" w:cs="Arial" w:eastAsia="Arial" w:hAnsi="Arial"/>
          <w:sz w:val="17"/>
          <w:szCs w:val="17"/>
          <w:color w:val="auto"/>
        </w:rPr>
        <w:t>controlled trial to assess the efficacy and safety of AXS</w:t>
      </w:r>
      <w:r>
        <w:rPr>
          <w:rFonts w:ascii="MS PGothic" w:cs="MS PGothic" w:eastAsia="MS PGothic" w:hAnsi="MS PGothic"/>
          <w:sz w:val="17"/>
          <w:szCs w:val="17"/>
          <w:color w:val="auto"/>
        </w:rPr>
        <w:t>‑</w:t>
      </w:r>
      <w:r>
        <w:rPr>
          <w:rFonts w:ascii="Arial" w:cs="Arial" w:eastAsia="Arial" w:hAnsi="Arial"/>
          <w:sz w:val="17"/>
          <w:szCs w:val="17"/>
          <w:color w:val="auto"/>
        </w:rPr>
        <w:t>02 in the treatment of the pain of knee OA associated with BMLs. This trial will enroll approximately 346 patients with clinically diagnosed knee OA and at least one confirmed BML in the affected knee on MRI. Eligible patients must be at least 50 years of age, either male or postmenopausal female, and have at least moderate pain intensity. The COAST-1 study is being conducted pursuant to an FDA SPA.</w:t>
      </w:r>
    </w:p>
    <w:p>
      <w:pPr>
        <w:spacing w:after="0" w:line="161"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After a baseline period, patients meeting the entry criteria are randomized in a 1:1 ratio to receive either (1) AXS</w:t>
      </w:r>
      <w:r>
        <w:rPr>
          <w:rFonts w:ascii="MS PGothic" w:cs="MS PGothic" w:eastAsia="MS PGothic" w:hAnsi="MS PGothic"/>
          <w:sz w:val="17"/>
          <w:szCs w:val="17"/>
          <w:color w:val="auto"/>
        </w:rPr>
        <w:t>‑</w:t>
      </w:r>
      <w:r>
        <w:rPr>
          <w:rFonts w:ascii="Arial" w:cs="Arial" w:eastAsia="Arial" w:hAnsi="Arial"/>
          <w:sz w:val="17"/>
          <w:szCs w:val="17"/>
          <w:color w:val="auto"/>
        </w:rPr>
        <w:t>02 tablets once per week or (2) matching placebo tablets once per week, under fasting conditions for 6 weeks. Randomized patients remain blinded for an additional 18 weeks, totaling 24 weeks for the double</w:t>
      </w:r>
      <w:r>
        <w:rPr>
          <w:rFonts w:ascii="MS PGothic" w:cs="MS PGothic" w:eastAsia="MS PGothic" w:hAnsi="MS PGothic"/>
          <w:sz w:val="17"/>
          <w:szCs w:val="17"/>
          <w:color w:val="auto"/>
        </w:rPr>
        <w:t>‑</w:t>
      </w:r>
      <w:r>
        <w:rPr>
          <w:rFonts w:ascii="Arial" w:cs="Arial" w:eastAsia="Arial" w:hAnsi="Arial"/>
          <w:sz w:val="17"/>
          <w:szCs w:val="17"/>
          <w:color w:val="auto"/>
        </w:rPr>
        <w:t>blind phase. The primary endpoint is the change in pain intensity from baseline to week 24, measured using the NRS. A pre-planned interim analysis was performed by an IDMC on the first 77 subjects enrolled in the trial. The IDMC recommended that the COAST-1 trial be continued to full enrollment. The IDMC also reviewed the available safety information in the study and confirmed that AXS-02 was safe and generally well-tolerated. Screening of subjects in this trial was paused pending results of the interim analysis, and will resume after readouts from our ongoing Phase 3 trial in TRD.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123825</wp:posOffset>
            </wp:positionV>
            <wp:extent cx="5556885" cy="13893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56885"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Planned Phase 3 Trial in CLBP Associated with MCs</w:t>
      </w:r>
    </w:p>
    <w:p>
      <w:pPr>
        <w:spacing w:after="0" w:line="185" w:lineRule="exact"/>
        <w:rPr>
          <w:sz w:val="20"/>
          <w:szCs w:val="20"/>
          <w:color w:val="auto"/>
        </w:rPr>
      </w:pPr>
    </w:p>
    <w:p>
      <w:pPr>
        <w:ind w:right="140" w:firstLine="648"/>
        <w:spacing w:after="0" w:line="180" w:lineRule="exact"/>
        <w:rPr>
          <w:sz w:val="20"/>
          <w:szCs w:val="20"/>
          <w:color w:val="auto"/>
        </w:rPr>
      </w:pPr>
      <w:r>
        <w:rPr>
          <w:rFonts w:ascii="Arial" w:cs="Arial" w:eastAsia="Arial" w:hAnsi="Arial"/>
          <w:sz w:val="16"/>
          <w:szCs w:val="16"/>
          <w:color w:val="auto"/>
        </w:rPr>
        <w:t>We intend to initiate a Phase 3, randomized, double</w:t>
      </w:r>
      <w:r>
        <w:rPr>
          <w:rFonts w:ascii="MS PGothic" w:cs="MS PGothic" w:eastAsia="MS PGothic" w:hAnsi="MS PGothic"/>
          <w:sz w:val="16"/>
          <w:szCs w:val="16"/>
          <w:color w:val="auto"/>
        </w:rPr>
        <w:t>‑</w:t>
      </w:r>
      <w:r>
        <w:rPr>
          <w:rFonts w:ascii="Arial" w:cs="Arial" w:eastAsia="Arial" w:hAnsi="Arial"/>
          <w:sz w:val="16"/>
          <w:szCs w:val="16"/>
          <w:color w:val="auto"/>
        </w:rPr>
        <w:t>blind, placebo</w:t>
      </w:r>
      <w:r>
        <w:rPr>
          <w:rFonts w:ascii="MS PGothic" w:cs="MS PGothic" w:eastAsia="MS PGothic" w:hAnsi="MS PGothic"/>
          <w:sz w:val="16"/>
          <w:szCs w:val="16"/>
          <w:color w:val="auto"/>
        </w:rPr>
        <w:t>‑</w:t>
      </w:r>
      <w:r>
        <w:rPr>
          <w:rFonts w:ascii="Arial" w:cs="Arial" w:eastAsia="Arial" w:hAnsi="Arial"/>
          <w:sz w:val="16"/>
          <w:szCs w:val="16"/>
          <w:color w:val="auto"/>
        </w:rPr>
        <w:t>controlled trial to assess the efficacy and safety of AXS</w:t>
      </w:r>
      <w:r>
        <w:rPr>
          <w:rFonts w:ascii="MS PGothic" w:cs="MS PGothic" w:eastAsia="MS PGothic" w:hAnsi="MS PGothic"/>
          <w:sz w:val="16"/>
          <w:szCs w:val="16"/>
          <w:color w:val="auto"/>
        </w:rPr>
        <w:t>‑</w:t>
      </w:r>
      <w:r>
        <w:rPr>
          <w:rFonts w:ascii="Arial" w:cs="Arial" w:eastAsia="Arial" w:hAnsi="Arial"/>
          <w:sz w:val="16"/>
          <w:szCs w:val="16"/>
          <w:color w:val="auto"/>
        </w:rPr>
        <w:t>02 in the treatment of CLBP associated with MCs. This trial is anticipated to enroll patients with low back pain lasting at least 3 months and confirmed type 1 or mixed type 1 and type 2 MCs on MRI. After a baseline period, patients meeting the entry criteria will be randomized in a 1:1 ratio to receive either (1) AXS</w:t>
      </w:r>
      <w:r>
        <w:rPr>
          <w:rFonts w:ascii="MS PGothic" w:cs="MS PGothic" w:eastAsia="MS PGothic" w:hAnsi="MS PGothic"/>
          <w:sz w:val="16"/>
          <w:szCs w:val="16"/>
          <w:color w:val="auto"/>
        </w:rPr>
        <w:t>‑</w:t>
      </w:r>
      <w:r>
        <w:rPr>
          <w:rFonts w:ascii="Arial" w:cs="Arial" w:eastAsia="Arial" w:hAnsi="Arial"/>
          <w:sz w:val="16"/>
          <w:szCs w:val="16"/>
          <w:color w:val="auto"/>
        </w:rPr>
        <w:t>02 tablets once per week or</w:t>
      </w:r>
    </w:p>
    <w:p>
      <w:pPr>
        <w:spacing w:after="0" w:line="1" w:lineRule="exact"/>
        <w:rPr>
          <w:sz w:val="20"/>
          <w:szCs w:val="20"/>
          <w:color w:val="auto"/>
        </w:rPr>
      </w:pPr>
    </w:p>
    <w:p>
      <w:pPr>
        <w:ind w:right="40" w:firstLine="3"/>
        <w:spacing w:after="0" w:line="184" w:lineRule="exact"/>
        <w:tabs>
          <w:tab w:leader="none" w:pos="255" w:val="left"/>
        </w:tabs>
        <w:numPr>
          <w:ilvl w:val="0"/>
          <w:numId w:val="9"/>
        </w:numPr>
        <w:rPr>
          <w:rFonts w:ascii="Arial" w:cs="Arial" w:eastAsia="Arial" w:hAnsi="Arial"/>
          <w:sz w:val="16"/>
          <w:szCs w:val="16"/>
          <w:color w:val="auto"/>
        </w:rPr>
      </w:pPr>
      <w:r>
        <w:rPr>
          <w:rFonts w:ascii="Arial" w:cs="Arial" w:eastAsia="Arial" w:hAnsi="Arial"/>
          <w:sz w:val="16"/>
          <w:szCs w:val="16"/>
          <w:color w:val="auto"/>
        </w:rPr>
        <w:t>matching placebo tablets once per week, under fasting conditions for 6 weeks. Randomized patients will remain blinded for an additional 6 weeks, totaling 12 weeks for the double</w:t>
      </w:r>
      <w:r>
        <w:rPr>
          <w:rFonts w:ascii="MS PGothic" w:cs="MS PGothic" w:eastAsia="MS PGothic" w:hAnsi="MS PGothic"/>
          <w:sz w:val="16"/>
          <w:szCs w:val="16"/>
          <w:color w:val="auto"/>
        </w:rPr>
        <w:t>‑</w:t>
      </w:r>
      <w:r>
        <w:rPr>
          <w:rFonts w:ascii="Arial" w:cs="Arial" w:eastAsia="Arial" w:hAnsi="Arial"/>
          <w:sz w:val="16"/>
          <w:szCs w:val="16"/>
          <w:color w:val="auto"/>
        </w:rPr>
        <w:t>blind phase. The primary endpoint is anticipated to be the change in pain intensity from baseline to week 12, measured using the NRS. We anticipate that the trial will enroll a total of approximately 300 patients. We received IND clearance from the FDA to proceed with our planned Phase 3 clinical trial of AXS-02 in CLBP. The initiation of this clinical trial is contingent upon the availability of resources.</w:t>
      </w:r>
    </w:p>
    <w:p>
      <w:pPr>
        <w:spacing w:after="0" w:line="162"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CREATE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 Study</w:t>
      </w:r>
    </w:p>
    <w:p>
      <w:pPr>
        <w:spacing w:after="0" w:line="185" w:lineRule="exact"/>
        <w:rPr>
          <w:sz w:val="20"/>
          <w:szCs w:val="20"/>
          <w:color w:val="auto"/>
        </w:rPr>
      </w:pPr>
    </w:p>
    <w:p>
      <w:pPr>
        <w:ind w:right="60" w:firstLine="648"/>
        <w:spacing w:after="0" w:line="184" w:lineRule="exact"/>
        <w:rPr>
          <w:sz w:val="20"/>
          <w:szCs w:val="20"/>
          <w:color w:val="auto"/>
        </w:rPr>
      </w:pPr>
      <w:r>
        <w:rPr>
          <w:rFonts w:ascii="Arial" w:cs="Arial" w:eastAsia="Arial" w:hAnsi="Arial"/>
          <w:sz w:val="17"/>
          <w:szCs w:val="17"/>
          <w:color w:val="auto"/>
        </w:rPr>
        <w:t>In July 2015, we initiated the CREATE</w:t>
      </w:r>
      <w:r>
        <w:rPr>
          <w:rFonts w:ascii="MS PGothic" w:cs="MS PGothic" w:eastAsia="MS PGothic" w:hAnsi="MS PGothic"/>
          <w:sz w:val="17"/>
          <w:szCs w:val="17"/>
          <w:color w:val="auto"/>
        </w:rPr>
        <w:t>‑</w:t>
      </w:r>
      <w:r>
        <w:rPr>
          <w:rFonts w:ascii="Arial" w:cs="Arial" w:eastAsia="Arial" w:hAnsi="Arial"/>
          <w:sz w:val="17"/>
          <w:szCs w:val="17"/>
          <w:color w:val="auto"/>
        </w:rPr>
        <w:t>1 study, a Phase 3, randomized, double</w:t>
      </w:r>
      <w:r>
        <w:rPr>
          <w:rFonts w:ascii="MS PGothic" w:cs="MS PGothic" w:eastAsia="MS PGothic" w:hAnsi="MS PGothic"/>
          <w:sz w:val="17"/>
          <w:szCs w:val="17"/>
          <w:color w:val="auto"/>
        </w:rPr>
        <w:t>‑</w:t>
      </w:r>
      <w:r>
        <w:rPr>
          <w:rFonts w:ascii="Arial" w:cs="Arial" w:eastAsia="Arial" w:hAnsi="Arial"/>
          <w:sz w:val="17"/>
          <w:szCs w:val="17"/>
          <w:color w:val="auto"/>
        </w:rPr>
        <w:t>blind, placebo</w:t>
      </w:r>
      <w:r>
        <w:rPr>
          <w:rFonts w:ascii="MS PGothic" w:cs="MS PGothic" w:eastAsia="MS PGothic" w:hAnsi="MS PGothic"/>
          <w:sz w:val="17"/>
          <w:szCs w:val="17"/>
          <w:color w:val="auto"/>
        </w:rPr>
        <w:t>‑</w:t>
      </w:r>
      <w:r>
        <w:rPr>
          <w:rFonts w:ascii="Arial" w:cs="Arial" w:eastAsia="Arial" w:hAnsi="Arial"/>
          <w:sz w:val="17"/>
          <w:szCs w:val="17"/>
          <w:color w:val="auto"/>
        </w:rPr>
        <w:t>controlled trial to assess the efficacy and safety of AXS</w:t>
      </w:r>
      <w:r>
        <w:rPr>
          <w:rFonts w:ascii="MS PGothic" w:cs="MS PGothic" w:eastAsia="MS PGothic" w:hAnsi="MS PGothic"/>
          <w:sz w:val="17"/>
          <w:szCs w:val="17"/>
          <w:color w:val="auto"/>
        </w:rPr>
        <w:t>‑</w:t>
      </w:r>
      <w:r>
        <w:rPr>
          <w:rFonts w:ascii="Arial" w:cs="Arial" w:eastAsia="Arial" w:hAnsi="Arial"/>
          <w:sz w:val="17"/>
          <w:szCs w:val="17"/>
          <w:color w:val="auto"/>
        </w:rPr>
        <w:t>02 in the treatment of pain associated with CRPS. An interim analysis was conducted to assess the efficacy and safety of AXS-02 and included 81 subjects. The IDMC recommended that the CREATE-1 trial be stopped for futility. The IDMC also reviewed the available safety information in the study and confirmed that AXS-02 was safe and generally well-tolerated. Additionally, AXS-02 treatment resulted in a significant reduction of serum CTx, a marker of bone resorption, as compared to placebo (p&lt;0.0001). Pursuant to the IDMC recommendation, we have discontinued enrollment in this study and are conducting study close-out activities.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MoSEIC™ Technology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The MoSEIC™, or Molecular Solubility Enhanced Inclusion Complex, technology was developed to improve the absorption of drug molecules after oral administration. Using a proprietary process, target drug molecules are combined with solubility enhancers to form inclusion complexes, which are then stabilized using a buffering system, to improve drug release and enhance absorption. We are currently developing two clinical-stage product candidates, AXS-07 and AXS-06, that utilize the MoSEIC technology to substantially increase the solubility and speed the absorption of meloxicam while maintaining durability of action.</w:t>
      </w:r>
    </w:p>
    <w:p>
      <w:pPr>
        <w:spacing w:after="0" w:line="162" w:lineRule="exact"/>
        <w:rPr>
          <w:sz w:val="20"/>
          <w:szCs w:val="20"/>
          <w:color w:val="auto"/>
        </w:rPr>
      </w:pPr>
    </w:p>
    <w:p>
      <w:pPr>
        <w:ind w:right="680" w:firstLine="648"/>
        <w:spacing w:after="0" w:line="235" w:lineRule="auto"/>
        <w:rPr>
          <w:sz w:val="20"/>
          <w:szCs w:val="20"/>
          <w:color w:val="auto"/>
        </w:rPr>
      </w:pPr>
      <w:r>
        <w:rPr>
          <w:rFonts w:ascii="Arial" w:cs="Arial" w:eastAsia="Arial" w:hAnsi="Arial"/>
          <w:sz w:val="18"/>
          <w:szCs w:val="18"/>
          <w:color w:val="auto"/>
        </w:rPr>
        <w:t>We have completed a Phase 1 pharmacokinetic clinical trial of MoSEIC™ meloxicam, in combination with esomeprazole, under a clinical trial application with Health Canada.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Scientific Rationale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135255</wp:posOffset>
            </wp:positionV>
            <wp:extent cx="3987800" cy="2341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987800" cy="234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firstLine="648"/>
        <w:spacing w:after="0" w:line="209" w:lineRule="auto"/>
        <w:rPr>
          <w:sz w:val="20"/>
          <w:szCs w:val="20"/>
          <w:color w:val="auto"/>
        </w:rPr>
      </w:pPr>
      <w:r>
        <w:rPr>
          <w:rFonts w:ascii="Arial" w:cs="Arial" w:eastAsia="Arial" w:hAnsi="Arial"/>
          <w:sz w:val="16"/>
          <w:szCs w:val="16"/>
          <w:color w:val="auto"/>
        </w:rPr>
        <w:t>Meloxicam is a potent and well characterized nonsteroidal anti-inflammatory drug, or NSAID, whose utility in acute pain has been limited by slow absorption resulting in a delayed T</w:t>
      </w:r>
      <w:r>
        <w:rPr>
          <w:rFonts w:ascii="Arial" w:cs="Arial" w:eastAsia="Arial" w:hAnsi="Arial"/>
          <w:sz w:val="26"/>
          <w:szCs w:val="26"/>
          <w:color w:val="auto"/>
          <w:vertAlign w:val="subscript"/>
        </w:rPr>
        <w:t>max</w:t>
      </w:r>
      <w:r>
        <w:rPr>
          <w:rFonts w:ascii="Arial" w:cs="Arial" w:eastAsia="Arial" w:hAnsi="Arial"/>
          <w:sz w:val="16"/>
          <w:szCs w:val="16"/>
          <w:color w:val="auto"/>
        </w:rPr>
        <w:t>. Our MoSEIC meloxicam technology is designed to</w:t>
      </w:r>
    </w:p>
    <w:p>
      <w:pPr>
        <w:spacing w:after="0" w:line="184" w:lineRule="auto"/>
        <w:rPr>
          <w:sz w:val="20"/>
          <w:szCs w:val="20"/>
          <w:color w:val="auto"/>
        </w:rPr>
      </w:pPr>
      <w:r>
        <w:rPr>
          <w:rFonts w:ascii="Arial" w:cs="Arial" w:eastAsia="Arial" w:hAnsi="Arial"/>
          <w:sz w:val="16"/>
          <w:szCs w:val="16"/>
          <w:color w:val="auto"/>
        </w:rPr>
        <w:t>improve the solubility of meloxicam thereby enhancing its absorption resulting in a reduced T</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as compared to standard</w:t>
      </w:r>
    </w:p>
    <w:p>
      <w:pPr>
        <w:spacing w:after="0" w:line="1" w:lineRule="exact"/>
        <w:rPr>
          <w:sz w:val="20"/>
          <w:szCs w:val="20"/>
          <w:color w:val="auto"/>
        </w:rPr>
      </w:pPr>
    </w:p>
    <w:p>
      <w:pPr>
        <w:ind w:right="360"/>
        <w:spacing w:after="0" w:line="182" w:lineRule="auto"/>
        <w:rPr>
          <w:sz w:val="20"/>
          <w:szCs w:val="20"/>
          <w:color w:val="auto"/>
        </w:rPr>
      </w:pPr>
      <w:r>
        <w:rPr>
          <w:rFonts w:ascii="Arial" w:cs="Arial" w:eastAsia="Arial" w:hAnsi="Arial"/>
          <w:sz w:val="18"/>
          <w:szCs w:val="18"/>
          <w:color w:val="auto"/>
        </w:rPr>
        <w:t>meloxicam. As shown in the figure above, results of our completed Phase 1 trial of MoSEIC meloxicam revealed a rapid T</w:t>
      </w:r>
      <w:r>
        <w:rPr>
          <w:rFonts w:ascii="Arial" w:cs="Arial" w:eastAsia="Arial" w:hAnsi="Arial"/>
          <w:sz w:val="30"/>
          <w:szCs w:val="30"/>
          <w:color w:val="auto"/>
          <w:vertAlign w:val="subscript"/>
        </w:rPr>
        <w:t>max</w:t>
      </w:r>
      <w:r>
        <w:rPr>
          <w:rFonts w:ascii="Arial" w:cs="Arial" w:eastAsia="Arial" w:hAnsi="Arial"/>
          <w:sz w:val="18"/>
          <w:szCs w:val="18"/>
          <w:color w:val="auto"/>
        </w:rPr>
        <w:t xml:space="preserve"> after oral administration, of 0.5 hour versus 4.5 hours for standard meloxicam.</w:t>
      </w:r>
    </w:p>
    <w:p>
      <w:pPr>
        <w:spacing w:after="0" w:line="18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AXS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07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AXS</w:t>
      </w:r>
      <w:r>
        <w:rPr>
          <w:rFonts w:ascii="MS PGothic" w:cs="MS PGothic" w:eastAsia="MS PGothic" w:hAnsi="MS PGothic"/>
          <w:sz w:val="17"/>
          <w:szCs w:val="17"/>
          <w:color w:val="auto"/>
        </w:rPr>
        <w:t>‑</w:t>
      </w:r>
      <w:r>
        <w:rPr>
          <w:rFonts w:ascii="Arial" w:cs="Arial" w:eastAsia="Arial" w:hAnsi="Arial"/>
          <w:sz w:val="17"/>
          <w:szCs w:val="17"/>
          <w:color w:val="auto"/>
        </w:rPr>
        <w:t>07 is an oral, fixed-dose combination of MoSEIC™ meloxicam and rizatriptan. We are initially developing AXS-07 for the acute treatment of migraine. Meloxicam is a new molecular entity for migraine enabled by Axsome’s MoSEIC technology, which results in rapid absorption of meloxicam while maintaining a long plasma half-life. Rizatriptan is FDA approved for the acute treatment of migraine as a single agent. The distinct mechanism of action and rapid absorption of MoSEIC meloxicam, combined with the known efficacy of rizatriptan, is expected to result in rapid, superior and consistent relief of migraine pain, with lower symptom recurrence, as compared to currently available therapies.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Migraine</w:t>
      </w:r>
    </w:p>
    <w:p>
      <w:pPr>
        <w:spacing w:after="0" w:line="185" w:lineRule="exact"/>
        <w:rPr>
          <w:sz w:val="20"/>
          <w:szCs w:val="20"/>
          <w:color w:val="auto"/>
        </w:rPr>
      </w:pPr>
    </w:p>
    <w:p>
      <w:pPr>
        <w:ind w:right="160" w:firstLine="648"/>
        <w:spacing w:after="0" w:line="203" w:lineRule="exact"/>
        <w:rPr>
          <w:sz w:val="20"/>
          <w:szCs w:val="20"/>
          <w:color w:val="auto"/>
        </w:rPr>
      </w:pPr>
      <w:r>
        <w:rPr>
          <w:rFonts w:ascii="Arial" w:cs="Arial" w:eastAsia="Arial" w:hAnsi="Arial"/>
          <w:sz w:val="18"/>
          <w:szCs w:val="18"/>
          <w:color w:val="auto"/>
        </w:rPr>
        <w:t>We are developing AXS</w:t>
      </w:r>
      <w:r>
        <w:rPr>
          <w:rFonts w:ascii="MS PGothic" w:cs="MS PGothic" w:eastAsia="MS PGothic" w:hAnsi="MS PGothic"/>
          <w:sz w:val="18"/>
          <w:szCs w:val="18"/>
          <w:color w:val="auto"/>
        </w:rPr>
        <w:t>‑</w:t>
      </w:r>
      <w:r>
        <w:rPr>
          <w:rFonts w:ascii="Arial" w:cs="Arial" w:eastAsia="Arial" w:hAnsi="Arial"/>
          <w:sz w:val="18"/>
          <w:szCs w:val="18"/>
          <w:color w:val="auto"/>
        </w:rPr>
        <w:t>07 for the acute treatment of migraine. A majority of migraine sufferers indicate that they are not fully satisfied with currently available treatment options.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Indication Overview</w:t>
      </w:r>
    </w:p>
    <w:p>
      <w:pPr>
        <w:spacing w:after="0" w:line="185"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Migraine is a disorder characterized by recurrent attacks of pulsating, unilateral or bilateral head pain, often associated with nausea, photobobia, and phonophobia. Migraine attacks may occur with or without an aura, which is a focal neurological symptom, such as vision changes, that typically precedes other symptoms. Migraine attacks generally last from 4 to 72 hours and are often severe and disabling, requiring bed rest.</w:t>
      </w:r>
    </w:p>
    <w:p>
      <w:pPr>
        <w:spacing w:after="0" w:line="163" w:lineRule="exact"/>
        <w:rPr>
          <w:sz w:val="20"/>
          <w:szCs w:val="20"/>
          <w:color w:val="auto"/>
        </w:rPr>
      </w:pPr>
    </w:p>
    <w:p>
      <w:pPr>
        <w:ind w:right="20" w:firstLine="648"/>
        <w:spacing w:after="0" w:line="241" w:lineRule="auto"/>
        <w:rPr>
          <w:sz w:val="20"/>
          <w:szCs w:val="20"/>
          <w:color w:val="auto"/>
        </w:rPr>
      </w:pPr>
      <w:r>
        <w:rPr>
          <w:rFonts w:ascii="Arial" w:cs="Arial" w:eastAsia="Arial" w:hAnsi="Arial"/>
          <w:sz w:val="16"/>
          <w:szCs w:val="16"/>
          <w:color w:val="auto"/>
        </w:rPr>
        <w:t>Over 37 million Americans suffer from migraine according to the Centers for Disease Control, and it is the leading cause of disability among neurological disorders in the United States according to the American Migraine Foundation. It is estimated that migraine accounts for $78 billion in direct costs, such as doctor visits and medications, and indirect costs, such as missed work and lost productivity, each year in the United States. Published surveys of migraine sufferers indicate that more than 70% are not fully satisfied with their current treatment, that nearly 80% would try a new therapy, and that they desire treatments that work faster, more consistently, and result in less symptom recurrence.</w:t>
      </w:r>
    </w:p>
    <w:p>
      <w:pPr>
        <w:spacing w:after="0" w:line="161"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Rationale for the Development of AXS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07 in Migraine</w:t>
      </w:r>
    </w:p>
    <w:p>
      <w:pPr>
        <w:spacing w:after="0" w:line="185" w:lineRule="exact"/>
        <w:rPr>
          <w:sz w:val="20"/>
          <w:szCs w:val="20"/>
          <w:color w:val="auto"/>
        </w:rPr>
      </w:pPr>
    </w:p>
    <w:p>
      <w:pPr>
        <w:ind w:right="100" w:firstLine="648"/>
        <w:spacing w:after="0" w:line="217" w:lineRule="auto"/>
        <w:rPr>
          <w:sz w:val="20"/>
          <w:szCs w:val="20"/>
          <w:color w:val="auto"/>
        </w:rPr>
      </w:pPr>
      <w:r>
        <w:rPr>
          <w:rFonts w:ascii="Arial" w:cs="Arial" w:eastAsia="Arial" w:hAnsi="Arial"/>
          <w:sz w:val="16"/>
          <w:szCs w:val="16"/>
          <w:color w:val="auto"/>
        </w:rPr>
        <w:t>The rationale for combining rizatriptan with MoSEIC™ meloxicam is based on the pharmacokinetic properties of MoSEIC™ meloxicam and the efficacy of NSAIDs and triptans in migraine. By combining rizatriptan with MoSEIC™ meloxicam, AXS-07 may overcome some the limitations of triptans which include incomplete pain relief, suboptimal onset of action, and recurrence of symptoms. MoSEIC™ meloxicam contributes a distinct mechanism of action, and reaches C</w:t>
      </w:r>
      <w:r>
        <w:rPr>
          <w:rFonts w:ascii="Arial" w:cs="Arial" w:eastAsia="Arial" w:hAnsi="Arial"/>
          <w:sz w:val="26"/>
          <w:szCs w:val="26"/>
          <w:color w:val="auto"/>
          <w:vertAlign w:val="subscript"/>
        </w:rPr>
        <w:t>max</w:t>
      </w:r>
    </w:p>
    <w:p>
      <w:pPr>
        <w:spacing w:after="0" w:line="3"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within 30 minutes after oral administration, thereby providing the potential for greater efficacy and a more rapid onset of action as compared to rizatriptan alone. In addition, MoSEIC meloxicam maintains an approximately 20-hour half-life, which may provide more sustained efficacy with less recurrence of symptoms as compared to rizatriptan alone. Less recurrence would be expected to result in reduced use of rescue or repeat medication. Triptans have been shown to be efficacious for moderate to severe migraine and are considered by many the drugs of choice for the abortive treatment of attacks.</w:t>
      </w:r>
    </w:p>
    <w:p>
      <w:pPr>
        <w:spacing w:after="0" w:line="162" w:lineRule="exact"/>
        <w:rPr>
          <w:sz w:val="20"/>
          <w:szCs w:val="20"/>
          <w:color w:val="auto"/>
        </w:rPr>
      </w:pPr>
    </w:p>
    <w:p>
      <w:pPr>
        <w:ind w:right="440" w:firstLine="648"/>
        <w:spacing w:after="0" w:line="224" w:lineRule="auto"/>
        <w:rPr>
          <w:sz w:val="20"/>
          <w:szCs w:val="20"/>
          <w:color w:val="auto"/>
        </w:rPr>
      </w:pPr>
      <w:r>
        <w:rPr>
          <w:rFonts w:ascii="Arial" w:cs="Arial" w:eastAsia="Arial" w:hAnsi="Arial"/>
          <w:sz w:val="18"/>
          <w:szCs w:val="18"/>
          <w:color w:val="auto"/>
        </w:rPr>
        <w:t>Based on AXS-07’s multiple mechanisms of action, the unique pharmacokinetics of the MoSEIC meloxicam component, and results from numerous clinical trials with the rizatriptan component, we believe that AXS-07 may have advantages over currently available therapy in the treatment of migraine:</w:t>
      </w:r>
    </w:p>
    <w:p>
      <w:pPr>
        <w:spacing w:after="0" w:line="163" w:lineRule="exact"/>
        <w:rPr>
          <w:sz w:val="20"/>
          <w:szCs w:val="20"/>
          <w:color w:val="auto"/>
        </w:rPr>
      </w:pPr>
    </w:p>
    <w:p>
      <w:pPr>
        <w:ind w:left="660" w:right="120" w:hanging="333"/>
        <w:spacing w:after="0" w:line="19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Rapid absorption and onset of action. </w:t>
      </w:r>
      <w:r>
        <w:rPr>
          <w:rFonts w:ascii="Arial" w:cs="Arial" w:eastAsia="Arial" w:hAnsi="Arial"/>
          <w:sz w:val="18"/>
          <w:szCs w:val="18"/>
          <w:color w:val="auto"/>
        </w:rPr>
        <w:t>In a completed Phase 1 trial, therapeutic plasma levels of meloxicam were</w:t>
      </w:r>
      <w:r>
        <w:rPr>
          <w:rFonts w:ascii="Arial" w:cs="Arial" w:eastAsia="Arial" w:hAnsi="Arial"/>
          <w:sz w:val="18"/>
          <w:szCs w:val="18"/>
          <w:i w:val="1"/>
          <w:iCs w:val="1"/>
          <w:color w:val="auto"/>
        </w:rPr>
        <w:t xml:space="preserve"> </w:t>
      </w:r>
      <w:r>
        <w:rPr>
          <w:rFonts w:ascii="Arial" w:cs="Arial" w:eastAsia="Arial" w:hAnsi="Arial"/>
          <w:sz w:val="18"/>
          <w:szCs w:val="18"/>
          <w:color w:val="auto"/>
        </w:rPr>
        <w:t>attained within 15 minutes of oral dosing of MoSEIC meloxicam, with a median time to maximum plasma concentration (T</w:t>
      </w:r>
      <w:r>
        <w:rPr>
          <w:rFonts w:ascii="Arial" w:cs="Arial" w:eastAsia="Arial" w:hAnsi="Arial"/>
          <w:sz w:val="30"/>
          <w:szCs w:val="30"/>
          <w:color w:val="auto"/>
          <w:vertAlign w:val="subscript"/>
        </w:rPr>
        <w:t>max</w:t>
      </w:r>
      <w:r>
        <w:rPr>
          <w:rFonts w:ascii="Arial" w:cs="Arial" w:eastAsia="Arial" w:hAnsi="Arial"/>
          <w:sz w:val="18"/>
          <w:szCs w:val="18"/>
          <w:color w:val="auto"/>
        </w:rPr>
        <w:t>) that was 9 times faster for MoSEIC meloxicam as compared to standard meloxicam (0.5 hour versus 4.5 hours for MoSEIC and standard meloxicam, respectively, p&lt;0.0001). The fast absorption of MoSEIC meloxicam combined with a reported T</w:t>
      </w:r>
      <w:r>
        <w:rPr>
          <w:rFonts w:ascii="Arial" w:cs="Arial" w:eastAsia="Arial" w:hAnsi="Arial"/>
          <w:sz w:val="30"/>
          <w:szCs w:val="30"/>
          <w:color w:val="auto"/>
          <w:vertAlign w:val="subscript"/>
        </w:rPr>
        <w:t>max</w:t>
      </w:r>
      <w:r>
        <w:rPr>
          <w:rFonts w:ascii="Arial" w:cs="Arial" w:eastAsia="Arial" w:hAnsi="Arial"/>
          <w:sz w:val="18"/>
          <w:szCs w:val="18"/>
          <w:color w:val="auto"/>
        </w:rPr>
        <w:t xml:space="preserve"> for rizatriptan of 1 to 1.5 hours would be expected to result in rapid onset of migraine pain relief with AXS-07.</w:t>
      </w:r>
    </w:p>
    <w:p>
      <w:pPr>
        <w:spacing w:after="0" w:line="163" w:lineRule="exact"/>
        <w:rPr>
          <w:rFonts w:ascii="Arial" w:cs="Arial" w:eastAsia="Arial" w:hAnsi="Arial"/>
          <w:sz w:val="18"/>
          <w:szCs w:val="18"/>
          <w:color w:val="auto"/>
        </w:rPr>
      </w:pPr>
    </w:p>
    <w:p>
      <w:pPr>
        <w:ind w:left="660" w:right="60" w:hanging="333"/>
        <w:spacing w:after="0" w:line="21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Strong and consistent pain relief. </w:t>
      </w:r>
      <w:r>
        <w:rPr>
          <w:rFonts w:ascii="Arial" w:cs="Arial" w:eastAsia="Arial" w:hAnsi="Arial"/>
          <w:sz w:val="18"/>
          <w:szCs w:val="18"/>
          <w:color w:val="auto"/>
        </w:rPr>
        <w:t>AXS-07 has the potential to provide efficacy that is superior to currently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migraine treatments based on the expected additive effect of MoSEIC meloxicam and rizatriptan. Clinical experience with rizatriptan as a single agent further indicates that AXS-07 may be able to provide more consistent intra-patient efficacy than currently available migraine treatments, as well as efficacy in various stages, severities, and subtypes of migraine including menstrual migraine.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80" w:hanging="333"/>
        <w:spacing w:after="0" w:line="22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Sustained pain relief. </w:t>
      </w:r>
      <w:r>
        <w:rPr>
          <w:rFonts w:ascii="Arial" w:cs="Arial" w:eastAsia="Arial" w:hAnsi="Arial"/>
          <w:sz w:val="18"/>
          <w:szCs w:val="18"/>
          <w:color w:val="auto"/>
        </w:rPr>
        <w:t>The approximately 20-hour half-life of MoSEIC meloxicam, combined with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additive effect of the rizatriptan component of AXS-07 may result in a more sustained effect with less recurrence of symptoms with AXS-07 as compared to currently available treatments.</w:t>
      </w:r>
    </w:p>
    <w:p>
      <w:pPr>
        <w:spacing w:after="0" w:line="163" w:lineRule="exact"/>
        <w:rPr>
          <w:rFonts w:ascii="Arial" w:cs="Arial" w:eastAsia="Arial" w:hAnsi="Arial"/>
          <w:sz w:val="18"/>
          <w:szCs w:val="18"/>
          <w:color w:val="auto"/>
        </w:rPr>
      </w:pPr>
    </w:p>
    <w:p>
      <w:pPr>
        <w:ind w:left="660" w:right="40" w:hanging="333"/>
        <w:spacing w:after="0" w:line="22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Pharmacoeconomic benefits. </w:t>
      </w:r>
      <w:r>
        <w:rPr>
          <w:rFonts w:ascii="Arial" w:cs="Arial" w:eastAsia="Arial" w:hAnsi="Arial"/>
          <w:sz w:val="18"/>
          <w:szCs w:val="18"/>
          <w:color w:val="auto"/>
        </w:rPr>
        <w:t>The potentially superior efficacy of AXS-07 would be expected to result in reduced</w:t>
      </w:r>
      <w:r>
        <w:rPr>
          <w:rFonts w:ascii="Arial" w:cs="Arial" w:eastAsia="Arial" w:hAnsi="Arial"/>
          <w:sz w:val="18"/>
          <w:szCs w:val="18"/>
          <w:i w:val="1"/>
          <w:iCs w:val="1"/>
          <w:color w:val="auto"/>
        </w:rPr>
        <w:t xml:space="preserve"> </w:t>
      </w:r>
      <w:r>
        <w:rPr>
          <w:rFonts w:ascii="Arial" w:cs="Arial" w:eastAsia="Arial" w:hAnsi="Arial"/>
          <w:sz w:val="18"/>
          <w:szCs w:val="18"/>
          <w:color w:val="auto"/>
        </w:rPr>
        <w:t>use of medical services, rescue or repeat medication, absenteeism, and loss of productivity, as compared to currently available treatments.</w:t>
      </w:r>
    </w:p>
    <w:p>
      <w:pPr>
        <w:spacing w:after="0" w:line="16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Clinical Development of 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07</w:t>
      </w:r>
    </w:p>
    <w:p>
      <w:pPr>
        <w:spacing w:after="0" w:line="181" w:lineRule="exact"/>
        <w:rPr>
          <w:sz w:val="20"/>
          <w:szCs w:val="20"/>
          <w:color w:val="auto"/>
        </w:rPr>
      </w:pPr>
    </w:p>
    <w:p>
      <w:pPr>
        <w:ind w:left="660"/>
        <w:spacing w:after="0" w:line="196" w:lineRule="exact"/>
        <w:rPr>
          <w:sz w:val="20"/>
          <w:szCs w:val="20"/>
          <w:color w:val="auto"/>
        </w:rPr>
      </w:pPr>
      <w:r>
        <w:rPr>
          <w:rFonts w:ascii="Arial" w:cs="Arial" w:eastAsia="Arial" w:hAnsi="Arial"/>
          <w:sz w:val="17"/>
          <w:szCs w:val="17"/>
          <w:color w:val="auto"/>
        </w:rPr>
        <w:t>We are developing AXS</w:t>
      </w:r>
      <w:r>
        <w:rPr>
          <w:rFonts w:ascii="MS PGothic" w:cs="MS PGothic" w:eastAsia="MS PGothic" w:hAnsi="MS PGothic"/>
          <w:sz w:val="17"/>
          <w:szCs w:val="17"/>
          <w:color w:val="auto"/>
        </w:rPr>
        <w:t>‑</w:t>
      </w:r>
      <w:r>
        <w:rPr>
          <w:rFonts w:ascii="Arial" w:cs="Arial" w:eastAsia="Arial" w:hAnsi="Arial"/>
          <w:sz w:val="17"/>
          <w:szCs w:val="17"/>
          <w:color w:val="auto"/>
        </w:rPr>
        <w:t>07 and intend to seek FDA approval for the product utilizing the 505(b)(2) regulatory</w:t>
      </w:r>
    </w:p>
    <w:p>
      <w:pPr>
        <w:spacing w:after="0"/>
        <w:rPr>
          <w:sz w:val="20"/>
          <w:szCs w:val="20"/>
          <w:color w:val="auto"/>
        </w:rPr>
      </w:pPr>
      <w:r>
        <w:rPr>
          <w:rFonts w:ascii="Arial" w:cs="Arial" w:eastAsia="Arial" w:hAnsi="Arial"/>
          <w:sz w:val="18"/>
          <w:szCs w:val="18"/>
          <w:color w:val="auto"/>
        </w:rPr>
        <w:t>pathway.</w:t>
      </w:r>
    </w:p>
    <w:p>
      <w:pPr>
        <w:spacing w:after="0" w:line="169" w:lineRule="exact"/>
        <w:rPr>
          <w:sz w:val="20"/>
          <w:szCs w:val="20"/>
          <w:color w:val="auto"/>
        </w:rPr>
      </w:pPr>
    </w:p>
    <w:p>
      <w:pPr>
        <w:ind w:right="100" w:firstLine="648"/>
        <w:spacing w:after="0" w:line="194" w:lineRule="exact"/>
        <w:rPr>
          <w:sz w:val="20"/>
          <w:szCs w:val="20"/>
          <w:color w:val="auto"/>
        </w:rPr>
      </w:pPr>
      <w:r>
        <w:rPr>
          <w:rFonts w:ascii="Arial" w:cs="Arial" w:eastAsia="Arial" w:hAnsi="Arial"/>
          <w:sz w:val="17"/>
          <w:szCs w:val="17"/>
          <w:color w:val="auto"/>
        </w:rPr>
        <w:t>We received written pre</w:t>
      </w:r>
      <w:r>
        <w:rPr>
          <w:rFonts w:ascii="MS PGothic" w:cs="MS PGothic" w:eastAsia="MS PGothic" w:hAnsi="MS PGothic"/>
          <w:sz w:val="17"/>
          <w:szCs w:val="17"/>
          <w:color w:val="auto"/>
        </w:rPr>
        <w:t>‑</w:t>
      </w:r>
      <w:r>
        <w:rPr>
          <w:rFonts w:ascii="Arial" w:cs="Arial" w:eastAsia="Arial" w:hAnsi="Arial"/>
          <w:sz w:val="17"/>
          <w:szCs w:val="17"/>
          <w:color w:val="auto"/>
        </w:rPr>
        <w:t>IND meeting guidance from the FDA in August 2017 on our clinical development plan for AXS</w:t>
      </w:r>
      <w:r>
        <w:rPr>
          <w:rFonts w:ascii="MS PGothic" w:cs="MS PGothic" w:eastAsia="MS PGothic" w:hAnsi="MS PGothic"/>
          <w:sz w:val="17"/>
          <w:szCs w:val="17"/>
          <w:color w:val="auto"/>
        </w:rPr>
        <w:t>‑</w:t>
      </w:r>
      <w:r>
        <w:rPr>
          <w:rFonts w:ascii="Arial" w:cs="Arial" w:eastAsia="Arial" w:hAnsi="Arial"/>
          <w:sz w:val="17"/>
          <w:szCs w:val="17"/>
          <w:color w:val="auto"/>
        </w:rPr>
        <w:t>07 in migraine. Based on that guidance, we intend to submit an IND to the FDA and we plan to conduct one Phase 3 trial of AXS</w:t>
      </w:r>
      <w:r>
        <w:rPr>
          <w:rFonts w:ascii="MS PGothic" w:cs="MS PGothic" w:eastAsia="MS PGothic" w:hAnsi="MS PGothic"/>
          <w:sz w:val="17"/>
          <w:szCs w:val="17"/>
          <w:color w:val="auto"/>
        </w:rPr>
        <w:t>‑</w:t>
      </w:r>
      <w:r>
        <w:rPr>
          <w:rFonts w:ascii="Arial" w:cs="Arial" w:eastAsia="Arial" w:hAnsi="Arial"/>
          <w:sz w:val="17"/>
          <w:szCs w:val="17"/>
          <w:color w:val="auto"/>
        </w:rPr>
        <w:t>07 in the acute treatment of migraine to support an NDA filing for this indication.</w:t>
      </w:r>
    </w:p>
    <w:p>
      <w:pPr>
        <w:spacing w:after="0" w:line="15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AXS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06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ind w:right="20" w:firstLine="648"/>
        <w:spacing w:after="0" w:line="187" w:lineRule="exact"/>
        <w:rPr>
          <w:sz w:val="20"/>
          <w:szCs w:val="20"/>
          <w:color w:val="auto"/>
        </w:rPr>
      </w:pPr>
      <w:r>
        <w:rPr>
          <w:rFonts w:ascii="Arial" w:cs="Arial" w:eastAsia="Arial" w:hAnsi="Arial"/>
          <w:sz w:val="18"/>
          <w:szCs w:val="18"/>
          <w:color w:val="auto"/>
        </w:rPr>
        <w:t>AXS</w:t>
      </w:r>
      <w:r>
        <w:rPr>
          <w:rFonts w:ascii="MS PGothic" w:cs="MS PGothic" w:eastAsia="MS PGothic" w:hAnsi="MS PGothic"/>
          <w:sz w:val="18"/>
          <w:szCs w:val="18"/>
          <w:color w:val="auto"/>
        </w:rPr>
        <w:t>‑</w:t>
      </w:r>
      <w:r>
        <w:rPr>
          <w:rFonts w:ascii="Arial" w:cs="Arial" w:eastAsia="Arial" w:hAnsi="Arial"/>
          <w:sz w:val="18"/>
          <w:szCs w:val="18"/>
          <w:color w:val="auto"/>
        </w:rPr>
        <w:t>06 is an oral, fixed-dose combination of MoSEIC™ meloxicam and esomeprazole. We are initially developing AXS-06 for the treatment of osteoarthritis and rheumatoid arthritis. Esomeprazole is a proton pump inhibitor, or PPI, which lowers stomach acidity and which has been shown to reduce the occurrence of NSAID -induced gastrointestinal ulcers. AXS-06 is designed to provide rapid, effective pain relief, and to reduce the risk of NSAID-induced ulcers, with convenient once-daily dosing.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Osteoarthritis and Rheumathoid Arthritis</w:t>
      </w:r>
    </w:p>
    <w:p>
      <w:pPr>
        <w:spacing w:after="0" w:line="185" w:lineRule="exact"/>
        <w:rPr>
          <w:sz w:val="20"/>
          <w:szCs w:val="20"/>
          <w:color w:val="auto"/>
        </w:rPr>
      </w:pPr>
    </w:p>
    <w:p>
      <w:pPr>
        <w:ind w:right="320" w:firstLine="648"/>
        <w:spacing w:after="0" w:line="194" w:lineRule="exact"/>
        <w:rPr>
          <w:sz w:val="20"/>
          <w:szCs w:val="20"/>
          <w:color w:val="auto"/>
        </w:rPr>
      </w:pPr>
      <w:r>
        <w:rPr>
          <w:rFonts w:ascii="Arial" w:cs="Arial" w:eastAsia="Arial" w:hAnsi="Arial"/>
          <w:sz w:val="18"/>
          <w:szCs w:val="18"/>
          <w:color w:val="auto"/>
        </w:rPr>
        <w:t>We are developing AXS</w:t>
      </w:r>
      <w:r>
        <w:rPr>
          <w:rFonts w:ascii="MS PGothic" w:cs="MS PGothic" w:eastAsia="MS PGothic" w:hAnsi="MS PGothic"/>
          <w:sz w:val="18"/>
          <w:szCs w:val="18"/>
          <w:color w:val="auto"/>
        </w:rPr>
        <w:t>‑</w:t>
      </w:r>
      <w:r>
        <w:rPr>
          <w:rFonts w:ascii="Arial" w:cs="Arial" w:eastAsia="Arial" w:hAnsi="Arial"/>
          <w:sz w:val="18"/>
          <w:szCs w:val="18"/>
          <w:color w:val="auto"/>
        </w:rPr>
        <w:t>06 for relief of the signs and symptoms of osteoarthritis and rheumatoid arthritis, and reduction in the risk of developing upper gastrointestinal ulcers in patients at risk of developing NSAID-associated upper gastrointestinal ulcers.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Indication Overview</w:t>
      </w:r>
    </w:p>
    <w:p>
      <w:pPr>
        <w:spacing w:after="0" w:line="185"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Rheumatoid arthritis, or RA, is a chronic, systemic, inflammatory disease that affects connective tissue and is characterized by joint pain and destruction. RA is the most common type of autoimmune arthritis. Although joints, primarily in the hands and feet, are the primary target of RA, extra-articular manifestations can have a significant impact on other organ systems. According to the American College of Rheumatology, more than 1.3 million Americans suffer from RA.</w:t>
      </w:r>
    </w:p>
    <w:p>
      <w:pPr>
        <w:spacing w:after="0" w:line="155" w:lineRule="exact"/>
        <w:rPr>
          <w:sz w:val="20"/>
          <w:szCs w:val="20"/>
          <w:color w:val="auto"/>
        </w:rPr>
      </w:pPr>
    </w:p>
    <w:p>
      <w:pPr>
        <w:ind w:right="60" w:firstLine="648"/>
        <w:spacing w:after="0" w:line="259" w:lineRule="auto"/>
        <w:rPr>
          <w:sz w:val="20"/>
          <w:szCs w:val="20"/>
          <w:color w:val="auto"/>
        </w:rPr>
      </w:pPr>
      <w:r>
        <w:rPr>
          <w:rFonts w:ascii="Arial" w:cs="Arial" w:eastAsia="Arial" w:hAnsi="Arial"/>
          <w:sz w:val="16"/>
          <w:szCs w:val="16"/>
          <w:color w:val="auto"/>
        </w:rPr>
        <w:t>Osteoarthritis, or OA, is a degenerative joint disease, which mainly affects the articular cartilage. It is associated with ageing and most often affects the knees, hips, fingers, and lower spine region. OA is the most common form of arthritis. According to the Centers for Disease Control and Prevention, more than 30 million American adults suffer from OA.</w:t>
      </w:r>
    </w:p>
    <w:p>
      <w:pPr>
        <w:spacing w:after="0" w:line="147"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Rationale for the Development of AXS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06 in OA and RA</w:t>
      </w:r>
    </w:p>
    <w:p>
      <w:pPr>
        <w:spacing w:after="0" w:line="185" w:lineRule="exact"/>
        <w:rPr>
          <w:sz w:val="20"/>
          <w:szCs w:val="20"/>
          <w:color w:val="auto"/>
        </w:rPr>
      </w:pPr>
    </w:p>
    <w:p>
      <w:pPr>
        <w:ind w:right="120" w:firstLine="648"/>
        <w:spacing w:after="0" w:line="208" w:lineRule="auto"/>
        <w:rPr>
          <w:sz w:val="20"/>
          <w:szCs w:val="20"/>
          <w:color w:val="auto"/>
        </w:rPr>
      </w:pPr>
      <w:r>
        <w:rPr>
          <w:rFonts w:ascii="Arial" w:cs="Arial" w:eastAsia="Arial" w:hAnsi="Arial"/>
          <w:sz w:val="17"/>
          <w:szCs w:val="17"/>
          <w:color w:val="auto"/>
        </w:rPr>
        <w:t>Meloxicam is a well-characterized NSAID that is approved for the treatment of the signs and symptoms of OA and RA, and is marketed under the tradename Mobic®. Meloxicam is a long-acting NSAID with COX -2 preferential inhibition. Its long half-life allows for once-daily dosing. However standard meloxicam has an extended time to maximum plasma concentration or T</w:t>
      </w:r>
      <w:r>
        <w:rPr>
          <w:rFonts w:ascii="Arial" w:cs="Arial" w:eastAsia="Arial" w:hAnsi="Arial"/>
          <w:sz w:val="28"/>
          <w:szCs w:val="28"/>
          <w:color w:val="auto"/>
          <w:vertAlign w:val="subscript"/>
        </w:rPr>
        <w:t>max</w:t>
      </w:r>
      <w:r>
        <w:rPr>
          <w:rFonts w:ascii="Arial" w:cs="Arial" w:eastAsia="Arial" w:hAnsi="Arial"/>
          <w:sz w:val="17"/>
          <w:szCs w:val="17"/>
          <w:color w:val="auto"/>
        </w:rPr>
        <w:t xml:space="preserve"> which may result in a slow onset of analgesic action. In addition, like other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60"/>
        <w:spacing w:after="0" w:line="216" w:lineRule="auto"/>
        <w:rPr>
          <w:sz w:val="20"/>
          <w:szCs w:val="20"/>
          <w:color w:val="auto"/>
        </w:rPr>
      </w:pPr>
      <w:r>
        <w:rPr>
          <w:rFonts w:ascii="Arial" w:cs="Arial" w:eastAsia="Arial" w:hAnsi="Arial"/>
          <w:sz w:val="18"/>
          <w:szCs w:val="18"/>
          <w:color w:val="auto"/>
        </w:rPr>
        <w:t>NSAIDs, meloxicam can induce upper gastrointestinal ulcers which can be complicated by the development of bleeding, perforation or obstruction. Chronic use of NSAIDs has been reported to be associated with the development of gastrointestinal ulcers in as many as 25% of patients. AXS-06 is designed to overcome these limitations by combining a rapidly absorbed formulation of meloxicam with esomeprazole, an agent that has been proven to reduce the incidence of NSAID-associated gastrointestinal ulcers.</w:t>
      </w:r>
    </w:p>
    <w:p>
      <w:pPr>
        <w:spacing w:after="0" w:line="162"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Esomeprazole is a well-known PPI that is approved for the treatment of gastroesophageal reflux disease, and for the reduction of NSAID-associated gastric ulcers. It is marketed under the tradename Nexium® as a single agent. Esomeprazole is also approved as part of a fixed-dose combination with naproxen, under the tradename Vimovo®, for the reduction of NSAID-associated gastric ulcers. By acting specifically on the proton pump, esomeprazole blocks the final step in acid production, thus reducing gastric acidity.</w:t>
      </w:r>
    </w:p>
    <w:p>
      <w:pPr>
        <w:spacing w:after="0" w:line="162"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Clinical Development of 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06</w:t>
      </w:r>
    </w:p>
    <w:p>
      <w:pPr>
        <w:spacing w:after="0" w:line="185" w:lineRule="exact"/>
        <w:rPr>
          <w:sz w:val="20"/>
          <w:szCs w:val="20"/>
          <w:color w:val="auto"/>
        </w:rPr>
      </w:pPr>
    </w:p>
    <w:p>
      <w:pPr>
        <w:jc w:val="both"/>
        <w:ind w:right="360" w:firstLine="648"/>
        <w:spacing w:after="0" w:line="194" w:lineRule="exact"/>
        <w:rPr>
          <w:sz w:val="20"/>
          <w:szCs w:val="20"/>
          <w:color w:val="auto"/>
        </w:rPr>
      </w:pPr>
      <w:r>
        <w:rPr>
          <w:rFonts w:ascii="Arial" w:cs="Arial" w:eastAsia="Arial" w:hAnsi="Arial"/>
          <w:sz w:val="18"/>
          <w:szCs w:val="18"/>
          <w:color w:val="auto"/>
        </w:rPr>
        <w:t>We are developing AXS</w:t>
      </w:r>
      <w:r>
        <w:rPr>
          <w:rFonts w:ascii="MS PGothic" w:cs="MS PGothic" w:eastAsia="MS PGothic" w:hAnsi="MS PGothic"/>
          <w:sz w:val="18"/>
          <w:szCs w:val="18"/>
          <w:color w:val="auto"/>
        </w:rPr>
        <w:t>‑</w:t>
      </w:r>
      <w:r>
        <w:rPr>
          <w:rFonts w:ascii="Arial" w:cs="Arial" w:eastAsia="Arial" w:hAnsi="Arial"/>
          <w:sz w:val="18"/>
          <w:szCs w:val="18"/>
          <w:color w:val="auto"/>
        </w:rPr>
        <w:t>06 and intend to seek FDA approval for the product utilizing the 505(b)(2) regulatory pathway. We have completed one Phase 1 pharmacokinetic clinical trial of AXS</w:t>
      </w:r>
      <w:r>
        <w:rPr>
          <w:rFonts w:ascii="MS PGothic" w:cs="MS PGothic" w:eastAsia="MS PGothic" w:hAnsi="MS PGothic"/>
          <w:sz w:val="18"/>
          <w:szCs w:val="18"/>
          <w:color w:val="auto"/>
        </w:rPr>
        <w:t>‑</w:t>
      </w:r>
      <w:r>
        <w:rPr>
          <w:rFonts w:ascii="Arial" w:cs="Arial" w:eastAsia="Arial" w:hAnsi="Arial"/>
          <w:sz w:val="18"/>
          <w:szCs w:val="18"/>
          <w:color w:val="auto"/>
        </w:rPr>
        <w:t>06 under a clinical trial application with Health Canada.</w:t>
      </w:r>
    </w:p>
    <w:p>
      <w:pPr>
        <w:spacing w:after="0" w:line="163" w:lineRule="exact"/>
        <w:rPr>
          <w:sz w:val="20"/>
          <w:szCs w:val="20"/>
          <w:color w:val="auto"/>
        </w:rPr>
      </w:pPr>
    </w:p>
    <w:p>
      <w:pPr>
        <w:ind w:firstLine="648"/>
        <w:spacing w:after="0" w:line="194" w:lineRule="exact"/>
        <w:rPr>
          <w:sz w:val="20"/>
          <w:szCs w:val="20"/>
          <w:color w:val="auto"/>
        </w:rPr>
      </w:pPr>
      <w:r>
        <w:rPr>
          <w:rFonts w:ascii="Arial" w:cs="Arial" w:eastAsia="Arial" w:hAnsi="Arial"/>
          <w:sz w:val="18"/>
          <w:szCs w:val="18"/>
          <w:color w:val="auto"/>
        </w:rPr>
        <w:t>We received written pre</w:t>
      </w:r>
      <w:r>
        <w:rPr>
          <w:rFonts w:ascii="MS PGothic" w:cs="MS PGothic" w:eastAsia="MS PGothic" w:hAnsi="MS PGothic"/>
          <w:sz w:val="18"/>
          <w:szCs w:val="18"/>
          <w:color w:val="auto"/>
        </w:rPr>
        <w:t>‑</w:t>
      </w:r>
      <w:r>
        <w:rPr>
          <w:rFonts w:ascii="Arial" w:cs="Arial" w:eastAsia="Arial" w:hAnsi="Arial"/>
          <w:sz w:val="18"/>
          <w:szCs w:val="18"/>
          <w:color w:val="auto"/>
        </w:rPr>
        <w:t>IND meeting guidance from the FDA in July 2017 on our clinical development plan for AXS</w:t>
      </w:r>
      <w:r>
        <w:rPr>
          <w:rFonts w:ascii="MS PGothic" w:cs="MS PGothic" w:eastAsia="MS PGothic" w:hAnsi="MS PGothic"/>
          <w:sz w:val="18"/>
          <w:szCs w:val="18"/>
          <w:color w:val="auto"/>
        </w:rPr>
        <w:t>‑</w:t>
      </w:r>
      <w:r>
        <w:rPr>
          <w:rFonts w:ascii="Arial" w:cs="Arial" w:eastAsia="Arial" w:hAnsi="Arial"/>
          <w:sz w:val="18"/>
          <w:szCs w:val="18"/>
          <w:color w:val="auto"/>
        </w:rPr>
        <w:t>06 in OA and RA. Based on that meeting, we intend to submit an IND to the FDA and we believe that AXS-06 is Phase 3-ready.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Completed Phase 1 Trial</w:t>
      </w:r>
    </w:p>
    <w:p>
      <w:pPr>
        <w:spacing w:after="0" w:line="185" w:lineRule="exact"/>
        <w:rPr>
          <w:sz w:val="20"/>
          <w:szCs w:val="20"/>
          <w:color w:val="auto"/>
        </w:rPr>
      </w:pPr>
    </w:p>
    <w:p>
      <w:pPr>
        <w:ind w:firstLine="648"/>
        <w:spacing w:after="0" w:line="223" w:lineRule="auto"/>
        <w:rPr>
          <w:sz w:val="20"/>
          <w:szCs w:val="20"/>
          <w:color w:val="auto"/>
        </w:rPr>
      </w:pPr>
      <w:r>
        <w:rPr>
          <w:rFonts w:ascii="Arial" w:cs="Arial" w:eastAsia="Arial" w:hAnsi="Arial"/>
          <w:sz w:val="16"/>
          <w:szCs w:val="16"/>
          <w:color w:val="auto"/>
        </w:rPr>
        <w:t>We conducted a Phase 1 trial to assess the fasting pharmacokinetics, pharmacodynamics, safety, and tolerability of orally administered MoSEIC meloxicam in combination with esomeprazole, our AXS-06 product candidate. Esomeprazole is a proton pump inhibitor which lowers stomach acidity and which has been shown to reduce the occurrence of NSAID-induced gastrointestinal ulcers. The trial was a randomized, parallel group trial to evaluate the pharmacokinetics and safety of meloxicam and esomeprazole after single and multiple dose administration of AXS-06 in healthy volunteers. A total of 30 subjects were randomly assigned in a 1:1:1 ratio to treatment with AXS-06 tablets (15 mg meloxicam, 40 mg esomeprazole), Mobic® tablets (15 mg meloxicam), or Nexium® capsules (40 mg esomeprazole), once daily for 6 days under fasting conditions. The primary endpoint was the T</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of meloxicam. Secondary endpoints included C</w:t>
      </w:r>
      <w:r>
        <w:rPr>
          <w:rFonts w:ascii="Arial" w:cs="Arial" w:eastAsia="Arial" w:hAnsi="Arial"/>
          <w:sz w:val="26"/>
          <w:szCs w:val="26"/>
          <w:color w:val="auto"/>
          <w:vertAlign w:val="subscript"/>
        </w:rPr>
        <w:t>max</w:t>
      </w:r>
      <w:r>
        <w:rPr>
          <w:rFonts w:ascii="Arial" w:cs="Arial" w:eastAsia="Arial" w:hAnsi="Arial"/>
          <w:sz w:val="16"/>
          <w:szCs w:val="16"/>
          <w:color w:val="auto"/>
        </w:rPr>
        <w:t>, time to half maximum</w:t>
      </w:r>
    </w:p>
    <w:p>
      <w:pPr>
        <w:spacing w:after="0"/>
        <w:rPr>
          <w:sz w:val="20"/>
          <w:szCs w:val="20"/>
          <w:color w:val="auto"/>
        </w:rPr>
      </w:pPr>
      <w:r>
        <w:rPr>
          <w:rFonts w:ascii="Arial" w:cs="Arial" w:eastAsia="Arial" w:hAnsi="Arial"/>
          <w:sz w:val="18"/>
          <w:szCs w:val="18"/>
          <w:color w:val="auto"/>
        </w:rPr>
        <w:t>concentration, and time to therapeutic concentration.</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median T</w:t>
      </w:r>
      <w:r>
        <w:rPr>
          <w:rFonts w:ascii="Arial" w:cs="Arial" w:eastAsia="Arial" w:hAnsi="Arial"/>
          <w:sz w:val="28"/>
          <w:szCs w:val="28"/>
          <w:color w:val="auto"/>
          <w:vertAlign w:val="subscript"/>
        </w:rPr>
        <w:t>max</w:t>
      </w:r>
      <w:r>
        <w:rPr>
          <w:rFonts w:ascii="Arial" w:cs="Arial" w:eastAsia="Arial" w:hAnsi="Arial"/>
          <w:sz w:val="17"/>
          <w:szCs w:val="17"/>
          <w:color w:val="auto"/>
        </w:rPr>
        <w:t xml:space="preserve"> for meloxicam, the trial’s primary endpoint, was 9 times faster for AXS-06 as compared to</w:t>
      </w:r>
    </w:p>
    <w:p>
      <w:pPr>
        <w:spacing w:after="0" w:line="53" w:lineRule="exact"/>
        <w:rPr>
          <w:sz w:val="20"/>
          <w:szCs w:val="20"/>
          <w:color w:val="auto"/>
        </w:rPr>
      </w:pPr>
    </w:p>
    <w:p>
      <w:pPr>
        <w:jc w:val="both"/>
        <w:ind w:right="120"/>
        <w:spacing w:after="0" w:line="201" w:lineRule="auto"/>
        <w:rPr>
          <w:sz w:val="20"/>
          <w:szCs w:val="20"/>
          <w:color w:val="auto"/>
        </w:rPr>
      </w:pPr>
      <w:r>
        <w:rPr>
          <w:rFonts w:ascii="Arial" w:cs="Arial" w:eastAsia="Arial" w:hAnsi="Arial"/>
          <w:sz w:val="16"/>
          <w:szCs w:val="16"/>
          <w:color w:val="auto"/>
        </w:rPr>
        <w:t>Mobic®, 0.5 hour versus 4.5 hours for AXS-06 and Mobic, respectively, p&lt;0.0001. AXS-06 also demonstrated higher mean C</w:t>
      </w:r>
      <w:r>
        <w:rPr>
          <w:rFonts w:ascii="Arial" w:cs="Arial" w:eastAsia="Arial" w:hAnsi="Arial"/>
          <w:sz w:val="26"/>
          <w:szCs w:val="26"/>
          <w:color w:val="auto"/>
          <w:vertAlign w:val="subscript"/>
        </w:rPr>
        <w:t>max</w:t>
      </w:r>
      <w:r>
        <w:rPr>
          <w:rFonts w:ascii="Arial" w:cs="Arial" w:eastAsia="Arial" w:hAnsi="Arial"/>
          <w:sz w:val="16"/>
          <w:szCs w:val="16"/>
          <w:color w:val="auto"/>
        </w:rPr>
        <w:t>, p=0.0018, faster time to therapeutic plasma concentration, p&lt;0.0001, and time to half-maximal plasma concentration,</w:t>
      </w:r>
    </w:p>
    <w:p>
      <w:pPr>
        <w:spacing w:after="0" w:line="1" w:lineRule="exact"/>
        <w:rPr>
          <w:sz w:val="20"/>
          <w:szCs w:val="20"/>
          <w:color w:val="auto"/>
        </w:rPr>
      </w:pPr>
    </w:p>
    <w:p>
      <w:pPr>
        <w:ind w:right="40"/>
        <w:spacing w:after="0" w:line="214" w:lineRule="auto"/>
        <w:rPr>
          <w:sz w:val="20"/>
          <w:szCs w:val="20"/>
          <w:color w:val="auto"/>
        </w:rPr>
      </w:pPr>
      <w:r>
        <w:rPr>
          <w:rFonts w:ascii="Arial" w:cs="Arial" w:eastAsia="Arial" w:hAnsi="Arial"/>
          <w:sz w:val="18"/>
          <w:szCs w:val="18"/>
          <w:color w:val="auto"/>
        </w:rPr>
        <w:t>p&lt;0.0001, as compared to Mobic®. Terminal half-lives for meloxicam were similar for AXS-06 and Mobic® at approximately 20 and 22 hours, respectively. Plasma concentrations and terminal half-lives of esomeprazole after AXS-06 and Nexium® administration were comparable. AXS-06 was well tolerated with reported adverse events being similar across the three treatment arms. There were no serious adverse events in the study.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Agreements</w:t>
      </w:r>
    </w:p>
    <w:p>
      <w:pPr>
        <w:spacing w:after="0" w:line="189" w:lineRule="exact"/>
        <w:rPr>
          <w:sz w:val="20"/>
          <w:szCs w:val="20"/>
          <w:color w:val="auto"/>
        </w:rPr>
      </w:pPr>
    </w:p>
    <w:p>
      <w:pPr>
        <w:ind w:right="180" w:firstLine="648"/>
        <w:spacing w:after="0" w:line="194" w:lineRule="exact"/>
        <w:rPr>
          <w:sz w:val="20"/>
          <w:szCs w:val="20"/>
          <w:color w:val="auto"/>
        </w:rPr>
      </w:pPr>
      <w:r>
        <w:rPr>
          <w:rFonts w:ascii="Arial" w:cs="Arial" w:eastAsia="Arial" w:hAnsi="Arial"/>
          <w:sz w:val="16"/>
          <w:szCs w:val="16"/>
          <w:color w:val="auto"/>
        </w:rPr>
        <w:t>We have customary clinical supply agreements and customary agreements with clinical research organizations to help manage our clinical trials. Each of our commercial agreements are non</w:t>
      </w:r>
      <w:r>
        <w:rPr>
          <w:rFonts w:ascii="MS PGothic" w:cs="MS PGothic" w:eastAsia="MS PGothic" w:hAnsi="MS PGothic"/>
          <w:sz w:val="16"/>
          <w:szCs w:val="16"/>
          <w:color w:val="auto"/>
        </w:rPr>
        <w:t>‑</w:t>
      </w:r>
      <w:r>
        <w:rPr>
          <w:rFonts w:ascii="Arial" w:cs="Arial" w:eastAsia="Arial" w:hAnsi="Arial"/>
          <w:sz w:val="16"/>
          <w:szCs w:val="16"/>
          <w:color w:val="auto"/>
        </w:rPr>
        <w:t>exclusive, and we have no material contractual obligations under such agreements, except to the extent we order supply or request services to be performed.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License Agreements</w:t>
      </w:r>
    </w:p>
    <w:p>
      <w:pPr>
        <w:spacing w:after="0" w:line="189" w:lineRule="exact"/>
        <w:rPr>
          <w:sz w:val="20"/>
          <w:szCs w:val="20"/>
          <w:color w:val="auto"/>
        </w:rPr>
      </w:pPr>
    </w:p>
    <w:p>
      <w:pPr>
        <w:ind w:right="100" w:firstLine="648"/>
        <w:spacing w:after="0" w:line="258" w:lineRule="auto"/>
        <w:rPr>
          <w:sz w:val="20"/>
          <w:szCs w:val="20"/>
          <w:color w:val="auto"/>
        </w:rPr>
      </w:pPr>
      <w:r>
        <w:rPr>
          <w:rFonts w:ascii="Arial" w:cs="Arial" w:eastAsia="Arial" w:hAnsi="Arial"/>
          <w:sz w:val="17"/>
          <w:szCs w:val="17"/>
          <w:color w:val="auto"/>
        </w:rPr>
        <w:t>In 2012, we entered into three exclusive license agreements with Antecip Bioventures II LLC, or Antecip, an entity owned by our Chief Executive Officer and Chairman of the Board, Herriot Tabuteau, M.D., in which we were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179" w:lineRule="exact"/>
        <w:rPr>
          <w:sz w:val="20"/>
          <w:szCs w:val="20"/>
          <w:color w:val="auto"/>
        </w:rPr>
      </w:pPr>
      <w:r>
        <w:rPr>
          <w:rFonts w:ascii="Arial" w:cs="Arial" w:eastAsia="Arial" w:hAnsi="Arial"/>
          <w:sz w:val="17"/>
          <w:szCs w:val="17"/>
          <w:color w:val="auto"/>
        </w:rPr>
        <w:t>granted exclusive licenses to develop, manufacture, and commercialize Antecip’s patents and applications related to the development of AXS</w:t>
      </w:r>
      <w:r>
        <w:rPr>
          <w:rFonts w:ascii="MS PGothic" w:cs="MS PGothic" w:eastAsia="MS PGothic" w:hAnsi="MS PGothic"/>
          <w:sz w:val="17"/>
          <w:szCs w:val="17"/>
          <w:color w:val="auto"/>
        </w:rPr>
        <w:t>‑</w:t>
      </w:r>
      <w:r>
        <w:rPr>
          <w:rFonts w:ascii="Arial" w:cs="Arial" w:eastAsia="Arial" w:hAnsi="Arial"/>
          <w:sz w:val="17"/>
          <w:szCs w:val="17"/>
          <w:color w:val="auto"/>
        </w:rPr>
        <w:t>05 and AXS</w:t>
      </w:r>
      <w:r>
        <w:rPr>
          <w:rFonts w:ascii="MS PGothic" w:cs="MS PGothic" w:eastAsia="MS PGothic" w:hAnsi="MS PGothic"/>
          <w:sz w:val="17"/>
          <w:szCs w:val="17"/>
          <w:color w:val="auto"/>
        </w:rPr>
        <w:t>‑</w:t>
      </w:r>
      <w:r>
        <w:rPr>
          <w:rFonts w:ascii="Arial" w:cs="Arial" w:eastAsia="Arial" w:hAnsi="Arial"/>
          <w:sz w:val="17"/>
          <w:szCs w:val="17"/>
          <w:color w:val="auto"/>
        </w:rPr>
        <w:t>02, as well as AXS</w:t>
      </w:r>
      <w:r>
        <w:rPr>
          <w:rFonts w:ascii="MS PGothic" w:cs="MS PGothic" w:eastAsia="MS PGothic" w:hAnsi="MS PGothic"/>
          <w:sz w:val="17"/>
          <w:szCs w:val="17"/>
          <w:color w:val="auto"/>
        </w:rPr>
        <w:t>‑</w:t>
      </w:r>
      <w:r>
        <w:rPr>
          <w:rFonts w:ascii="Arial" w:cs="Arial" w:eastAsia="Arial" w:hAnsi="Arial"/>
          <w:sz w:val="17"/>
          <w:szCs w:val="17"/>
          <w:color w:val="auto"/>
        </w:rPr>
        <w:t>04, a product candidate that is currently in early stage development, anywhere in the world for veterinary and human therapeutic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w:t>
      </w:r>
      <w:r>
        <w:rPr>
          <w:rFonts w:ascii="MS PGothic" w:cs="MS PGothic" w:eastAsia="MS PGothic" w:hAnsi="MS PGothic"/>
          <w:sz w:val="17"/>
          <w:szCs w:val="17"/>
          <w:color w:val="auto"/>
        </w:rPr>
        <w:t>‑</w:t>
      </w:r>
      <w:r>
        <w:rPr>
          <w:rFonts w:ascii="Arial" w:cs="Arial" w:eastAsia="Arial" w:hAnsi="Arial"/>
          <w:sz w:val="17"/>
          <w:szCs w:val="17"/>
          <w:color w:val="auto"/>
        </w:rPr>
        <w:t>05, AXS</w:t>
      </w:r>
      <w:r>
        <w:rPr>
          <w:rFonts w:ascii="MS PGothic" w:cs="MS PGothic" w:eastAsia="MS PGothic" w:hAnsi="MS PGothic"/>
          <w:sz w:val="17"/>
          <w:szCs w:val="17"/>
          <w:color w:val="auto"/>
        </w:rPr>
        <w:t>‑</w:t>
      </w:r>
      <w:r>
        <w:rPr>
          <w:rFonts w:ascii="Arial" w:cs="Arial" w:eastAsia="Arial" w:hAnsi="Arial"/>
          <w:sz w:val="17"/>
          <w:szCs w:val="17"/>
          <w:color w:val="auto"/>
        </w:rPr>
        <w:t>02, and AXS</w:t>
      </w:r>
      <w:r>
        <w:rPr>
          <w:rFonts w:ascii="MS PGothic" w:cs="MS PGothic" w:eastAsia="MS PGothic" w:hAnsi="MS PGothic"/>
          <w:sz w:val="17"/>
          <w:szCs w:val="17"/>
          <w:color w:val="auto"/>
        </w:rPr>
        <w:t>‑</w:t>
      </w:r>
      <w:r>
        <w:rPr>
          <w:rFonts w:ascii="Arial" w:cs="Arial" w:eastAsia="Arial" w:hAnsi="Arial"/>
          <w:sz w:val="17"/>
          <w:szCs w:val="17"/>
          <w:color w:val="auto"/>
        </w:rPr>
        <w:t>04. Under the terms of the agreements, we are required to pay to Antecip a royalty equal to 4.5% for AXS</w:t>
      </w:r>
      <w:r>
        <w:rPr>
          <w:rFonts w:ascii="MS PGothic" w:cs="MS PGothic" w:eastAsia="MS PGothic" w:hAnsi="MS PGothic"/>
          <w:sz w:val="17"/>
          <w:szCs w:val="17"/>
          <w:color w:val="auto"/>
        </w:rPr>
        <w:t>‑</w:t>
      </w:r>
      <w:r>
        <w:rPr>
          <w:rFonts w:ascii="Arial" w:cs="Arial" w:eastAsia="Arial" w:hAnsi="Arial"/>
          <w:sz w:val="17"/>
          <w:szCs w:val="17"/>
          <w:color w:val="auto"/>
        </w:rPr>
        <w:t>02, 3.0% for AXS</w:t>
      </w:r>
      <w:r>
        <w:rPr>
          <w:rFonts w:ascii="MS PGothic" w:cs="MS PGothic" w:eastAsia="MS PGothic" w:hAnsi="MS PGothic"/>
          <w:sz w:val="17"/>
          <w:szCs w:val="17"/>
          <w:color w:val="auto"/>
        </w:rPr>
        <w:t>‑</w:t>
      </w:r>
      <w:r>
        <w:rPr>
          <w:rFonts w:ascii="Arial" w:cs="Arial" w:eastAsia="Arial" w:hAnsi="Arial"/>
          <w:sz w:val="17"/>
          <w:szCs w:val="17"/>
          <w:color w:val="auto"/>
        </w:rPr>
        <w:t>05, and 1.5% for AXS</w:t>
      </w:r>
      <w:r>
        <w:rPr>
          <w:rFonts w:ascii="MS PGothic" w:cs="MS PGothic" w:eastAsia="MS PGothic" w:hAnsi="MS PGothic"/>
          <w:sz w:val="17"/>
          <w:szCs w:val="17"/>
          <w:color w:val="auto"/>
        </w:rPr>
        <w:t>‑</w:t>
      </w:r>
      <w:r>
        <w:rPr>
          <w:rFonts w:ascii="Arial" w:cs="Arial" w:eastAsia="Arial" w:hAnsi="Arial"/>
          <w:sz w:val="17"/>
          <w:szCs w:val="17"/>
          <w:color w:val="auto"/>
        </w:rPr>
        <w:t>04,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product and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w:t>
      </w:r>
      <w:r>
        <w:rPr>
          <w:rFonts w:ascii="MS PGothic" w:cs="MS PGothic" w:eastAsia="MS PGothic" w:hAnsi="MS PGothic"/>
          <w:sz w:val="17"/>
          <w:szCs w:val="17"/>
          <w:color w:val="auto"/>
        </w:rPr>
        <w:t>‑</w:t>
      </w:r>
      <w:r>
        <w:rPr>
          <w:rFonts w:ascii="Arial" w:cs="Arial" w:eastAsia="Arial" w:hAnsi="Arial"/>
          <w:sz w:val="17"/>
          <w:szCs w:val="17"/>
          <w:color w:val="auto"/>
        </w:rPr>
        <w:t>up, royalty</w:t>
      </w:r>
      <w:r>
        <w:rPr>
          <w:rFonts w:ascii="MS PGothic" w:cs="MS PGothic" w:eastAsia="MS PGothic" w:hAnsi="MS PGothic"/>
          <w:sz w:val="17"/>
          <w:szCs w:val="17"/>
          <w:color w:val="auto"/>
        </w:rPr>
        <w:t>‑</w:t>
      </w:r>
      <w:r>
        <w:rPr>
          <w:rFonts w:ascii="Arial" w:cs="Arial" w:eastAsia="Arial" w:hAnsi="Arial"/>
          <w:sz w:val="17"/>
          <w:szCs w:val="17"/>
          <w:color w:val="auto"/>
        </w:rPr>
        <w:t>free, perpetual non</w:t>
      </w:r>
      <w:r>
        <w:rPr>
          <w:rFonts w:ascii="MS PGothic" w:cs="MS PGothic" w:eastAsia="MS PGothic" w:hAnsi="MS PGothic"/>
          <w:sz w:val="17"/>
          <w:szCs w:val="17"/>
          <w:color w:val="auto"/>
        </w:rPr>
        <w:t>‑</w:t>
      </w:r>
      <w:r>
        <w:rPr>
          <w:rFonts w:ascii="Arial" w:cs="Arial" w:eastAsia="Arial" w:hAnsi="Arial"/>
          <w:sz w:val="17"/>
          <w:szCs w:val="17"/>
          <w:color w:val="auto"/>
        </w:rPr>
        <w:t>exclusive license. If Antecip terminates any of the agreements for cause, or if we exercise our right to terminate any of the agreements for convenience, the rights granted to us under such terminated agreement will revert to Antecip. To date, we have not been required to make any payments to Antecip under any of the license agreements.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ind w:right="180" w:firstLine="648"/>
        <w:spacing w:after="0" w:line="185" w:lineRule="exact"/>
        <w:rPr>
          <w:sz w:val="20"/>
          <w:szCs w:val="20"/>
          <w:color w:val="auto"/>
        </w:rPr>
      </w:pPr>
      <w:r>
        <w:rPr>
          <w:rFonts w:ascii="Arial" w:cs="Arial" w:eastAsia="Arial" w:hAnsi="Arial"/>
          <w:sz w:val="17"/>
          <w:szCs w:val="17"/>
          <w:color w:val="auto"/>
        </w:rPr>
        <w:t>We seek to protect our product candidates and our technology through a combination of patents, trade secrets, proprietary know</w:t>
      </w:r>
      <w:r>
        <w:rPr>
          <w:rFonts w:ascii="MS PGothic" w:cs="MS PGothic" w:eastAsia="MS PGothic" w:hAnsi="MS PGothic"/>
          <w:sz w:val="17"/>
          <w:szCs w:val="17"/>
          <w:color w:val="auto"/>
        </w:rPr>
        <w:t>‑</w:t>
      </w:r>
      <w:r>
        <w:rPr>
          <w:rFonts w:ascii="Arial" w:cs="Arial" w:eastAsia="Arial" w:hAnsi="Arial"/>
          <w:sz w:val="17"/>
          <w:szCs w:val="17"/>
          <w:color w:val="auto"/>
        </w:rPr>
        <w:t>how, FDA and EMA exclusivity, and contractual restrictions on disclosure. Our policy is to pursue, maintain, and defend patent rights whether developed internally or licensed from third parties and to protect the proprietary position of our product candidates by, among other methods, filing U.S. and foreign patent applications related to our proprietary technology, inventions, and improvements that are important to the development of our business. U.S. patents generally have a term of 20 years from the earliest effective date of the application.</w:t>
      </w:r>
    </w:p>
    <w:p>
      <w:pPr>
        <w:spacing w:after="0" w:line="165" w:lineRule="exact"/>
        <w:rPr>
          <w:sz w:val="20"/>
          <w:szCs w:val="20"/>
          <w:color w:val="auto"/>
        </w:rPr>
      </w:pPr>
    </w:p>
    <w:p>
      <w:pPr>
        <w:ind w:right="60" w:firstLine="648"/>
        <w:spacing w:after="0" w:line="180" w:lineRule="exact"/>
        <w:rPr>
          <w:sz w:val="20"/>
          <w:szCs w:val="20"/>
          <w:color w:val="auto"/>
        </w:rPr>
      </w:pPr>
      <w:r>
        <w:rPr>
          <w:rFonts w:ascii="Arial" w:cs="Arial" w:eastAsia="Arial" w:hAnsi="Arial"/>
          <w:sz w:val="16"/>
          <w:szCs w:val="16"/>
          <w:color w:val="auto"/>
        </w:rPr>
        <w:t>As of February 20, 2018, our intellectual property portfolio contains 100 issued patents and more than 80 pending applications in the United States and worldwide. 24 issued patents covering our AXS</w:t>
      </w:r>
      <w:r>
        <w:rPr>
          <w:rFonts w:ascii="MS PGothic" w:cs="MS PGothic" w:eastAsia="MS PGothic" w:hAnsi="MS PGothic"/>
          <w:sz w:val="16"/>
          <w:szCs w:val="16"/>
          <w:color w:val="auto"/>
        </w:rPr>
        <w:t>‑</w:t>
      </w:r>
      <w:r>
        <w:rPr>
          <w:rFonts w:ascii="Arial" w:cs="Arial" w:eastAsia="Arial" w:hAnsi="Arial"/>
          <w:sz w:val="16"/>
          <w:szCs w:val="16"/>
          <w:color w:val="auto"/>
        </w:rPr>
        <w:t>05 product candidate have claims covering pharmaceutical composition, drug delivery, and pharmacokinetics with protection extending through 2034 for our issued and pending applications. 75 issued patents covering our AXS</w:t>
      </w:r>
      <w:r>
        <w:rPr>
          <w:rFonts w:ascii="MS PGothic" w:cs="MS PGothic" w:eastAsia="MS PGothic" w:hAnsi="MS PGothic"/>
          <w:sz w:val="16"/>
          <w:szCs w:val="16"/>
          <w:color w:val="auto"/>
        </w:rPr>
        <w:t>‑</w:t>
      </w:r>
      <w:r>
        <w:rPr>
          <w:rFonts w:ascii="Arial" w:cs="Arial" w:eastAsia="Arial" w:hAnsi="Arial"/>
          <w:sz w:val="16"/>
          <w:szCs w:val="16"/>
          <w:color w:val="auto"/>
        </w:rPr>
        <w:t>02 product candidate, and related compounds, have claims covering various aspects, including method of delivery, pharmacokinetics, composition of matter, and methods of use with protection extending through 2034 for both our issued patents and pending applications. One issued patent covering our AXS</w:t>
      </w:r>
      <w:r>
        <w:rPr>
          <w:rFonts w:ascii="MS PGothic" w:cs="MS PGothic" w:eastAsia="MS PGothic" w:hAnsi="MS PGothic"/>
          <w:sz w:val="16"/>
          <w:szCs w:val="16"/>
          <w:color w:val="auto"/>
        </w:rPr>
        <w:t>‑</w:t>
      </w:r>
      <w:r>
        <w:rPr>
          <w:rFonts w:ascii="Arial" w:cs="Arial" w:eastAsia="Arial" w:hAnsi="Arial"/>
          <w:sz w:val="16"/>
          <w:szCs w:val="16"/>
          <w:color w:val="auto"/>
        </w:rPr>
        <w:t>07 and AXS-06 product candidates, and related compounds, has claims covering various aspects, including pharmacokinetics, pharmaceutical composition, method of delivery and methods of use with protection extending through 2036 for both our issued patents and pending applications. We have pending PCT applications, as well as pending applications in Australia, Canada, China, Europe, Hong Kong, Japan, South Korea, and New Zealand. We have other patent applications with claims covering the other programs in our pipeline, including those that are not relevant to our current programs in development. We have licensed the patents and pending applications which cover AXS</w:t>
      </w:r>
      <w:r>
        <w:rPr>
          <w:rFonts w:ascii="MS PGothic" w:cs="MS PGothic" w:eastAsia="MS PGothic" w:hAnsi="MS PGothic"/>
          <w:sz w:val="16"/>
          <w:szCs w:val="16"/>
          <w:color w:val="auto"/>
        </w:rPr>
        <w:t>‑</w:t>
      </w:r>
      <w:r>
        <w:rPr>
          <w:rFonts w:ascii="Arial" w:cs="Arial" w:eastAsia="Arial" w:hAnsi="Arial"/>
          <w:sz w:val="16"/>
          <w:szCs w:val="16"/>
          <w:color w:val="auto"/>
        </w:rPr>
        <w:t>02, AXS</w:t>
      </w:r>
      <w:r>
        <w:rPr>
          <w:rFonts w:ascii="MS PGothic" w:cs="MS PGothic" w:eastAsia="MS PGothic" w:hAnsi="MS PGothic"/>
          <w:sz w:val="16"/>
          <w:szCs w:val="16"/>
          <w:color w:val="auto"/>
        </w:rPr>
        <w:t>‑</w:t>
      </w:r>
      <w:r>
        <w:rPr>
          <w:rFonts w:ascii="Arial" w:cs="Arial" w:eastAsia="Arial" w:hAnsi="Arial"/>
          <w:sz w:val="16"/>
          <w:szCs w:val="16"/>
          <w:color w:val="auto"/>
        </w:rPr>
        <w:t>04, and AXS</w:t>
      </w:r>
      <w:r>
        <w:rPr>
          <w:rFonts w:ascii="MS PGothic" w:cs="MS PGothic" w:eastAsia="MS PGothic" w:hAnsi="MS PGothic"/>
          <w:sz w:val="16"/>
          <w:szCs w:val="16"/>
          <w:color w:val="auto"/>
        </w:rPr>
        <w:t>‑</w:t>
      </w:r>
      <w:r>
        <w:rPr>
          <w:rFonts w:ascii="Arial" w:cs="Arial" w:eastAsia="Arial" w:hAnsi="Arial"/>
          <w:sz w:val="16"/>
          <w:szCs w:val="16"/>
          <w:color w:val="auto"/>
        </w:rPr>
        <w:t>05 from Antecip. All of the other components of our intellectual property portfolio are owned by Axsome.</w:t>
      </w:r>
    </w:p>
    <w:p>
      <w:pPr>
        <w:spacing w:after="0" w:line="166" w:lineRule="exact"/>
        <w:rPr>
          <w:sz w:val="20"/>
          <w:szCs w:val="20"/>
          <w:color w:val="auto"/>
        </w:rPr>
      </w:pPr>
    </w:p>
    <w:p>
      <w:pPr>
        <w:ind w:right="40" w:firstLine="648"/>
        <w:spacing w:after="0" w:line="180" w:lineRule="exact"/>
        <w:rPr>
          <w:sz w:val="20"/>
          <w:szCs w:val="20"/>
          <w:color w:val="auto"/>
        </w:rPr>
      </w:pPr>
      <w:r>
        <w:rPr>
          <w:rFonts w:ascii="Arial" w:cs="Arial" w:eastAsia="Arial" w:hAnsi="Arial"/>
          <w:sz w:val="17"/>
          <w:szCs w:val="17"/>
          <w:color w:val="auto"/>
        </w:rPr>
        <w:t>Many pharmaceutical companies, biotechnology companies, and academic institutions are competing with us in the field of pain and CNS disorders and filing patent applications potentially relevant to our business. In order to contend with the inevitable possibility of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conflicts, from time to time we review and assess the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landscape for competitive and other developments that may inform or impact our intellectual property development and commercialization strategies. With respect to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it is impossible to establish with certainty that our product candidates or discovery platform will be free of claims by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holders or whether we will require licenses from such third parties. Even with modern databases and on</w:t>
      </w:r>
      <w:r>
        <w:rPr>
          <w:rFonts w:ascii="MS PGothic" w:cs="MS PGothic" w:eastAsia="MS PGothic" w:hAnsi="MS PGothic"/>
          <w:sz w:val="17"/>
          <w:szCs w:val="17"/>
          <w:color w:val="auto"/>
        </w:rPr>
        <w:t>‑</w:t>
      </w:r>
      <w:r>
        <w:rPr>
          <w:rFonts w:ascii="Arial" w:cs="Arial" w:eastAsia="Arial" w:hAnsi="Arial"/>
          <w:sz w:val="17"/>
          <w:szCs w:val="17"/>
          <w:color w:val="auto"/>
        </w:rPr>
        <w:t>line search engines, literature searches are imperfect and may fail to identify relevant patents and published applications. Even when a third</w:t>
      </w:r>
      <w:r>
        <w:rPr>
          <w:rFonts w:ascii="MS PGothic" w:cs="MS PGothic" w:eastAsia="MS PGothic" w:hAnsi="MS PGothic"/>
          <w:sz w:val="17"/>
          <w:szCs w:val="17"/>
          <w:color w:val="auto"/>
        </w:rPr>
        <w:t>‑</w:t>
      </w:r>
      <w:r>
        <w:rPr>
          <w:rFonts w:ascii="Arial" w:cs="Arial" w:eastAsia="Arial" w:hAnsi="Arial"/>
          <w:sz w:val="17"/>
          <w:szCs w:val="17"/>
          <w:color w:val="auto"/>
        </w:rPr>
        <w:t>party patent is identified, we may conclude, upon a thorough analysis, that we do not infringe the patent or that the patent is invalid. If the third</w:t>
      </w:r>
      <w:r>
        <w:rPr>
          <w:rFonts w:ascii="MS PGothic" w:cs="MS PGothic" w:eastAsia="MS PGothic" w:hAnsi="MS PGothic"/>
          <w:sz w:val="17"/>
          <w:szCs w:val="17"/>
          <w:color w:val="auto"/>
        </w:rPr>
        <w:t>‑</w:t>
      </w:r>
      <w:r>
        <w:rPr>
          <w:rFonts w:ascii="Arial" w:cs="Arial" w:eastAsia="Arial" w:hAnsi="Arial"/>
          <w:sz w:val="17"/>
          <w:szCs w:val="17"/>
          <w:color w:val="auto"/>
        </w:rPr>
        <w:t>party patent owner disagrees with our conclusion and we continue with the business activity in question, we might have patent litigation forced upon us. Alternatively, we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179" w:lineRule="exact"/>
        <w:rPr>
          <w:sz w:val="20"/>
          <w:szCs w:val="20"/>
          <w:color w:val="auto"/>
        </w:rPr>
      </w:pPr>
      <w:r>
        <w:rPr>
          <w:rFonts w:ascii="Arial" w:cs="Arial" w:eastAsia="Arial" w:hAnsi="Arial"/>
          <w:sz w:val="17"/>
          <w:szCs w:val="17"/>
          <w:color w:val="auto"/>
        </w:rPr>
        <w:t>might decide to initiate litigation in an attempt to have a court declare the third</w:t>
      </w:r>
      <w:r>
        <w:rPr>
          <w:rFonts w:ascii="MS PGothic" w:cs="MS PGothic" w:eastAsia="MS PGothic" w:hAnsi="MS PGothic"/>
          <w:sz w:val="17"/>
          <w:szCs w:val="17"/>
          <w:color w:val="auto"/>
        </w:rPr>
        <w:t>‑</w:t>
      </w:r>
      <w:r>
        <w:rPr>
          <w:rFonts w:ascii="Arial" w:cs="Arial" w:eastAsia="Arial" w:hAnsi="Arial"/>
          <w:sz w:val="17"/>
          <w:szCs w:val="17"/>
          <w:color w:val="auto"/>
        </w:rPr>
        <w:t>party patent invalid or not infringed by our activity. In either scenario, patent litigation typically is costly and time consuming, and the outcome is uncertain. The outcome of patent litigation is subject to uncertainties that cannot be quantified in advance, for example, the credibility of expert witnesses who may disagree on technical interpretation of scientific data. Ultimately, in the case of an adverse outcome in litigation, we could be prevented from commercializing a product or using certain aspects of our discovery platform as a result of patent infringement claims asserted against us. This could have a material adverse effect on our business. In addition to patents, we rely upon unpatented trade secrets, know</w:t>
      </w:r>
      <w:r>
        <w:rPr>
          <w:rFonts w:ascii="MS PGothic" w:cs="MS PGothic" w:eastAsia="MS PGothic" w:hAnsi="MS PGothic"/>
          <w:sz w:val="17"/>
          <w:szCs w:val="17"/>
          <w:color w:val="auto"/>
        </w:rPr>
        <w:t>‑</w:t>
      </w:r>
      <w:r>
        <w:rPr>
          <w:rFonts w:ascii="Arial" w:cs="Arial" w:eastAsia="Arial" w:hAnsi="Arial"/>
          <w:sz w:val="17"/>
          <w:szCs w:val="17"/>
          <w:color w:val="auto"/>
        </w:rPr>
        <w:t>how, and continuing technological innovation to develop and maintain a competitive position. We seek to protect our proprietary information, including our trade secrets and proprietary know</w:t>
      </w:r>
      <w:r>
        <w:rPr>
          <w:rFonts w:ascii="MS PGothic" w:cs="MS PGothic" w:eastAsia="MS PGothic" w:hAnsi="MS PGothic"/>
          <w:sz w:val="17"/>
          <w:szCs w:val="17"/>
          <w:color w:val="auto"/>
        </w:rPr>
        <w:t>‑</w:t>
      </w:r>
      <w:r>
        <w:rPr>
          <w:rFonts w:ascii="Arial" w:cs="Arial" w:eastAsia="Arial" w:hAnsi="Arial"/>
          <w:sz w:val="17"/>
          <w:szCs w:val="17"/>
          <w:color w:val="auto"/>
        </w:rPr>
        <w:t>how, by requiring our employees to execute Proprietary Information, Inventions, Non</w:t>
      </w:r>
      <w:r>
        <w:rPr>
          <w:rFonts w:ascii="MS PGothic" w:cs="MS PGothic" w:eastAsia="MS PGothic" w:hAnsi="MS PGothic"/>
          <w:sz w:val="17"/>
          <w:szCs w:val="17"/>
          <w:color w:val="auto"/>
        </w:rPr>
        <w:t>‑</w:t>
      </w:r>
      <w:r>
        <w:rPr>
          <w:rFonts w:ascii="Arial" w:cs="Arial" w:eastAsia="Arial" w:hAnsi="Arial"/>
          <w:sz w:val="17"/>
          <w:szCs w:val="17"/>
          <w:color w:val="auto"/>
        </w:rPr>
        <w:t>Solicitation, and Non</w:t>
      </w:r>
      <w:r>
        <w:rPr>
          <w:rFonts w:ascii="MS PGothic" w:cs="MS PGothic" w:eastAsia="MS PGothic" w:hAnsi="MS PGothic"/>
          <w:sz w:val="17"/>
          <w:szCs w:val="17"/>
          <w:color w:val="auto"/>
        </w:rPr>
        <w:t>‑</w:t>
      </w:r>
      <w:r>
        <w:rPr>
          <w:rFonts w:ascii="Arial" w:cs="Arial" w:eastAsia="Arial" w:hAnsi="Arial"/>
          <w:sz w:val="17"/>
          <w:szCs w:val="17"/>
          <w:color w:val="auto"/>
        </w:rPr>
        <w:t>Competition Agreements upon the commencement of their employment. Consultants and other advisors are required to sign consulting agreements. These agreements generally provide that all confidential information developed or made known during the course of the relationship with us be kept confidential and not be disclosed to third parties except in specific circumstances. In the case of our employees, the agreements also typically provide that all inventions resulting from work performed for us, utilizing our property, or relating to our business and conceived or completed during employment shall be our exclusive property to the extent permitted by law. Further, we require confidentiality agreements from entities that receive our confidential data or materials.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9" w:lineRule="exact"/>
        <w:rPr>
          <w:sz w:val="20"/>
          <w:szCs w:val="20"/>
          <w:color w:val="auto"/>
        </w:rPr>
      </w:pPr>
    </w:p>
    <w:p>
      <w:pPr>
        <w:ind w:right="40" w:firstLine="648"/>
        <w:spacing w:after="0" w:line="180" w:lineRule="exact"/>
        <w:rPr>
          <w:sz w:val="20"/>
          <w:szCs w:val="20"/>
          <w:color w:val="auto"/>
        </w:rPr>
      </w:pPr>
      <w:r>
        <w:rPr>
          <w:rFonts w:ascii="Arial" w:cs="Arial" w:eastAsia="Arial" w:hAnsi="Arial"/>
          <w:sz w:val="17"/>
          <w:szCs w:val="17"/>
          <w:color w:val="auto"/>
        </w:rPr>
        <w:t>We intend to build a commercial infrastructure in the United States in advance of anticipated drug approval of our product candidates. We believe that we can cost</w:t>
      </w:r>
      <w:r>
        <w:rPr>
          <w:rFonts w:ascii="MS PGothic" w:cs="MS PGothic" w:eastAsia="MS PGothic" w:hAnsi="MS PGothic"/>
          <w:sz w:val="17"/>
          <w:szCs w:val="17"/>
          <w:color w:val="auto"/>
        </w:rPr>
        <w:t>‑</w:t>
      </w:r>
      <w:r>
        <w:rPr>
          <w:rFonts w:ascii="Arial" w:cs="Arial" w:eastAsia="Arial" w:hAnsi="Arial"/>
          <w:sz w:val="17"/>
          <w:szCs w:val="17"/>
          <w:color w:val="auto"/>
        </w:rPr>
        <w:t>effectively implement a targeted sales force required to commercialize our products, if approved, in the United States for the treatment of the pain of knee OA associated with BMLs, and CLBP associated with MCs. Support for this team will include sales management, internal sales support, distribution support, and an internal marketing group. Additional requisite capabilities will include focused management of key accounts such as managed care organizations, group purchasing organizations, and government accounts. We may seek co</w:t>
      </w:r>
      <w:r>
        <w:rPr>
          <w:rFonts w:ascii="MS PGothic" w:cs="MS PGothic" w:eastAsia="MS PGothic" w:hAnsi="MS PGothic"/>
          <w:sz w:val="17"/>
          <w:szCs w:val="17"/>
          <w:color w:val="auto"/>
        </w:rPr>
        <w:t>‑</w:t>
      </w:r>
      <w:r>
        <w:rPr>
          <w:rFonts w:ascii="Arial" w:cs="Arial" w:eastAsia="Arial" w:hAnsi="Arial"/>
          <w:sz w:val="17"/>
          <w:szCs w:val="17"/>
          <w:color w:val="auto"/>
        </w:rPr>
        <w:t>promotion partners for our sales efforts to reach other United States physician groups, such as primary care physicians. We believe that there are significant market opportunities for our products outside of the United States. As a result, we plan to seek strategic partnerships with third parties, which may have greater reach and resources by virtue of their size and experience in the field, for the development and commercialization of our products outside the United States. We may elect in the future to utilize strategic partners, distributors, or contract sales forces to assist in the commercialization of our products. In order to implement this infrastructure, we will have to allocate management resources and make significant financial investments including some prior to product approval.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Advisors</w:t>
      </w:r>
    </w:p>
    <w:p>
      <w:pPr>
        <w:spacing w:after="0" w:line="189"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In March 2015, we formed a Depression Scientific Advisory Board, or SAB, composed of leading experts in the areas of depression, FDA regulations, and clinical trial design. These experts provide key scientific, clinical, and strategic guidance concerning our development programs in depression and other CNS disorders. The following members were appointed to our Depression SAB: Maurizio Fava, M.D., Director of the Clinical Research Program and Executive Vice Chair of the Department of Psychiatry at Massachusetts General Hospital, and Slater Family Professor of Psychiatry at Harvard Medical School; Thomas Laughren, M.D., retired Division Director of the FDA’s Division of Psychiatry Products; and Dan Iosifescu, M.D., Associate Professor, Department of Psychiatry at NYU Langone Medical Center, and Consultant in Psychiatry at Massachusetts General Hospital. We also benefit from the guidance of our other scientific advisors in the areas of AD, smoking cessation, migraine, knee OA, CLBP, and clinical trial design.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6"/>
          <w:szCs w:val="16"/>
          <w:color w:val="auto"/>
        </w:rPr>
        <w:t>Our industry is highly competitive and subject to rapid and significant technological change. The large size and expanding scope of the pain and CNS markets make them attractive therapeutic areas for biopharmaceutical businesses. Our potential competitors include pharmaceutical, biotechnology, and specialty pharmaceutical companies. While we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179" w:lineRule="exact"/>
        <w:rPr>
          <w:sz w:val="20"/>
          <w:szCs w:val="20"/>
          <w:color w:val="auto"/>
        </w:rPr>
      </w:pPr>
      <w:r>
        <w:rPr>
          <w:rFonts w:ascii="Arial" w:cs="Arial" w:eastAsia="Arial" w:hAnsi="Arial"/>
          <w:sz w:val="16"/>
          <w:szCs w:val="16"/>
          <w:color w:val="auto"/>
        </w:rPr>
        <w:t>believe that our employees and consultants, scientific knowledge, technology, and development experience provide us with competitive advantages, we face potential competition from many different sources, including major pharmaceutical, specialty pharmaceutical, and biotechnology companies, academic institutions and governmental agencies, and public and private research institutions. Several of these entities have robust drug pipelines, readily available capital, and established research and development organizations. Any product candidates that we successfully develop and commercialize will compete with existing therapies and new therapies that may become available in the future. Many of our competitors may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diagnostic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Small or early stage companies may also prove to be significant competitors, particularly through collaborative arrangements with large and established companies. The key competitive factors affecting the success of all of our product candidates, if approved, are likely to be their efficacy, safety, convenience, price, the level of branded and generic competition, and the availability of reimbursement from government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w:t>
      </w:r>
    </w:p>
    <w:p>
      <w:pPr>
        <w:spacing w:after="0" w:line="16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02 Competition</w:t>
      </w:r>
    </w:p>
    <w:p>
      <w:pPr>
        <w:spacing w:after="0" w:line="185"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Companies working to develop therapeutics for the treatment of pain associated with knee OA include Carbylan Therapeutics, Inc.; Flexion Therapeutics, Inc.; and Levolta Pharmaceuticals, Inc., which is developing an IV zoledronic acid product for the treatment of knee OA. We are aware of one company attempting to develop oral dosage forms of zoledronic acid for various indications, Grunenthal GmbH.</w:t>
      </w:r>
    </w:p>
    <w:p>
      <w:pPr>
        <w:spacing w:after="0" w:line="16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05 Competition</w:t>
      </w:r>
    </w:p>
    <w:p>
      <w:pPr>
        <w:spacing w:after="0" w:line="185"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There is one product approved for the treatment of TRD, Symbyax, which is marketed by Eli Lilly and Company. In addition, Otsuka Pharmaceutical Co. Ltd. is working to develop a combination of DM and quinidine for the treatment of TRD. We are aware of several other companies developing compounds for the treatment of TRD including Alkermes plc; Allergan plc; and Janssen Research &amp; Development, LLC. We are aware of other companies working to develop therapeutics for the treatment of agitation associated with AD, including Otsuka Pharmaceutical Co. Ltd., which is working to develop a combination of DM and quinidine in this indication; Acadia Pharmaceuticals; and Transition Therapeutics Inc. Products approved for smoking cessation include Chantix, which is marketed by Pfizer, Inc., Zyban, which is marketed by GlaxoSmithKline, and various nicotine replacement therapies including skin patches, chewing gum, and lozenges.</w:t>
      </w:r>
    </w:p>
    <w:p>
      <w:pPr>
        <w:spacing w:after="0" w:line="16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07 Competition</w:t>
      </w:r>
    </w:p>
    <w:p>
      <w:pPr>
        <w:spacing w:after="0" w:line="185"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There are a number of products approved for the treatment of migraine including Maxalt, which is marketed by Merck &amp; Co., Inc. and Treximet, which is marketed by GlaxoSmithKline. We are aware of several companies developing compounds for the treatment of migraine including Alder BioPharmaceuticals, Inc., Allergan plc, Amgen Inc., and Eli Lilly and Company.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89"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Manufacturing of drugs and product candidates are done by third-parties and manufacturing of both drug substance and drug product must comply with FDA current good manufacturing practice, or cGMP, regulations. Our product candidates comprise synthetic small molecules made through a series of organic chemistry steps starting with commercially available organic chemical raw materials. We do not currently own or operate any manufacturing facilities for the clinical or commercial production of our drug candidates. We conduct manufacturing activities under individual purchase orders with independent contract manufacturing organizations, or CMOs, to supply our clinical trials. We conduct periodic quality audits of their facilities. We believe that our existing suppliers of our product candidate active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pharmaceutical ingredients and finished products will be capable of providing sufficient quantities of each to meet our clinical trial supply needs. Other CMOs may be used in the future for clinical supplies and, subject to approval, commercial manufacturing.</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89"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extensively regulate, among other things, the research, development, testing, manufacture, packaging, storage, recordkeeping, labeling, advertising, promotion, distribution, marketing, import, and export of pharmaceutical products such as those we are developing. In addition, manufacturers of pharmaceutical products participating in Medicaid and Medicare are required to comply with mandatory price reporting, discount, and rebate requirements, including anti-inflation penalties. Some states also have enacted price transparency requirements. The processes for obtaining regulatory approvals in the United States and in foreign countries, along with subsequent compliance with applicable statutes and regulations, require the expenditure of substantial time and financial resources.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w:t>
      </w:r>
    </w:p>
    <w:p>
      <w:pPr>
        <w:spacing w:after="0" w:line="185" w:lineRule="exact"/>
        <w:rPr>
          <w:sz w:val="20"/>
          <w:szCs w:val="20"/>
          <w:color w:val="auto"/>
        </w:rPr>
      </w:pPr>
    </w:p>
    <w:p>
      <w:pPr>
        <w:ind w:right="40" w:firstLine="648"/>
        <w:spacing w:after="0" w:line="224" w:lineRule="auto"/>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The process required by the FDA before product candidates may be marketed in the United States generally involves the following:</w:t>
      </w:r>
    </w:p>
    <w:p>
      <w:pPr>
        <w:spacing w:after="0" w:line="163" w:lineRule="exact"/>
        <w:rPr>
          <w:sz w:val="20"/>
          <w:szCs w:val="20"/>
          <w:color w:val="auto"/>
        </w:rPr>
      </w:pPr>
    </w:p>
    <w:p>
      <w:pPr>
        <w:ind w:left="980" w:right="40" w:hanging="329"/>
        <w:spacing w:after="0" w:line="235" w:lineRule="auto"/>
        <w:tabs>
          <w:tab w:leader="none" w:pos="9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or GLP, regulations;</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84" w:lineRule="exact"/>
        <w:rPr>
          <w:rFonts w:ascii="Arial" w:cs="Arial" w:eastAsia="Arial" w:hAnsi="Arial"/>
          <w:sz w:val="18"/>
          <w:szCs w:val="18"/>
          <w:color w:val="auto"/>
        </w:rPr>
      </w:pPr>
    </w:p>
    <w:p>
      <w:pPr>
        <w:ind w:left="980" w:right="200" w:hanging="329"/>
        <w:spacing w:after="0" w:line="235" w:lineRule="auto"/>
        <w:tabs>
          <w:tab w:leader="none" w:pos="9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for each clinical site or centrally, before each trial may be initiated;</w:t>
      </w:r>
    </w:p>
    <w:p>
      <w:pPr>
        <w:spacing w:after="0" w:line="161" w:lineRule="exact"/>
        <w:rPr>
          <w:rFonts w:ascii="Arial" w:cs="Arial" w:eastAsia="Arial" w:hAnsi="Arial"/>
          <w:sz w:val="18"/>
          <w:szCs w:val="18"/>
          <w:color w:val="auto"/>
        </w:rPr>
      </w:pPr>
    </w:p>
    <w:p>
      <w:pPr>
        <w:ind w:left="980" w:right="440" w:hanging="329"/>
        <w:spacing w:after="0" w:line="203" w:lineRule="exact"/>
        <w:tabs>
          <w:tab w:leader="none" w:pos="935"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adequate and well</w:t>
      </w:r>
      <w:r>
        <w:rPr>
          <w:rFonts w:ascii="MS PGothic" w:cs="MS PGothic" w:eastAsia="MS PGothic" w:hAnsi="MS PGothic"/>
          <w:sz w:val="16"/>
          <w:szCs w:val="16"/>
          <w:color w:val="auto"/>
        </w:rPr>
        <w:t>‑</w:t>
      </w:r>
      <w:r>
        <w:rPr>
          <w:rFonts w:ascii="Arial" w:cs="Arial" w:eastAsia="Arial" w:hAnsi="Arial"/>
          <w:sz w:val="16"/>
          <w:szCs w:val="16"/>
          <w:color w:val="auto"/>
        </w:rPr>
        <w:t>controlled human clinical trials to establish the safety and efficacy of the proposed drug candidates for its intended use, performed in accordance with current Good Clinical Practices, or GCP;</w:t>
      </w:r>
    </w:p>
    <w:p>
      <w:pPr>
        <w:spacing w:after="0" w:line="162" w:lineRule="exact"/>
        <w:rPr>
          <w:rFonts w:ascii="Arial" w:cs="Arial" w:eastAsia="Arial" w:hAnsi="Arial"/>
          <w:sz w:val="16"/>
          <w:szCs w:val="16"/>
          <w:color w:val="auto"/>
        </w:rPr>
      </w:pPr>
    </w:p>
    <w:p>
      <w:pPr>
        <w:ind w:left="940" w:hanging="289"/>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development of manufacturing processes to ensure the drug’s identity, strength, quality, and purity;</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submission to the FDA of an NDA;</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84" w:lineRule="exact"/>
        <w:rPr>
          <w:rFonts w:ascii="Arial" w:cs="Arial" w:eastAsia="Arial" w:hAnsi="Arial"/>
          <w:sz w:val="18"/>
          <w:szCs w:val="18"/>
          <w:color w:val="auto"/>
        </w:rPr>
      </w:pPr>
    </w:p>
    <w:p>
      <w:pPr>
        <w:ind w:left="980" w:hanging="329"/>
        <w:spacing w:after="0" w:line="249" w:lineRule="auto"/>
        <w:tabs>
          <w:tab w:leader="none" w:pos="935" w:val="left"/>
        </w:tabs>
        <w:numPr>
          <w:ilvl w:val="0"/>
          <w:numId w:val="12"/>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facility or facilities at which the product is produced to assess compliance with cGMPs, and to assure that the facilities, methods, and controls are adequate to preserve the drug’s identity, strength, quality, and purity, as well as satisfactory completion of an FDA inspection of selected clinical sites and selected clinical investigators to determine GCP compliance; and</w:t>
      </w:r>
    </w:p>
    <w:p>
      <w:pPr>
        <w:spacing w:after="0" w:line="154" w:lineRule="exact"/>
        <w:rPr>
          <w:rFonts w:ascii="Arial" w:cs="Arial" w:eastAsia="Arial" w:hAnsi="Arial"/>
          <w:sz w:val="16"/>
          <w:szCs w:val="16"/>
          <w:color w:val="auto"/>
        </w:rPr>
      </w:pPr>
    </w:p>
    <w:p>
      <w:pPr>
        <w:ind w:left="940" w:hanging="289"/>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FDA review and approval of the NDA to permit commercial marketing for particular indications for use.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 and IND Submission</w:t>
      </w:r>
    </w:p>
    <w:p>
      <w:pPr>
        <w:spacing w:after="0" w:line="185" w:lineRule="exact"/>
        <w:rPr>
          <w:sz w:val="20"/>
          <w:szCs w:val="20"/>
          <w:color w:val="auto"/>
        </w:rPr>
      </w:pPr>
    </w:p>
    <w:p>
      <w:pPr>
        <w:ind w:right="300" w:firstLine="648"/>
        <w:spacing w:after="0" w:line="249" w:lineRule="auto"/>
        <w:rPr>
          <w:sz w:val="20"/>
          <w:szCs w:val="20"/>
          <w:color w:val="auto"/>
        </w:rPr>
      </w:pPr>
      <w:r>
        <w:rPr>
          <w:rFonts w:ascii="Arial" w:cs="Arial" w:eastAsia="Arial" w:hAnsi="Arial"/>
          <w:sz w:val="16"/>
          <w:szCs w:val="16"/>
          <w:color w:val="auto"/>
        </w:rPr>
        <w:t>The testing and approval process of product candidates requires substantial time, effort, and financial resources. Preclinical studies include laboratory evaluation of drug substance chemistry, pharmacology, toxicity, and drug product formulation, as well as animal studies to assess potential safety and efficacy. Such studies must generally be conducted in accordance with the FDA’s Good Laboratory Practices. Prior to commencing the first clinical trial with a product</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00"/>
        <w:spacing w:after="0" w:line="232" w:lineRule="auto"/>
        <w:rPr>
          <w:sz w:val="20"/>
          <w:szCs w:val="20"/>
          <w:color w:val="auto"/>
        </w:rPr>
      </w:pPr>
      <w:r>
        <w:rPr>
          <w:rFonts w:ascii="Arial" w:cs="Arial" w:eastAsia="Arial" w:hAnsi="Arial"/>
          <w:sz w:val="17"/>
          <w:szCs w:val="17"/>
          <w:color w:val="auto"/>
        </w:rPr>
        <w:t>candidate, an IND sponsor must submit the results of the preclinical tests and preclinical literature, together with manufacturing information, analytical data, any available clinical data or literature, and proposed clinical study protocols, among other things, to the FDA as part of an IND. In the case of 505(b)(2) applications, though, some of the IND components may not be required. Some preclinical testing may continue even after the IND is submitted.</w:t>
      </w:r>
    </w:p>
    <w:p>
      <w:pPr>
        <w:spacing w:after="0" w:line="163" w:lineRule="exact"/>
        <w:rPr>
          <w:sz w:val="20"/>
          <w:szCs w:val="20"/>
          <w:color w:val="auto"/>
        </w:rPr>
      </w:pPr>
    </w:p>
    <w:p>
      <w:pPr>
        <w:ind w:firstLine="648"/>
        <w:spacing w:after="0" w:line="187" w:lineRule="exact"/>
        <w:rPr>
          <w:sz w:val="20"/>
          <w:szCs w:val="20"/>
          <w:color w:val="auto"/>
        </w:rPr>
      </w:pPr>
      <w:r>
        <w:rPr>
          <w:rFonts w:ascii="Arial" w:cs="Arial" w:eastAsia="Arial" w:hAnsi="Arial"/>
          <w:sz w:val="16"/>
          <w:szCs w:val="16"/>
          <w:color w:val="auto"/>
        </w:rPr>
        <w:t>An IND automatically becomes effective 30 days after receipt by the FDA, unless the FDA, within the 30</w:t>
      </w:r>
      <w:r>
        <w:rPr>
          <w:rFonts w:ascii="MS PGothic" w:cs="MS PGothic" w:eastAsia="MS PGothic" w:hAnsi="MS PGothic"/>
          <w:sz w:val="16"/>
          <w:szCs w:val="16"/>
          <w:color w:val="auto"/>
        </w:rPr>
        <w:t>‑</w:t>
      </w:r>
      <w:r>
        <w:rPr>
          <w:rFonts w:ascii="Arial" w:cs="Arial" w:eastAsia="Arial" w:hAnsi="Arial"/>
          <w:sz w:val="16"/>
          <w:szCs w:val="16"/>
          <w:color w:val="auto"/>
        </w:rPr>
        <w:t>day time period, notifies the applicant of safety concerns or questions related to one or more proposed clinical trials and places the trial on a clinical hold. In such a case, the IND sponsor and the FDA must resolve any outstanding concerns before the clinical trial can begin. Clinical holds also may be imposed by the FDA at any time before or during trials due to safety concerns or noncompliance. As a result, submission of an IND may not result in FDA authorization to commence a clinical trial.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185"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Clinical trials involve the administration of the investigational new drug to human subjects under the supervision of qualified investigators in accordance with GCP requirements, which include the requirements that all research subjects provide their informed consent in writing for their participation in any clinical trial, as well as review and approval of the study by an IRB. Investigators must also provide certain information to the clinical trial sponsors to allow the sponsors to make certain financial disclosures to the FDA. Clinical trials are conducted under protocols detailing, among other things, the objectives of the trial, the trial procedures, the parameters to be used in monitoring safety, the effectiveness criteria to be evaluated, and a statistical analysis plan. A protocol for each clinical trial, and any subsequent protocol amendments, must be submitted to the FDA as part of the IND. In addition, an IRB at each study site participating in the clinical trial or a central IRB must review and approve the plan for any clinical trial, informed consent forms, and communications to study subjects before a study commences at that site. An IRB considers, among other things, whether the risks to individuals participating in the trials are minimized and are reasonable in relation to anticipated benefits and whether the planned human subject protections are adequate. The IRB must continue to oversee the clinical trial while it is being conducted. Once an IND is in effect, each new clinical protocol and any amendments to the protocol must be submitted to the IND for FDA review, and to the IRB for approval. Progress reports detailing the results of the clinical trials must also be submitted at least annually to the FDA and the IRB and more frequently if serious adverse events or other significant safety information is found.</w:t>
      </w:r>
    </w:p>
    <w:p>
      <w:pPr>
        <w:spacing w:after="0" w:line="170" w:lineRule="exact"/>
        <w:rPr>
          <w:sz w:val="20"/>
          <w:szCs w:val="20"/>
          <w:color w:val="auto"/>
        </w:rPr>
      </w:pPr>
    </w:p>
    <w:p>
      <w:pPr>
        <w:jc w:val="both"/>
        <w:ind w:right="300" w:firstLine="648"/>
        <w:spacing w:after="0" w:line="224" w:lineRule="auto"/>
        <w:rPr>
          <w:sz w:val="20"/>
          <w:szCs w:val="20"/>
          <w:color w:val="auto"/>
        </w:rPr>
      </w:pPr>
      <w:r>
        <w:rPr>
          <w:rFonts w:ascii="Arial" w:cs="Arial" w:eastAsia="Arial" w:hAnsi="Arial"/>
          <w:sz w:val="18"/>
          <w:szCs w:val="18"/>
          <w:color w:val="auto"/>
        </w:rPr>
        <w:t>Information about certain clinical trials, including a description of the study and study results, must be submitted within specific timeframes to the National Institutes of Health, or NIH, for public dissemination on their clinicaltrials.gov website.</w:t>
      </w:r>
    </w:p>
    <w:p>
      <w:pPr>
        <w:spacing w:after="0" w:line="163"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Additionally, some clinical trials are overseen by an independent group of qualified experts organized by the clinical trial sponsor, known as a data safety monitoring board or committee. This group regularly reviews accumulated data and advises the study sponsor regarding the continuing safety of trial subjects, enrollment of potential trial subjects, and the continuing validity and scientific merit of the clinical trial. The data safety monitoring board receives special access to unblinded data during the clinical trial and may advise the sponsor to halt the clinical trial if it determined there is an unacceptable safety risk for subjects or on other grounds, such as no demonstration of efficacy.</w:t>
      </w:r>
    </w:p>
    <w:p>
      <w:pPr>
        <w:spacing w:after="0" w:line="165" w:lineRule="exact"/>
        <w:rPr>
          <w:sz w:val="20"/>
          <w:szCs w:val="20"/>
          <w:color w:val="auto"/>
        </w:rPr>
      </w:pPr>
    </w:p>
    <w:p>
      <w:pPr>
        <w:jc w:val="both"/>
        <w:ind w:right="140" w:firstLine="648"/>
        <w:spacing w:after="0" w:line="249" w:lineRule="auto"/>
        <w:rPr>
          <w:sz w:val="20"/>
          <w:szCs w:val="20"/>
          <w:color w:val="auto"/>
        </w:rPr>
      </w:pPr>
      <w:r>
        <w:rPr>
          <w:rFonts w:ascii="Arial" w:cs="Arial" w:eastAsia="Arial" w:hAnsi="Arial"/>
          <w:sz w:val="16"/>
          <w:szCs w:val="16"/>
          <w:color w:val="auto"/>
        </w:rPr>
        <w:t>The manufacture of investigational drugs for the conduct of human clinical trials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FDCA.</w:t>
      </w:r>
    </w:p>
    <w:p>
      <w:pPr>
        <w:spacing w:after="0" w:line="155" w:lineRule="exact"/>
        <w:rPr>
          <w:sz w:val="20"/>
          <w:szCs w:val="20"/>
          <w:color w:val="auto"/>
        </w:rPr>
      </w:pPr>
    </w:p>
    <w:p>
      <w:pPr>
        <w:ind w:right="180" w:firstLine="648"/>
        <w:spacing w:after="0" w:line="235" w:lineRule="auto"/>
        <w:rPr>
          <w:sz w:val="20"/>
          <w:szCs w:val="20"/>
          <w:color w:val="auto"/>
        </w:rPr>
      </w:pPr>
      <w:r>
        <w:rPr>
          <w:rFonts w:ascii="Arial" w:cs="Arial" w:eastAsia="Arial" w:hAnsi="Arial"/>
          <w:sz w:val="18"/>
          <w:szCs w:val="18"/>
          <w:color w:val="auto"/>
        </w:rPr>
        <w:t>In general, for purposes of NDA approval, human clinical trials are typically conducted in three sequential phases, which may overlap or be combined.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hanging="329"/>
        <w:spacing w:after="0" w:line="189" w:lineRule="exact"/>
        <w:tabs>
          <w:tab w:leader="none" w:pos="93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—Studies are initially conducted in healthy human volunteers or subjects with the target disease or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and test the product candidate for safety, dosage tolerance, structure</w:t>
      </w:r>
      <w:r>
        <w:rPr>
          <w:rFonts w:ascii="MS PGothic" w:cs="MS PGothic" w:eastAsia="MS PGothic" w:hAnsi="MS PGothic"/>
          <w:sz w:val="18"/>
          <w:szCs w:val="18"/>
          <w:color w:val="auto"/>
        </w:rPr>
        <w:t>‑</w:t>
      </w:r>
      <w:r>
        <w:rPr>
          <w:rFonts w:ascii="Arial" w:cs="Arial" w:eastAsia="Arial" w:hAnsi="Arial"/>
          <w:sz w:val="18"/>
          <w:szCs w:val="18"/>
          <w:color w:val="auto"/>
        </w:rPr>
        <w:t>activity relationships, mechanism of action, absorption, metabolism, distribution, and excretion. If possible, Phase 1 trials may also be used to gain an initial indication of product effectiveness.</w:t>
      </w:r>
    </w:p>
    <w:p>
      <w:pPr>
        <w:spacing w:after="0" w:line="162" w:lineRule="exact"/>
        <w:rPr>
          <w:rFonts w:ascii="Arial" w:cs="Arial" w:eastAsia="Arial" w:hAnsi="Arial"/>
          <w:sz w:val="18"/>
          <w:szCs w:val="18"/>
          <w:color w:val="auto"/>
        </w:rPr>
      </w:pPr>
    </w:p>
    <w:p>
      <w:pPr>
        <w:ind w:left="980" w:right="160" w:hanging="329"/>
        <w:spacing w:after="0" w:line="224" w:lineRule="auto"/>
        <w:tabs>
          <w:tab w:leader="none" w:pos="93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—Controlled studies are conducted in limited subject populations with a specified disease or condition</w:t>
      </w:r>
      <w:r>
        <w:rPr>
          <w:rFonts w:ascii="Arial" w:cs="Arial" w:eastAsia="Arial" w:hAnsi="Arial"/>
          <w:sz w:val="18"/>
          <w:szCs w:val="18"/>
          <w:i w:val="1"/>
          <w:iCs w:val="1"/>
          <w:color w:val="auto"/>
        </w:rPr>
        <w:t xml:space="preserve"> </w:t>
      </w:r>
      <w:r>
        <w:rPr>
          <w:rFonts w:ascii="Arial" w:cs="Arial" w:eastAsia="Arial" w:hAnsi="Arial"/>
          <w:sz w:val="18"/>
          <w:szCs w:val="18"/>
          <w:color w:val="auto"/>
        </w:rPr>
        <w:t>to evaluate preliminary efficacy, identify optimal dosages, dosage tolerance and schedule, possible adverse effects and safety risks, and expanded evidence of safety.</w:t>
      </w:r>
    </w:p>
    <w:p>
      <w:pPr>
        <w:spacing w:after="0" w:line="163" w:lineRule="exact"/>
        <w:rPr>
          <w:rFonts w:ascii="Arial" w:cs="Arial" w:eastAsia="Arial" w:hAnsi="Arial"/>
          <w:sz w:val="18"/>
          <w:szCs w:val="18"/>
          <w:color w:val="auto"/>
        </w:rPr>
      </w:pPr>
    </w:p>
    <w:p>
      <w:pPr>
        <w:ind w:left="980" w:right="340" w:hanging="329"/>
        <w:spacing w:after="0" w:line="187" w:lineRule="exact"/>
        <w:tabs>
          <w:tab w:leader="none" w:pos="935"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Phase 3—</w:t>
      </w:r>
      <w:r>
        <w:rPr>
          <w:rFonts w:ascii="Arial" w:cs="Arial" w:eastAsia="Arial" w:hAnsi="Arial"/>
          <w:sz w:val="17"/>
          <w:szCs w:val="17"/>
          <w:color w:val="auto"/>
        </w:rPr>
        <w:t>These adequate and well</w:t>
      </w:r>
      <w:r>
        <w:rPr>
          <w:rFonts w:ascii="MS PGothic" w:cs="MS PGothic" w:eastAsia="MS PGothic" w:hAnsi="MS PGothic"/>
          <w:sz w:val="17"/>
          <w:szCs w:val="17"/>
          <w:color w:val="auto"/>
        </w:rPr>
        <w:t>‑</w:t>
      </w:r>
      <w:r>
        <w:rPr>
          <w:rFonts w:ascii="Arial" w:cs="Arial" w:eastAsia="Arial" w:hAnsi="Arial"/>
          <w:sz w:val="17"/>
          <w:szCs w:val="17"/>
          <w:color w:val="auto"/>
        </w:rPr>
        <w:t>controlled clinical trials are undertaken in expanded subject populations,</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at geographically dispersed clinical trial sites, to generate enough data to provide statistically significant evidence of clinical efficacy and safety of the product for approval, to establish the overall risk</w:t>
      </w:r>
      <w:r>
        <w:rPr>
          <w:rFonts w:ascii="MS PGothic" w:cs="MS PGothic" w:eastAsia="MS PGothic" w:hAnsi="MS PGothic"/>
          <w:sz w:val="17"/>
          <w:szCs w:val="17"/>
          <w:color w:val="auto"/>
        </w:rPr>
        <w:t>‑</w:t>
      </w:r>
      <w:r>
        <w:rPr>
          <w:rFonts w:ascii="Arial" w:cs="Arial" w:eastAsia="Arial" w:hAnsi="Arial"/>
          <w:sz w:val="17"/>
          <w:szCs w:val="17"/>
          <w:color w:val="auto"/>
        </w:rPr>
        <w:t>benefit profile of the product, and to provide adequate information for the labeling of the product. Typically, two Phase 3 trials are required by the FDA for product approval.</w:t>
      </w:r>
    </w:p>
    <w:p>
      <w:pPr>
        <w:spacing w:after="0" w:line="161" w:lineRule="exact"/>
        <w:rPr>
          <w:sz w:val="20"/>
          <w:szCs w:val="20"/>
          <w:color w:val="auto"/>
        </w:rPr>
      </w:pPr>
    </w:p>
    <w:p>
      <w:pPr>
        <w:ind w:right="120" w:firstLine="648"/>
        <w:spacing w:after="0" w:line="184" w:lineRule="exact"/>
        <w:rPr>
          <w:sz w:val="20"/>
          <w:szCs w:val="20"/>
          <w:color w:val="auto"/>
        </w:rPr>
      </w:pPr>
      <w:r>
        <w:rPr>
          <w:rFonts w:ascii="Arial" w:cs="Arial" w:eastAsia="Arial" w:hAnsi="Arial"/>
          <w:sz w:val="16"/>
          <w:szCs w:val="16"/>
          <w:color w:val="auto"/>
        </w:rPr>
        <w:t>The FDA may also require, or companies may conduct, additional clinical trials for the same indication after a product is approved. These so</w:t>
      </w:r>
      <w:r>
        <w:rPr>
          <w:rFonts w:ascii="MS PGothic" w:cs="MS PGothic" w:eastAsia="MS PGothic" w:hAnsi="MS PGothic"/>
          <w:sz w:val="16"/>
          <w:szCs w:val="16"/>
          <w:color w:val="auto"/>
        </w:rPr>
        <w:t>‑</w:t>
      </w:r>
      <w:r>
        <w:rPr>
          <w:rFonts w:ascii="Arial" w:cs="Arial" w:eastAsia="Arial" w:hAnsi="Arial"/>
          <w:sz w:val="16"/>
          <w:szCs w:val="16"/>
          <w:color w:val="auto"/>
        </w:rPr>
        <w:t>called Phase 4 studies may be made a condition to be satisfied after approval. The results of Phase 4 studies can confirm the effectiveness of a product candidate and can provide important safety information. In addition to the above traditional kinds of data required for the approval of an NDA, the 21st Century Cures Act provides for FDA acceptance of new kinds of data such as such as patient experience data, real world evidence for already approved products, and, for appropriate indications sought through supplemental marketing applications, data summaries.</w:t>
      </w:r>
    </w:p>
    <w:p>
      <w:pPr>
        <w:spacing w:after="0" w:line="166" w:lineRule="exact"/>
        <w:rPr>
          <w:sz w:val="20"/>
          <w:szCs w:val="20"/>
          <w:color w:val="auto"/>
        </w:rPr>
      </w:pPr>
    </w:p>
    <w:p>
      <w:pPr>
        <w:ind w:right="100" w:firstLine="648"/>
        <w:spacing w:after="0" w:line="187" w:lineRule="exact"/>
        <w:rPr>
          <w:sz w:val="20"/>
          <w:szCs w:val="20"/>
          <w:color w:val="auto"/>
        </w:rPr>
      </w:pPr>
      <w:r>
        <w:rPr>
          <w:rFonts w:ascii="Arial" w:cs="Arial" w:eastAsia="Arial" w:hAnsi="Arial"/>
          <w:sz w:val="16"/>
          <w:szCs w:val="16"/>
          <w:color w:val="auto"/>
        </w:rPr>
        <w:t>In the case of a 505(b)(2) NDA, which is a marketing application in which sponsors may rely on investigations that were not conducted by or for the applicant and for which the applicant has not obtained a right of reference or use from the person by or for whom the investigations were conducted, some of the above</w:t>
      </w:r>
      <w:r>
        <w:rPr>
          <w:rFonts w:ascii="MS PGothic" w:cs="MS PGothic" w:eastAsia="MS PGothic" w:hAnsi="MS PGothic"/>
          <w:sz w:val="16"/>
          <w:szCs w:val="16"/>
          <w:color w:val="auto"/>
        </w:rPr>
        <w:t>‑</w:t>
      </w:r>
      <w:r>
        <w:rPr>
          <w:rFonts w:ascii="Arial" w:cs="Arial" w:eastAsia="Arial" w:hAnsi="Arial"/>
          <w:sz w:val="16"/>
          <w:szCs w:val="16"/>
          <w:color w:val="auto"/>
        </w:rPr>
        <w:t>described studies and preclinical studies may not be required or may be abbreviated. Bridging studies may be needed, however, to demonstrate the applicability of the studies that were previously conducted by other sponsors to the drug that is the subject of the marketing application.</w:t>
      </w:r>
    </w:p>
    <w:p>
      <w:pPr>
        <w:spacing w:after="0" w:line="162"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color w:val="auto"/>
        </w:rPr>
        <w:t>Phase 1, Phase 2, and Phase 3 clinical trials may not be completed successfully within any specified period, or at all. 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if the drug has been associated with unexpected serious harm to the subjects, or based on evolving business objectives or competitive climate.</w:t>
      </w:r>
    </w:p>
    <w:p>
      <w:pPr>
        <w:spacing w:after="0" w:line="161"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potency,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62"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During the development of a new drug, a sponsor may be able to request a Special Protocol Assessment, or SPA, the purpose of which is to reach agreement with the FDA on the Phase 3 clinical trial protocol design and analysis that will form the primary basis of an efficacy claim as well as preclinical carcinogenicity trials and stability studies. An SPA may only be modified with the agreement of the FDA and the trial sponsor or if the director of the FDA reviewing division determines that a substantial scientific issue essential to determining the safety or efficacy of the drug was identified after the testing began. An SPA is intended to provide assurance that, in the case of clinical trials, if the agreed</w:t>
      </w:r>
      <w:r>
        <w:rPr>
          <w:rFonts w:ascii="MS PGothic" w:cs="MS PGothic" w:eastAsia="MS PGothic" w:hAnsi="MS PGothic"/>
          <w:sz w:val="17"/>
          <w:szCs w:val="17"/>
          <w:color w:val="auto"/>
        </w:rPr>
        <w:t>‑</w:t>
      </w:r>
      <w:r>
        <w:rPr>
          <w:rFonts w:ascii="Arial" w:cs="Arial" w:eastAsia="Arial" w:hAnsi="Arial"/>
          <w:sz w:val="17"/>
          <w:szCs w:val="17"/>
          <w:color w:val="auto"/>
        </w:rPr>
        <w:t>upon clinical trial protocol is followed, the clinical trial endpoints are achieved, and there is a favorable risk</w:t>
      </w:r>
      <w:r>
        <w:rPr>
          <w:rFonts w:ascii="MS PGothic" w:cs="MS PGothic" w:eastAsia="MS PGothic" w:hAnsi="MS PGothic"/>
          <w:sz w:val="17"/>
          <w:szCs w:val="17"/>
          <w:color w:val="auto"/>
        </w:rPr>
        <w:t>‑</w:t>
      </w:r>
      <w:r>
        <w:rPr>
          <w:rFonts w:ascii="Arial" w:cs="Arial" w:eastAsia="Arial" w:hAnsi="Arial"/>
          <w:sz w:val="17"/>
          <w:szCs w:val="17"/>
          <w:color w:val="auto"/>
        </w:rPr>
        <w:t>benefit profile, the data may serve as the primary basis for an efficacy claim in support of an NDA. However, SPA</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agreements are not a guarantee of an approval of a product candidate or any permissible claims about the product candidate. In particular, SPAs are not binding on the FDA if, among other reasons, previously unrecognized public health concerns arise during the performance of the clinical trial, other new scientific concerns regarding the product candidate’s safety or efficacy arise, or if the sponsoring company fails to comply with the agreed upon clinical trial protocol.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NDA Submission, Review by the FDA, and Marketing Approval</w:t>
      </w:r>
    </w:p>
    <w:p>
      <w:pPr>
        <w:spacing w:after="0" w:line="185"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Assuming successful completion of the required clinical and preclinical testing, the results of product development, including chemistry, manufacture, and controls, non</w:t>
      </w:r>
      <w:r>
        <w:rPr>
          <w:rFonts w:ascii="MS PGothic" w:cs="MS PGothic" w:eastAsia="MS PGothic" w:hAnsi="MS PGothic"/>
          <w:sz w:val="16"/>
          <w:szCs w:val="16"/>
          <w:color w:val="auto"/>
        </w:rPr>
        <w:t>‑</w:t>
      </w:r>
      <w:r>
        <w:rPr>
          <w:rFonts w:ascii="Arial" w:cs="Arial" w:eastAsia="Arial" w:hAnsi="Arial"/>
          <w:sz w:val="16"/>
          <w:szCs w:val="16"/>
          <w:color w:val="auto"/>
        </w:rPr>
        <w:t>clinical studies, and clinical trial results, including negative or ambiguous results as well as positive findings, are all submitted to the FDA, along with the proposed labeling, as part of an NDA requesting approval to market the product for one or more indications. In most cases, the submission of an NDA is subject to a substantial application user fee. These user fees must be paid at the time of the first submission of the application, even if the application is being submitted on a rolling basis. Fee waivers or reductions are available in certain circumstances. One basis for a waiver of the application user fee is if the applicant employs fewer than 500 employees, including employees of affiliates, the applicant does not have an approved marketing application for a product that has been introduced or delivered for introduction into interstate commerce, and the applicant, including its affiliates, is submitting its first marketing application. Product candidates that are designated as orphan drugs, which are further described below, are also not subject to application user fees unless the application includes an indication other than the orphan indication.</w:t>
      </w:r>
    </w:p>
    <w:p>
      <w:pPr>
        <w:spacing w:after="0" w:line="166"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In addition, under the Pediatric Research Equity Act, or PREA, an NDA or supplement to an NDA for a new active ingredient, indication, dosage form, dosage regimen, or route of administration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 The FDA also may require submission of a risk evaluation and mitigation strategy, or REMS, to ensure that the benefits of the drug outweigh the risks of the drug. The REMS plan could include medication guides, physician communication plans, and elements to assure safe use, such as restricted distribution methods, patient registries, or other risk minimization tools. An assessment of the REMS must also be conducted at set intervals. Following product approval, a REMS may also be required by the FDA if new safety information is discovered and the FDA determines that a REMS is necessary to ensure that the benefits of the drug outweigh the risks of the drug.</w:t>
      </w:r>
    </w:p>
    <w:p>
      <w:pPr>
        <w:spacing w:after="0" w:line="163" w:lineRule="exact"/>
        <w:rPr>
          <w:sz w:val="20"/>
          <w:szCs w:val="20"/>
          <w:color w:val="auto"/>
        </w:rPr>
      </w:pPr>
    </w:p>
    <w:p>
      <w:pPr>
        <w:ind w:right="20" w:firstLine="648"/>
        <w:spacing w:after="0" w:line="187" w:lineRule="exact"/>
        <w:rPr>
          <w:sz w:val="20"/>
          <w:szCs w:val="20"/>
          <w:color w:val="auto"/>
        </w:rPr>
      </w:pPr>
      <w:r>
        <w:rPr>
          <w:rFonts w:ascii="Arial" w:cs="Arial" w:eastAsia="Arial" w:hAnsi="Arial"/>
          <w:sz w:val="18"/>
          <w:szCs w:val="18"/>
          <w:color w:val="auto"/>
        </w:rPr>
        <w:t>Once the FDA receives an application, it has 60 days to review the NDA to determine if it is substantially complete to permit a substantive review, before it accepts the application for filing.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w:t>
      </w:r>
      <w:r>
        <w:rPr>
          <w:rFonts w:ascii="MS PGothic" w:cs="MS PGothic" w:eastAsia="MS PGothic" w:hAnsi="MS PGothic"/>
          <w:sz w:val="18"/>
          <w:szCs w:val="18"/>
          <w:color w:val="auto"/>
        </w:rPr>
        <w:t>‑</w:t>
      </w:r>
      <w:r>
        <w:rPr>
          <w:rFonts w:ascii="Arial" w:cs="Arial" w:eastAsia="Arial" w:hAnsi="Arial"/>
          <w:sz w:val="18"/>
          <w:szCs w:val="18"/>
          <w:color w:val="auto"/>
        </w:rPr>
        <w:t>depth substantive review of the NDA.</w:t>
      </w:r>
    </w:p>
    <w:p>
      <w:pPr>
        <w:spacing w:after="0" w:line="162"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Under the goals and policies agreed to by the FDA under the Prescription Drug User Fee Act, or PDUFA, the FDA has set the review goal of completing its review of 90% of all applications within ten months from the 60</w:t>
      </w:r>
      <w:r>
        <w:rPr>
          <w:rFonts w:ascii="MS PGothic" w:cs="MS PGothic" w:eastAsia="MS PGothic" w:hAnsi="MS PGothic"/>
          <w:sz w:val="17"/>
          <w:szCs w:val="17"/>
          <w:color w:val="auto"/>
        </w:rPr>
        <w:t>‑</w:t>
      </w:r>
      <w:r>
        <w:rPr>
          <w:rFonts w:ascii="Arial" w:cs="Arial" w:eastAsia="Arial" w:hAnsi="Arial"/>
          <w:sz w:val="17"/>
          <w:szCs w:val="17"/>
          <w:color w:val="auto"/>
        </w:rPr>
        <w:t>day filing date for its initial review of a standard NDA for a New Molecular Entity, or NME. For non</w:t>
      </w:r>
      <w:r>
        <w:rPr>
          <w:rFonts w:ascii="MS PGothic" w:cs="MS PGothic" w:eastAsia="MS PGothic" w:hAnsi="MS PGothic"/>
          <w:sz w:val="17"/>
          <w:szCs w:val="17"/>
          <w:color w:val="auto"/>
        </w:rPr>
        <w:t>‑</w:t>
      </w:r>
      <w:r>
        <w:rPr>
          <w:rFonts w:ascii="Arial" w:cs="Arial" w:eastAsia="Arial" w:hAnsi="Arial"/>
          <w:sz w:val="17"/>
          <w:szCs w:val="17"/>
          <w:color w:val="auto"/>
        </w:rPr>
        <w:t>NME standard applications, the FDA has set the goal of completing its review of 90% of all applications within ten months from the submission receipt date. Such deadlines are referred to as the PDUFA date. The PDUFA date is only a goal, thus, the FDA does not always meet its PDUFA dates. The review process and the PDUFA date may also be extended if the FDA requests or the NDA sponsor otherwise provides substantial additional information or clarification regarding the submission.</w:t>
      </w:r>
    </w:p>
    <w:p>
      <w:pPr>
        <w:spacing w:after="0" w:line="162" w:lineRule="exact"/>
        <w:rPr>
          <w:sz w:val="20"/>
          <w:szCs w:val="20"/>
          <w:color w:val="auto"/>
        </w:rPr>
      </w:pPr>
    </w:p>
    <w:p>
      <w:pPr>
        <w:ind w:right="240" w:firstLine="648"/>
        <w:spacing w:after="0" w:line="189" w:lineRule="exact"/>
        <w:rPr>
          <w:sz w:val="20"/>
          <w:szCs w:val="20"/>
          <w:color w:val="auto"/>
        </w:rPr>
      </w:pPr>
      <w:r>
        <w:rPr>
          <w:rFonts w:ascii="Arial" w:cs="Arial" w:eastAsia="Arial" w:hAnsi="Arial"/>
          <w:sz w:val="16"/>
          <w:szCs w:val="16"/>
          <w:color w:val="auto"/>
        </w:rPr>
        <w:t>The FDA must refer applications for drugs that contain active ingredients, including any ester or salt of the active ingredients, that have not previously been approved by the FDA to an advisory committee or provide in an action letter a summary for not referring it to an advisory committee. The FDA may also refer drugs to advisory committees when it is determined that an advisory committee’s expertise would be beneficial to the regulatory decision</w:t>
      </w:r>
      <w:r>
        <w:rPr>
          <w:rFonts w:ascii="MS PGothic" w:cs="MS PGothic" w:eastAsia="MS PGothic" w:hAnsi="MS PGothic"/>
          <w:sz w:val="16"/>
          <w:szCs w:val="16"/>
          <w:color w:val="auto"/>
        </w:rPr>
        <w:t>‑</w:t>
      </w:r>
      <w:r>
        <w:rPr>
          <w:rFonts w:ascii="Arial" w:cs="Arial" w:eastAsia="Arial" w:hAnsi="Arial"/>
          <w:sz w:val="16"/>
          <w:szCs w:val="16"/>
          <w:color w:val="auto"/>
        </w:rPr>
        <w:t>making</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60"/>
        <w:spacing w:after="0" w:line="249" w:lineRule="auto"/>
        <w:rPr>
          <w:sz w:val="20"/>
          <w:szCs w:val="20"/>
          <w:color w:val="auto"/>
        </w:rPr>
      </w:pPr>
      <w:r>
        <w:rPr>
          <w:rFonts w:ascii="Arial" w:cs="Arial" w:eastAsia="Arial" w:hAnsi="Arial"/>
          <w:sz w:val="16"/>
          <w:szCs w:val="16"/>
          <w:color w:val="auto"/>
        </w:rPr>
        <w:t>process, including the evaluation of novel products and the use of new technology. An advisory committee is typically a panel that includes clinicians and other experts, which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155" w:lineRule="exact"/>
        <w:rPr>
          <w:sz w:val="20"/>
          <w:szCs w:val="20"/>
          <w:color w:val="auto"/>
        </w:rPr>
      </w:pPr>
    </w:p>
    <w:p>
      <w:pPr>
        <w:ind w:right="40" w:firstLine="648"/>
        <w:spacing w:after="0" w:line="182" w:lineRule="exact"/>
        <w:rPr>
          <w:sz w:val="20"/>
          <w:szCs w:val="20"/>
          <w:color w:val="auto"/>
        </w:rPr>
      </w:pPr>
      <w:r>
        <w:rPr>
          <w:rFonts w:ascii="Arial" w:cs="Arial" w:eastAsia="Arial" w:hAnsi="Arial"/>
          <w:sz w:val="18"/>
          <w:szCs w:val="18"/>
          <w:color w:val="auto"/>
        </w:rPr>
        <w:t>The FDA reviews applications to determine, among other things, whether a product is safe and effective for its intended use and whether the manufacturing methods and controls are adequate to assure and preserve the product’s identity, strength, quality, safety, potency, and purity. Before approving an NDA, the FDA typically will inspect the facility or facilities where the product is manufactured, referred to as a Pre</w:t>
      </w:r>
      <w:r>
        <w:rPr>
          <w:rFonts w:ascii="MS PGothic" w:cs="MS PGothic" w:eastAsia="MS PGothic" w:hAnsi="MS PGothic"/>
          <w:sz w:val="18"/>
          <w:szCs w:val="18"/>
          <w:color w:val="auto"/>
        </w:rPr>
        <w:t>‑</w:t>
      </w:r>
      <w:r>
        <w:rPr>
          <w:rFonts w:ascii="Arial" w:cs="Arial" w:eastAsia="Arial" w:hAnsi="Arial"/>
          <w:sz w:val="18"/>
          <w:szCs w:val="18"/>
          <w:color w:val="auto"/>
        </w:rPr>
        <w:t>Approval Inspection. The FDA will not approve an application unless it determines that the manufacturing processes and facilities, including contract manufacturers and subcontractors, are in compliance with cGMP requirements and adequate to assure consistent production of the product within required specifications. Additionally, before approving an NDA the FDA will inspect one or more clinical trial sites to assure compliance with GCPs.</w:t>
      </w:r>
    </w:p>
    <w:p>
      <w:pPr>
        <w:spacing w:after="0" w:line="165"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The approval process is lengthy and difficult and the FDA may refuse to approve an NDA if the applicable regulatory criteria are not satisfied or may require additional clinical data or other data and information. Even if such data and information are submitted, the FDA may ultimately decide that the NDA does not satisfy the criteria for approval. Data obtained from clinical trials are not always conclusive and the FDA may interpret data differently than an applicant interprets the same data.</w:t>
      </w:r>
    </w:p>
    <w:p>
      <w:pPr>
        <w:spacing w:after="0" w:line="162" w:lineRule="exact"/>
        <w:rPr>
          <w:sz w:val="20"/>
          <w:szCs w:val="20"/>
          <w:color w:val="auto"/>
        </w:rPr>
      </w:pPr>
    </w:p>
    <w:p>
      <w:pPr>
        <w:ind w:right="60" w:firstLine="648"/>
        <w:spacing w:after="0" w:line="220" w:lineRule="auto"/>
        <w:rPr>
          <w:sz w:val="20"/>
          <w:szCs w:val="20"/>
          <w:color w:val="auto"/>
        </w:rPr>
      </w:pPr>
      <w:r>
        <w:rPr>
          <w:rFonts w:ascii="Arial" w:cs="Arial" w:eastAsia="Arial" w:hAnsi="Arial"/>
          <w:sz w:val="17"/>
          <w:szCs w:val="17"/>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or CRL. If a CRL is issued, the applicant may either resubmit the NDA, addressing all of the deficiencies identified in the letter; withdraw the application; or request an opportunity for a hearing. A CRL indicates that the review cycle of the application is complete and the application is not ready for approval and describes all of the specific deficiencies that the FDA identified in the NDA. A CRL generally contains a statement of specific conditions that must be met in order to secure final approval of the NDA, and may require additional clinical or preclinical testing in order for the FDA to reconsider the application. The deficiencies identified may be minor, for example, requiring labeling changes; or major, for example, requiring additional clinical trials. The FDA has the goal of reviewing 90% of application resubmissions in either two or six months of the resubmission date, depending on the kind of resubmission. Even with submission of this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drug with specific prescribing information for specific indications.</w:t>
      </w:r>
    </w:p>
    <w:p>
      <w:pPr>
        <w:spacing w:after="0" w:line="165" w:lineRule="exact"/>
        <w:rPr>
          <w:sz w:val="20"/>
          <w:szCs w:val="20"/>
          <w:color w:val="auto"/>
        </w:rPr>
      </w:pPr>
    </w:p>
    <w:p>
      <w:pPr>
        <w:ind w:right="20" w:firstLine="648"/>
        <w:spacing w:after="0" w:line="183" w:lineRule="exact"/>
        <w:rPr>
          <w:sz w:val="20"/>
          <w:szCs w:val="20"/>
          <w:color w:val="auto"/>
        </w:rPr>
      </w:pPr>
      <w:r>
        <w:rPr>
          <w:rFonts w:ascii="Arial" w:cs="Arial" w:eastAsia="Arial" w:hAnsi="Arial"/>
          <w:sz w:val="18"/>
          <w:szCs w:val="18"/>
          <w:color w:val="auto"/>
        </w:rPr>
        <w:t>Even if the FDA approves a product, it may limit the approved indications for use of the product, require that contraindications, warnings, or precautions be included in the product labeling, including a boxed warning, require that post</w:t>
      </w:r>
      <w:r>
        <w:rPr>
          <w:rFonts w:ascii="MS PGothic" w:cs="MS PGothic" w:eastAsia="MS PGothic" w:hAnsi="MS PGothic"/>
          <w:sz w:val="18"/>
          <w:szCs w:val="18"/>
          <w:color w:val="auto"/>
        </w:rPr>
        <w:t>‑</w:t>
      </w:r>
      <w:r>
        <w:rPr>
          <w:rFonts w:ascii="Arial" w:cs="Arial" w:eastAsia="Arial" w:hAnsi="Arial"/>
          <w:sz w:val="18"/>
          <w:szCs w:val="18"/>
          <w:color w:val="auto"/>
        </w:rPr>
        <w:t>approval studies, including Phase 4 clinical trials, be conducted to further assess a drug’s safety and efficacy after approval,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 The FDA may also not approve label statements that are necessary for successful commercialization and marketing.</w:t>
      </w:r>
    </w:p>
    <w:p>
      <w:pPr>
        <w:spacing w:after="0" w:line="165" w:lineRule="exact"/>
        <w:rPr>
          <w:sz w:val="20"/>
          <w:szCs w:val="20"/>
          <w:color w:val="auto"/>
        </w:rPr>
      </w:pPr>
    </w:p>
    <w:p>
      <w:pPr>
        <w:ind w:right="120" w:firstLine="648"/>
        <w:spacing w:after="0" w:line="187" w:lineRule="exact"/>
        <w:rPr>
          <w:sz w:val="20"/>
          <w:szCs w:val="20"/>
          <w:color w:val="auto"/>
        </w:rPr>
      </w:pPr>
      <w:r>
        <w:rPr>
          <w:rFonts w:ascii="Arial" w:cs="Arial" w:eastAsia="Arial" w:hAnsi="Arial"/>
          <w:sz w:val="17"/>
          <w:szCs w:val="17"/>
          <w:color w:val="auto"/>
        </w:rPr>
        <w:t>After approval, some types of changes to the approved product, such as adding new indications, manufacturing changes, and additional labeling claims, are subject to further testing requirements and FDA review and approval. The FDA may also withdraw the product approval if compliance with the pre</w:t>
      </w:r>
      <w:r>
        <w:rPr>
          <w:rFonts w:ascii="MS PGothic" w:cs="MS PGothic" w:eastAsia="MS PGothic" w:hAnsi="MS PGothic"/>
          <w:sz w:val="17"/>
          <w:szCs w:val="17"/>
          <w:color w:val="auto"/>
        </w:rPr>
        <w:t>‑</w:t>
      </w:r>
      <w:r>
        <w:rPr>
          <w:rFonts w:ascii="Arial" w:cs="Arial" w:eastAsia="Arial" w:hAnsi="Arial"/>
          <w:sz w:val="17"/>
          <w:szCs w:val="17"/>
          <w:color w:val="auto"/>
        </w:rPr>
        <w:t xml:space="preserve"> and post</w:t>
      </w:r>
      <w:r>
        <w:rPr>
          <w:rFonts w:ascii="MS PGothic" w:cs="MS PGothic" w:eastAsia="MS PGothic" w:hAnsi="MS PGothic"/>
          <w:sz w:val="17"/>
          <w:szCs w:val="17"/>
          <w:color w:val="auto"/>
        </w:rPr>
        <w:t>‑</w:t>
      </w:r>
      <w:r>
        <w:rPr>
          <w:rFonts w:ascii="Arial" w:cs="Arial" w:eastAsia="Arial" w:hAnsi="Arial"/>
          <w:sz w:val="17"/>
          <w:szCs w:val="17"/>
          <w:color w:val="auto"/>
        </w:rPr>
        <w:t>marketing regulatory standards are not maintained or if problems occur after the product reaches the marketplace. Further, should new safety information arise, additional testing, product labeling, or FDA notification may be required.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505(b)(2) Approval Process</w:t>
      </w:r>
    </w:p>
    <w:p>
      <w:pPr>
        <w:spacing w:after="0" w:line="185"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Section 505(b)(2) of the FDCA, provides an alternate regulatory pathway to FDA approval for new or improved formulations or new uses of previously approved drug products. Specifically, Section 505(b)(2) was enacted as part of the Drug Price Competition and Patent Term Restoration Act of 1984, commonly referred to as the Hatch</w:t>
      </w:r>
      <w:r>
        <w:rPr>
          <w:rFonts w:ascii="MS PGothic" w:cs="MS PGothic" w:eastAsia="MS PGothic" w:hAnsi="MS PGothic"/>
          <w:sz w:val="17"/>
          <w:szCs w:val="17"/>
          <w:color w:val="auto"/>
        </w:rPr>
        <w:t>‑</w:t>
      </w:r>
      <w:r>
        <w:rPr>
          <w:rFonts w:ascii="Arial" w:cs="Arial" w:eastAsia="Arial" w:hAnsi="Arial"/>
          <w:sz w:val="17"/>
          <w:szCs w:val="17"/>
          <w:color w:val="auto"/>
        </w:rPr>
        <w:t>Waxman Amendments, and permits the filing of an NDA where at least some of the information required for approval comes from studies not conducted by or for the applicant and for which the applicant has not obtained a right of reference or use from the person by or for whom the investigations were conducted. The applicant may rely upon the FDA’s prior findings of safety and effectiveness for an approved product that acts as the reference listed drug or on published scientific literature, in support of its application. The FDA may also require 505(b)(2) applicants to perform additional studies or measurements to support the changes from the reference listed drug as well as bridging studies to the reference listed drug. The FDA may then approve the new product candidate for all or some of the labeled indications for which the referenced product has been approved, as well as for any new indication sought by the Section 505(b)(2) applicant.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Orange Book Listing</w:t>
      </w:r>
    </w:p>
    <w:p>
      <w:pPr>
        <w:spacing w:after="0" w:line="185"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Section 505 of the FDCA describes three types of marketing applications that may be submitted to the FDA to request marketing authorization for a new drug. A Section 505(b)(1) NDA is an application that contains full reports of investigations of safety and efficacy. A Section 505(b)(2) NDA is an application in which the applicant, in part, relies on investigations that were not conducted by or for the applicant and for which the applicant has not obtained a right of reference or use from the person by or for whom the investigations were conducted. Section 505(j) establishes an abbreviated approval process for a generic version of approved drug products through the submission of an Abbreviated New Drug Application, or ANDA. An ANDA provides for marketing of a generic drug product that has the same active ingredients, dosage form, strength, route of administration, labeling, performance characteristics, and intended use, among other things, to a previously approved product. Limited changes must be pre</w:t>
      </w:r>
      <w:r>
        <w:rPr>
          <w:rFonts w:ascii="MS PGothic" w:cs="MS PGothic" w:eastAsia="MS PGothic" w:hAnsi="MS PGothic"/>
          <w:sz w:val="16"/>
          <w:szCs w:val="16"/>
          <w:color w:val="auto"/>
        </w:rPr>
        <w:t>‑</w:t>
      </w:r>
      <w:r>
        <w:rPr>
          <w:rFonts w:ascii="Arial" w:cs="Arial" w:eastAsia="Arial" w:hAnsi="Arial"/>
          <w:sz w:val="16"/>
          <w:szCs w:val="16"/>
          <w:color w:val="auto"/>
        </w:rPr>
        <w:t>approved by the FDA via a suitability petition. ANDAs are termed “abbreviated” because they are generally not required to include preclinical and clinical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can often be substituted by pharmacists under prescriptions written for the reference listed drug.</w:t>
      </w:r>
    </w:p>
    <w:p>
      <w:pPr>
        <w:spacing w:after="0" w:line="163"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 xml:space="preserve">In seeking approval for a drug through an NDA, including a 505(b)(2) NDA, applicants are required to list with the FDA certain patents whose claims cover the applicant’s product and method of use. Upon approval of an NDA, each of the patents listed in the application for the drug is then published in </w:t>
      </w:r>
      <w:r>
        <w:rPr>
          <w:rFonts w:ascii="Arial" w:cs="Arial" w:eastAsia="Arial" w:hAnsi="Arial"/>
          <w:sz w:val="18"/>
          <w:szCs w:val="18"/>
          <w:i w:val="1"/>
          <w:iCs w:val="1"/>
          <w:color w:val="auto"/>
        </w:rPr>
        <w:t>Approved Drug Products with Therapeutic Equivalence</w:t>
      </w:r>
      <w:r>
        <w:rPr>
          <w:rFonts w:ascii="Arial" w:cs="Arial" w:eastAsia="Arial" w:hAnsi="Arial"/>
          <w:sz w:val="18"/>
          <w:szCs w:val="18"/>
          <w:color w:val="auto"/>
        </w:rPr>
        <w:t xml:space="preserve"> </w:t>
      </w:r>
      <w:r>
        <w:rPr>
          <w:rFonts w:ascii="Arial" w:cs="Arial" w:eastAsia="Arial" w:hAnsi="Arial"/>
          <w:sz w:val="18"/>
          <w:szCs w:val="18"/>
          <w:i w:val="1"/>
          <w:iCs w:val="1"/>
          <w:color w:val="auto"/>
        </w:rPr>
        <w:t>Evaluations</w:t>
      </w:r>
      <w:r>
        <w:rPr>
          <w:rFonts w:ascii="Arial" w:cs="Arial" w:eastAsia="Arial" w:hAnsi="Arial"/>
          <w:sz w:val="18"/>
          <w:szCs w:val="18"/>
          <w:color w:val="auto"/>
        </w:rPr>
        <w:t>, also known as the Orange Book. These products may be cited by potential competitors in support of approval of</w:t>
      </w:r>
      <w:r>
        <w:rPr>
          <w:rFonts w:ascii="Arial" w:cs="Arial" w:eastAsia="Arial" w:hAnsi="Arial"/>
          <w:sz w:val="18"/>
          <w:szCs w:val="18"/>
          <w:i w:val="1"/>
          <w:iCs w:val="1"/>
          <w:color w:val="auto"/>
        </w:rPr>
        <w:t xml:space="preserve"> </w:t>
      </w:r>
      <w:r>
        <w:rPr>
          <w:rFonts w:ascii="Arial" w:cs="Arial" w:eastAsia="Arial" w:hAnsi="Arial"/>
          <w:sz w:val="18"/>
          <w:szCs w:val="18"/>
          <w:color w:val="auto"/>
        </w:rPr>
        <w:t>an ANDA or 505(b)(2) NDA.</w:t>
      </w:r>
    </w:p>
    <w:p>
      <w:pPr>
        <w:spacing w:after="0" w:line="162" w:lineRule="exact"/>
        <w:rPr>
          <w:sz w:val="20"/>
          <w:szCs w:val="20"/>
          <w:color w:val="auto"/>
        </w:rPr>
      </w:pPr>
    </w:p>
    <w:p>
      <w:pPr>
        <w:ind w:right="60" w:firstLine="648"/>
        <w:spacing w:after="0" w:line="235" w:lineRule="auto"/>
        <w:rPr>
          <w:sz w:val="20"/>
          <w:szCs w:val="20"/>
          <w:color w:val="auto"/>
        </w:rPr>
      </w:pPr>
      <w:r>
        <w:rPr>
          <w:rFonts w:ascii="Arial" w:cs="Arial" w:eastAsia="Arial" w:hAnsi="Arial"/>
          <w:sz w:val="16"/>
          <w:szCs w:val="16"/>
          <w:color w:val="auto"/>
        </w:rPr>
        <w:t>Any applicant who files an abbreviated new drug application, or ANDA, seeking approval of a generic equivalent version of a drug listed in the Orange Book or a 505(b)(2) NDA referencing a drug listed in the Orange Book must make patent certifications to the FDA that (1) no patent information on the drug or method of use that is the subject of the application has been submitted to the FDA; (2) the patent has expired; (3) the date on which the patent has expired and approval will not be sought until after the patent expiration; or (4) the patent is invalid or will not be infringed upon by the manufacture, use, or sale of the drug product for which the application is submitted. The last certification is known as a paragraph IV certification. Generally, the ANDA or 505(b)(2) NDA approval cannot be made effective until all listed patents have expired, except where the ANDA or 505(b)(2) NDA applicant challenges a listed patent through a paragraph IV certification or if the applicant is not seeking approval of a patented method of use. If the applicant does not challenge the listed patents or does not indicate that it is not seeking approval of a patented method of use, the ANDA or 505(b)(2) NDA application approval will not be made effective until all of the listed patents claiming the referenced product have expired.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If the competitor has provided a paragraph IV certification to the FDA, the competitor must also send notice of the paragraph IV certification to the holder of the NDA for the reference listed drug and the patent owner within 20 days after the application has been accepted for filing by the FDA. The NDA holder or patent owner may then initiate a patent infringement lawsuit in response to the notice of the paragraph IV certification. The filing of a patent infringement lawsuit within 45 days of the receipt of a paragraph IV certification notice prevents the FDA from making the approval of the ANDA or 505(b)(2) application effective until the earlier of 30 months from the date of the lawsuit, expiration of the patent, settlement of the lawsuit, a decision in the infringement case that is favorable to the applicant or such shorter or longer period as may be ordered by a court. This prohibition is generally referred to as the 30</w:t>
      </w:r>
      <w:r>
        <w:rPr>
          <w:rFonts w:ascii="MS PGothic" w:cs="MS PGothic" w:eastAsia="MS PGothic" w:hAnsi="MS PGothic"/>
          <w:sz w:val="17"/>
          <w:szCs w:val="17"/>
          <w:color w:val="auto"/>
        </w:rPr>
        <w:t>‑</w:t>
      </w:r>
      <w:r>
        <w:rPr>
          <w:rFonts w:ascii="Arial" w:cs="Arial" w:eastAsia="Arial" w:hAnsi="Arial"/>
          <w:sz w:val="17"/>
          <w:szCs w:val="17"/>
          <w:color w:val="auto"/>
        </w:rPr>
        <w:t>month stay.</w:t>
      </w:r>
    </w:p>
    <w:p>
      <w:pPr>
        <w:spacing w:after="0" w:line="168" w:lineRule="exact"/>
        <w:rPr>
          <w:sz w:val="20"/>
          <w:szCs w:val="20"/>
          <w:color w:val="auto"/>
        </w:rPr>
      </w:pPr>
    </w:p>
    <w:p>
      <w:pPr>
        <w:ind w:right="100" w:firstLine="648"/>
        <w:spacing w:after="0" w:line="187" w:lineRule="exact"/>
        <w:rPr>
          <w:sz w:val="20"/>
          <w:szCs w:val="20"/>
          <w:color w:val="auto"/>
        </w:rPr>
      </w:pPr>
      <w:r>
        <w:rPr>
          <w:rFonts w:ascii="Arial" w:cs="Arial" w:eastAsia="Arial" w:hAnsi="Arial"/>
          <w:sz w:val="18"/>
          <w:szCs w:val="18"/>
          <w:color w:val="auto"/>
        </w:rPr>
        <w:t>In instances where an ANDA or 505(b)(2) NDA applicant files a paragraph IV certification, the NDA holder or patent owners regularly take action to trigger the 30</w:t>
      </w:r>
      <w:r>
        <w:rPr>
          <w:rFonts w:ascii="MS PGothic" w:cs="MS PGothic" w:eastAsia="MS PGothic" w:hAnsi="MS PGothic"/>
          <w:sz w:val="18"/>
          <w:szCs w:val="18"/>
          <w:color w:val="auto"/>
        </w:rPr>
        <w:t>‑</w:t>
      </w:r>
      <w:r>
        <w:rPr>
          <w:rFonts w:ascii="Arial" w:cs="Arial" w:eastAsia="Arial" w:hAnsi="Arial"/>
          <w:sz w:val="18"/>
          <w:szCs w:val="18"/>
          <w:color w:val="auto"/>
        </w:rPr>
        <w:t>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Exclusivity</w:t>
      </w:r>
    </w:p>
    <w:p>
      <w:pPr>
        <w:spacing w:after="0" w:line="185" w:lineRule="exact"/>
        <w:rPr>
          <w:sz w:val="20"/>
          <w:szCs w:val="20"/>
          <w:color w:val="auto"/>
        </w:rPr>
      </w:pPr>
    </w:p>
    <w:p>
      <w:pPr>
        <w:ind w:right="80" w:firstLine="648"/>
        <w:spacing w:after="0" w:line="221" w:lineRule="auto"/>
        <w:rPr>
          <w:sz w:val="20"/>
          <w:szCs w:val="20"/>
          <w:color w:val="auto"/>
        </w:rPr>
      </w:pPr>
      <w:r>
        <w:rPr>
          <w:rFonts w:ascii="Arial" w:cs="Arial" w:eastAsia="Arial" w:hAnsi="Arial"/>
          <w:sz w:val="17"/>
          <w:szCs w:val="17"/>
          <w:color w:val="auto"/>
        </w:rPr>
        <w:t>Market exclusivity provisions under the FDCA can also delay the submission or the approval effective date of certain applications. The FDA provides periods of regulatory exclusivity, which provides the holder of an approved NDA limited protection from new competition in the marketplace for the innovation represented by its approved drug. Five years of exclusivity are available to New Chemical Entities, or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derivatives, such as a complex, chelate, or clathrate, of the molecule, responsible for the therapeutic activity of the drug substance. During the exclusivity period, the FDA may not accept for review and make an ANDA or a 505(b)(2) NDA approval effective for an application submitted by another company that contains the previously approved active moiety. An ANDA or 505(b)(2) application, however, may be submitted one year before NCE exclusivity expires if a paragraph IV certification is filed.</w:t>
      </w:r>
    </w:p>
    <w:p>
      <w:pPr>
        <w:spacing w:after="0" w:line="167"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If a product is not eligible for NCE exclusivity, it may be eligible for three years of exclusivity. Three</w:t>
      </w:r>
      <w:r>
        <w:rPr>
          <w:rFonts w:ascii="MS PGothic" w:cs="MS PGothic" w:eastAsia="MS PGothic" w:hAnsi="MS PGothic"/>
          <w:sz w:val="16"/>
          <w:szCs w:val="16"/>
          <w:color w:val="auto"/>
        </w:rPr>
        <w:t>‑</w:t>
      </w:r>
      <w:r>
        <w:rPr>
          <w:rFonts w:ascii="Arial" w:cs="Arial" w:eastAsia="Arial" w:hAnsi="Arial"/>
          <w:sz w:val="16"/>
          <w:szCs w:val="16"/>
          <w:color w:val="auto"/>
        </w:rPr>
        <w:t>year exclusivity is available to the holder of an NDA, including a 505(b)(2) NDA, for a particular condition of approval, or change to a marketed product, such as a new formulation or indication for a previously approved product, if one or more new clinical studies, other than bioavailability or bioequivalence studies, was essential to the approval of the application and was conducted or sponsored by the applicant. This three</w:t>
      </w:r>
      <w:r>
        <w:rPr>
          <w:rFonts w:ascii="MS PGothic" w:cs="MS PGothic" w:eastAsia="MS PGothic" w:hAnsi="MS PGothic"/>
          <w:sz w:val="16"/>
          <w:szCs w:val="16"/>
          <w:color w:val="auto"/>
        </w:rPr>
        <w:t>‑</w:t>
      </w:r>
      <w:r>
        <w:rPr>
          <w:rFonts w:ascii="Arial" w:cs="Arial" w:eastAsia="Arial" w:hAnsi="Arial"/>
          <w:sz w:val="16"/>
          <w:szCs w:val="16"/>
          <w:color w:val="auto"/>
        </w:rPr>
        <w:t>year exclusivity period protects against FDA making an ANDAs and 505(b)(2) NDAs for the condition of the new drug’s approval effective. As a general matter, the three year exclusivity does not prohibit the FDA from making an approval for ANDAs or 505(b)(2) NDAs effective for generic versions of the original, unmodified drug product. Five</w:t>
      </w:r>
      <w:r>
        <w:rPr>
          <w:rFonts w:ascii="MS PGothic" w:cs="MS PGothic" w:eastAsia="MS PGothic" w:hAnsi="MS PGothic"/>
          <w:sz w:val="16"/>
          <w:szCs w:val="16"/>
          <w:color w:val="auto"/>
        </w:rPr>
        <w:t>‑</w:t>
      </w:r>
      <w:r>
        <w:rPr>
          <w:rFonts w:ascii="Arial" w:cs="Arial" w:eastAsia="Arial" w:hAnsi="Arial"/>
          <w:sz w:val="16"/>
          <w:szCs w:val="16"/>
          <w:color w:val="auto"/>
        </w:rPr>
        <w:t>year and three</w:t>
      </w:r>
      <w:r>
        <w:rPr>
          <w:rFonts w:ascii="MS PGothic" w:cs="MS PGothic" w:eastAsia="MS PGothic" w:hAnsi="MS PGothic"/>
          <w:sz w:val="16"/>
          <w:szCs w:val="16"/>
          <w:color w:val="auto"/>
        </w:rPr>
        <w:t>‑</w:t>
      </w:r>
      <w:r>
        <w:rPr>
          <w:rFonts w:ascii="Arial" w:cs="Arial" w:eastAsia="Arial" w:hAnsi="Arial"/>
          <w:sz w:val="16"/>
          <w:szCs w:val="16"/>
          <w:color w:val="auto"/>
        </w:rPr>
        <w:t>year exclusivity will also not delay the submission or approval effective date of a full NDA; however, an applicant submitting a full NDA would be required to conduct or obtain a right of reference to all of the preclinical studies and adequate and well</w:t>
      </w:r>
      <w:r>
        <w:rPr>
          <w:rFonts w:ascii="MS PGothic" w:cs="MS PGothic" w:eastAsia="MS PGothic" w:hAnsi="MS PGothic"/>
          <w:sz w:val="16"/>
          <w:szCs w:val="16"/>
          <w:color w:val="auto"/>
        </w:rPr>
        <w:t>‑</w:t>
      </w:r>
      <w:r>
        <w:rPr>
          <w:rFonts w:ascii="Arial" w:cs="Arial" w:eastAsia="Arial" w:hAnsi="Arial"/>
          <w:sz w:val="16"/>
          <w:szCs w:val="16"/>
          <w:color w:val="auto"/>
        </w:rPr>
        <w:t>controlled clinical trials necessary to demonstrate safety and efficacy. Moreover, even if a product receives a period of exclusivity, a physician may prescribe the reference listed drug or a generic version of the reference listed drug off</w:t>
      </w:r>
      <w:r>
        <w:rPr>
          <w:rFonts w:ascii="MS PGothic" w:cs="MS PGothic" w:eastAsia="MS PGothic" w:hAnsi="MS PGothic"/>
          <w:sz w:val="16"/>
          <w:szCs w:val="16"/>
          <w:color w:val="auto"/>
        </w:rPr>
        <w:t>‑</w:t>
      </w:r>
      <w:r>
        <w:rPr>
          <w:rFonts w:ascii="Arial" w:cs="Arial" w:eastAsia="Arial" w:hAnsi="Arial"/>
          <w:sz w:val="16"/>
          <w:szCs w:val="16"/>
          <w:color w:val="auto"/>
        </w:rPr>
        <w:t>label for the same use as the newly approved drug.</w:t>
      </w:r>
    </w:p>
    <w:p>
      <w:pPr>
        <w:spacing w:after="0" w:line="170"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Pediatric exclusivity is another type of non</w:t>
      </w:r>
      <w:r>
        <w:rPr>
          <w:rFonts w:ascii="MS PGothic" w:cs="MS PGothic" w:eastAsia="MS PGothic" w:hAnsi="MS PGothic"/>
          <w:sz w:val="17"/>
          <w:szCs w:val="17"/>
          <w:color w:val="auto"/>
        </w:rPr>
        <w:t>‑</w:t>
      </w:r>
      <w:r>
        <w:rPr>
          <w:rFonts w:ascii="Arial" w:cs="Arial" w:eastAsia="Arial" w:hAnsi="Arial"/>
          <w:sz w:val="17"/>
          <w:szCs w:val="17"/>
          <w:color w:val="auto"/>
        </w:rPr>
        <w:t>patent marketing exclusivity in the United States and, if granted, provides for the attachment of an additional six months of marketing protection to the term of any existing regulatory and statutory exclusivity, including the non</w:t>
      </w:r>
      <w:r>
        <w:rPr>
          <w:rFonts w:ascii="MS PGothic" w:cs="MS PGothic" w:eastAsia="MS PGothic" w:hAnsi="MS PGothic"/>
          <w:sz w:val="17"/>
          <w:szCs w:val="17"/>
          <w:color w:val="auto"/>
        </w:rPr>
        <w:t>‑</w:t>
      </w:r>
      <w:r>
        <w:rPr>
          <w:rFonts w:ascii="Arial" w:cs="Arial" w:eastAsia="Arial" w:hAnsi="Arial"/>
          <w:sz w:val="17"/>
          <w:szCs w:val="17"/>
          <w:color w:val="auto"/>
        </w:rPr>
        <w:t>patent exclusivity period described above. This six</w:t>
      </w:r>
      <w:r>
        <w:rPr>
          <w:rFonts w:ascii="MS PGothic" w:cs="MS PGothic" w:eastAsia="MS PGothic" w:hAnsi="MS PGothic"/>
          <w:sz w:val="17"/>
          <w:szCs w:val="17"/>
          <w:color w:val="auto"/>
        </w:rPr>
        <w:t>‑</w:t>
      </w:r>
      <w:r>
        <w:rPr>
          <w:rFonts w:ascii="Arial" w:cs="Arial" w:eastAsia="Arial" w:hAnsi="Arial"/>
          <w:sz w:val="17"/>
          <w:szCs w:val="17"/>
          <w:color w:val="auto"/>
        </w:rPr>
        <w:t>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required time frames, whatever statutory or regulatory periods of exclusivity or Orange Book listed patent protection cover the drug are extended by six months. This is not a patent term extension, but it effectively extends the regulatory period during which the FDA cannot make an ANDA or</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60"/>
        <w:spacing w:after="0" w:line="224" w:lineRule="auto"/>
        <w:rPr>
          <w:sz w:val="20"/>
          <w:szCs w:val="20"/>
          <w:color w:val="auto"/>
        </w:rPr>
      </w:pPr>
      <w:r>
        <w:rPr>
          <w:rFonts w:ascii="Arial" w:cs="Arial" w:eastAsia="Arial" w:hAnsi="Arial"/>
          <w:sz w:val="18"/>
          <w:szCs w:val="18"/>
          <w:color w:val="auto"/>
        </w:rPr>
        <w:t>505(b)(2) application approval effective as a result of regulatory exclusivity or listed patents. Moreover, pediatric exclusivity attaches to all formulations, dosage forms, and indications for products with existing marketing exclusivity or patent life that contain the same active moiety as that which was studied.</w:t>
      </w:r>
    </w:p>
    <w:p>
      <w:pPr>
        <w:spacing w:after="0" w:line="163" w:lineRule="exact"/>
        <w:rPr>
          <w:sz w:val="20"/>
          <w:szCs w:val="20"/>
          <w:color w:val="auto"/>
        </w:rPr>
      </w:pPr>
    </w:p>
    <w:p>
      <w:pPr>
        <w:ind w:right="40" w:firstLine="648"/>
        <w:spacing w:after="0" w:line="180" w:lineRule="exact"/>
        <w:rPr>
          <w:sz w:val="20"/>
          <w:szCs w:val="20"/>
          <w:color w:val="auto"/>
        </w:rPr>
      </w:pPr>
      <w:r>
        <w:rPr>
          <w:rFonts w:ascii="Arial" w:cs="Arial" w:eastAsia="Arial" w:hAnsi="Arial"/>
          <w:sz w:val="16"/>
          <w:szCs w:val="16"/>
          <w:color w:val="auto"/>
        </w:rPr>
        <w:t>The Orphan Drug Act provides incentives for the development of drugs intended to treat rare diseases or conditions, which generally are diseases or conditions affecting less than 200,000 individuals annually in the United States, or affecting more than 200,000 in the United States and for which there is no reasonable expectation that the cost of developing and making the drug available in the United States will be recovered from United States sales. Additionally, sponsors must present a plausible hypothesis for clinical superiority to obtain orphan designation if there is a drug already approved by the FDA that is intended for the same indication and that is considered by the FDA to be the same drug as the already approved drug. This hypothesis must be demonstrated to obtain orphan drug exclusivity. If granted, prior to product approval, Orphan Drug Designation entitles a party to financial incentives such as opportunities for grant funding towards clinical study costs, tax advantages, and application user</w:t>
      </w:r>
      <w:r>
        <w:rPr>
          <w:rFonts w:ascii="MS PGothic" w:cs="MS PGothic" w:eastAsia="MS PGothic" w:hAnsi="MS PGothic"/>
          <w:sz w:val="16"/>
          <w:szCs w:val="16"/>
          <w:color w:val="auto"/>
        </w:rPr>
        <w:t>‑</w:t>
      </w:r>
      <w:r>
        <w:rPr>
          <w:rFonts w:ascii="Arial" w:cs="Arial" w:eastAsia="Arial" w:hAnsi="Arial"/>
          <w:sz w:val="16"/>
          <w:szCs w:val="16"/>
          <w:color w:val="auto"/>
        </w:rPr>
        <w:t>fee waivers. The tax advantages, however, were recently limited in Congress’ recent tax reform efforts. In addition, if a product receives FDA approval for the indication for which it has orphan designation, the product is generally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FDA Expedited Review and Approval Programs</w:t>
      </w:r>
    </w:p>
    <w:p>
      <w:pPr>
        <w:spacing w:after="0" w:line="185"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The FDA has various programs, including Fast Track designation, priority review and breakthrough designation, that are intended to expedite or simplify the process for the development and FDA review of certain drug products that are intended for the treatment of serious or life threatening diseases or conditions, and demonstrate the potential to address unmet medical needs or present a significant improvement over existing therapy. The purpose of these programs is to provide important new drugs to patients earlier than under standard FDA review procedures.</w:t>
      </w:r>
    </w:p>
    <w:p>
      <w:pPr>
        <w:spacing w:after="0" w:line="161" w:lineRule="exact"/>
        <w:rPr>
          <w:sz w:val="20"/>
          <w:szCs w:val="20"/>
          <w:color w:val="auto"/>
        </w:rPr>
      </w:pPr>
    </w:p>
    <w:p>
      <w:pPr>
        <w:ind w:right="120" w:firstLine="648"/>
        <w:spacing w:after="0" w:line="237" w:lineRule="auto"/>
        <w:rPr>
          <w:sz w:val="20"/>
          <w:szCs w:val="20"/>
          <w:color w:val="auto"/>
        </w:rPr>
      </w:pPr>
      <w:r>
        <w:rPr>
          <w:rFonts w:ascii="Arial" w:cs="Arial" w:eastAsia="Arial" w:hAnsi="Arial"/>
          <w:sz w:val="16"/>
          <w:szCs w:val="16"/>
          <w:color w:val="auto"/>
        </w:rPr>
        <w:t>To be eligible for a Fast Track designation, the FDA must determine, based on the request of a sponsor, that a product is intended to treat a serious or life threatening disease or condition and demonstrates the potential to address an unmet medical need. The FDA will determine that a product will fill an unmet medical need if the product will provide a therapy where none exists or provide a therapy that may be potentially superior to existing therapy based on efficacy, safety, or public health factors. If Fast Track designation is obtained, drug sponsors may be eligible for more frequent development meetings and correspondence with the FDA. In addition, the FDA may initiate review of sections of an NDA before the application is complete. This “rolling review” is available if the applicant provides and the FDA approves a schedule for the remaining information. In some cases, a Fast Track product may be eligible for accelerated approval or priority review.</w:t>
      </w:r>
    </w:p>
    <w:p>
      <w:pPr>
        <w:spacing w:after="0" w:line="167" w:lineRule="exact"/>
        <w:rPr>
          <w:sz w:val="20"/>
          <w:szCs w:val="20"/>
          <w:color w:val="auto"/>
        </w:rPr>
      </w:pPr>
    </w:p>
    <w:p>
      <w:pPr>
        <w:ind w:right="60" w:firstLine="648"/>
        <w:spacing w:after="0" w:line="185" w:lineRule="exact"/>
        <w:rPr>
          <w:sz w:val="20"/>
          <w:szCs w:val="20"/>
          <w:color w:val="auto"/>
        </w:rPr>
      </w:pPr>
      <w:r>
        <w:rPr>
          <w:rFonts w:ascii="Arial" w:cs="Arial" w:eastAsia="Arial" w:hAnsi="Arial"/>
          <w:sz w:val="18"/>
          <w:szCs w:val="18"/>
          <w:color w:val="auto"/>
        </w:rPr>
        <w:t>The FDA may give a priority review designation to drugs that are intended to treat serious conditions and, if approved, would provide significant improvements in the safety or effectiveness of the treatment, diagnosis, or prevention of serious conditions. A priority review means that the goal for the FDA is to review an application within six months, rather than the standard review of ten months under current PDUFA guidelines, of the 60</w:t>
      </w:r>
      <w:r>
        <w:rPr>
          <w:rFonts w:ascii="MS PGothic" w:cs="MS PGothic" w:eastAsia="MS PGothic" w:hAnsi="MS PGothic"/>
          <w:sz w:val="18"/>
          <w:szCs w:val="18"/>
          <w:color w:val="auto"/>
        </w:rPr>
        <w:t>‑</w:t>
      </w:r>
      <w:r>
        <w:rPr>
          <w:rFonts w:ascii="Arial" w:cs="Arial" w:eastAsia="Arial" w:hAnsi="Arial"/>
          <w:sz w:val="18"/>
          <w:szCs w:val="18"/>
          <w:color w:val="auto"/>
        </w:rPr>
        <w:t>day filing date for NMEs and within six months of the submission receipt date for non</w:t>
      </w:r>
      <w:r>
        <w:rPr>
          <w:rFonts w:ascii="MS PGothic" w:cs="MS PGothic" w:eastAsia="MS PGothic" w:hAnsi="MS PGothic"/>
          <w:sz w:val="18"/>
          <w:szCs w:val="18"/>
          <w:color w:val="auto"/>
        </w:rPr>
        <w:t>‑</w:t>
      </w:r>
      <w:r>
        <w:rPr>
          <w:rFonts w:ascii="Arial" w:cs="Arial" w:eastAsia="Arial" w:hAnsi="Arial"/>
          <w:sz w:val="18"/>
          <w:szCs w:val="18"/>
          <w:color w:val="auto"/>
        </w:rPr>
        <w:t>NMEs. Products that are eligible for Fast Track designation may also be considered appropriate to receive a priority review.</w:t>
      </w:r>
    </w:p>
    <w:p>
      <w:pPr>
        <w:spacing w:after="0" w:line="162" w:lineRule="exact"/>
        <w:rPr>
          <w:sz w:val="20"/>
          <w:szCs w:val="20"/>
          <w:color w:val="auto"/>
        </w:rPr>
      </w:pPr>
    </w:p>
    <w:p>
      <w:pPr>
        <w:ind w:right="240" w:firstLine="648"/>
        <w:spacing w:after="0" w:line="184" w:lineRule="exact"/>
        <w:rPr>
          <w:sz w:val="20"/>
          <w:szCs w:val="20"/>
          <w:color w:val="auto"/>
        </w:rPr>
      </w:pPr>
      <w:r>
        <w:rPr>
          <w:rFonts w:ascii="Arial" w:cs="Arial" w:eastAsia="Arial" w:hAnsi="Arial"/>
          <w:sz w:val="16"/>
          <w:szCs w:val="16"/>
          <w:color w:val="auto"/>
        </w:rPr>
        <w:t>Moreover, under the provisions of the Food and Drug Administration Safety and Innovation Act, or FDASIA, enacted in 2012, a sponsor can request designation of a product candidate as a “breakthrough therapy.” A breakthrough therapy is defined as a drug that is intended, alone or in combination with one or more other drugs, to treat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the Fast Track designation features as described above, intensive guidance on an efficient drug development program</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79"/>
        <w:spacing w:after="0" w:line="203" w:lineRule="exact"/>
        <w:rPr>
          <w:sz w:val="20"/>
          <w:szCs w:val="20"/>
          <w:color w:val="auto"/>
        </w:rPr>
      </w:pPr>
      <w:r>
        <w:rPr>
          <w:rFonts w:ascii="Arial" w:cs="Arial" w:eastAsia="Arial" w:hAnsi="Arial"/>
          <w:sz w:val="18"/>
          <w:szCs w:val="18"/>
          <w:color w:val="auto"/>
        </w:rPr>
        <w:t>beginning as early as Phase 1 trials, and a commitment from the FDA to involve senior managers and experienced review staff in a proactive collaborative, cross</w:t>
      </w:r>
      <w:r>
        <w:rPr>
          <w:rFonts w:ascii="MS PGothic" w:cs="MS PGothic" w:eastAsia="MS PGothic" w:hAnsi="MS PGothic"/>
          <w:sz w:val="18"/>
          <w:szCs w:val="18"/>
          <w:color w:val="auto"/>
        </w:rPr>
        <w:t>‑</w:t>
      </w:r>
      <w:r>
        <w:rPr>
          <w:rFonts w:ascii="Arial" w:cs="Arial" w:eastAsia="Arial" w:hAnsi="Arial"/>
          <w:sz w:val="18"/>
          <w:szCs w:val="18"/>
          <w:color w:val="auto"/>
        </w:rPr>
        <w:t>disciplinary review.</w:t>
      </w:r>
    </w:p>
    <w:p>
      <w:pPr>
        <w:spacing w:after="0" w:line="162" w:lineRule="exact"/>
        <w:rPr>
          <w:sz w:val="20"/>
          <w:szCs w:val="20"/>
          <w:color w:val="auto"/>
        </w:rPr>
      </w:pPr>
    </w:p>
    <w:p>
      <w:pPr>
        <w:ind w:right="119" w:firstLine="648"/>
        <w:spacing w:after="0" w:line="289" w:lineRule="auto"/>
        <w:rPr>
          <w:sz w:val="20"/>
          <w:szCs w:val="20"/>
          <w:color w:val="auto"/>
        </w:rPr>
      </w:pPr>
      <w:r>
        <w:rPr>
          <w:rFonts w:ascii="Arial" w:cs="Arial" w:eastAsia="Arial" w:hAnsi="Arial"/>
          <w:sz w:val="16"/>
          <w:szCs w:val="16"/>
          <w:color w:val="auto"/>
        </w:rPr>
        <w:t>Even if a product qualifies for one or more of these programs, the FDA may later decide that the product no longer meets the conditions for qualification or decide that the time period for FDA review or approval will not be shortened.</w:t>
      </w:r>
    </w:p>
    <w:p>
      <w:pPr>
        <w:spacing w:after="0" w:line="124"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Post</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approval Requirements</w:t>
      </w:r>
    </w:p>
    <w:p>
      <w:pPr>
        <w:spacing w:after="0" w:line="185" w:lineRule="exact"/>
        <w:rPr>
          <w:sz w:val="20"/>
          <w:szCs w:val="20"/>
          <w:color w:val="auto"/>
        </w:rPr>
      </w:pPr>
    </w:p>
    <w:p>
      <w:pPr>
        <w:ind w:right="99" w:firstLine="648"/>
        <w:spacing w:after="0" w:line="185" w:lineRule="exact"/>
        <w:rPr>
          <w:sz w:val="20"/>
          <w:szCs w:val="20"/>
          <w:color w:val="auto"/>
        </w:rPr>
      </w:pPr>
      <w:r>
        <w:rPr>
          <w:rFonts w:ascii="Arial" w:cs="Arial" w:eastAsia="Arial" w:hAnsi="Arial"/>
          <w:sz w:val="18"/>
          <w:szCs w:val="18"/>
          <w:color w:val="auto"/>
        </w:rPr>
        <w:t>Any product manufactured or distributed pursuant to FDA approvals are subject to pervasive and continuing regulation by the FDA, including, among other things, requirements related to manufacturing, recordkeeping, and reporting, including adverse experience reporting, drug shortage reporting, and periodic reporting; product sampling and distribution; advertising; marketing; promotion; certain electronic records and signatures; and post</w:t>
      </w:r>
      <w:r>
        <w:rPr>
          <w:rFonts w:ascii="MS PGothic" w:cs="MS PGothic" w:eastAsia="MS PGothic" w:hAnsi="MS PGothic"/>
          <w:sz w:val="18"/>
          <w:szCs w:val="18"/>
          <w:color w:val="auto"/>
        </w:rPr>
        <w:t>‑</w:t>
      </w:r>
      <w:r>
        <w:rPr>
          <w:rFonts w:ascii="Arial" w:cs="Arial" w:eastAsia="Arial" w:hAnsi="Arial"/>
          <w:sz w:val="18"/>
          <w:szCs w:val="18"/>
          <w:color w:val="auto"/>
        </w:rPr>
        <w:t>approval obligations imposed as a condition of approval, such as Phase 4 clinical trials, REMS, and surveillance to assess safety and effectiveness after commercialization.</w:t>
      </w:r>
    </w:p>
    <w:p>
      <w:pPr>
        <w:spacing w:after="0" w:line="162" w:lineRule="exact"/>
        <w:rPr>
          <w:sz w:val="20"/>
          <w:szCs w:val="20"/>
          <w:color w:val="auto"/>
        </w:rPr>
      </w:pPr>
    </w:p>
    <w:p>
      <w:pPr>
        <w:ind w:right="39" w:firstLine="648"/>
        <w:spacing w:after="0" w:line="183" w:lineRule="exact"/>
        <w:rPr>
          <w:sz w:val="20"/>
          <w:szCs w:val="20"/>
          <w:color w:val="auto"/>
        </w:rPr>
      </w:pPr>
      <w:r>
        <w:rPr>
          <w:rFonts w:ascii="Arial" w:cs="Arial" w:eastAsia="Arial" w:hAnsi="Arial"/>
          <w:sz w:val="18"/>
          <w:szCs w:val="18"/>
          <w:color w:val="auto"/>
        </w:rPr>
        <w:t>After approval, most changes to the approved product, such as adding new indications or other labeling claims are subject to prior FDA review and approval. There are also continuing annual prescription drug program user fee requirements for any approved products. In addition, drug manufacturers and other entities involved in the manufacture and distribution of approved drugs are required to register their establishments with the FDA and certain state agencies and list their drug products, and are subject to periodic announced and unannounced inspections by the FDA and these state agencies for compliance with cGMP and other requirements, which impose certain procedural and documentation requirements upon the company and third</w:t>
      </w:r>
      <w:r>
        <w:rPr>
          <w:rFonts w:ascii="MS PGothic" w:cs="MS PGothic" w:eastAsia="MS PGothic" w:hAnsi="MS PGothic"/>
          <w:sz w:val="18"/>
          <w:szCs w:val="18"/>
          <w:color w:val="auto"/>
        </w:rPr>
        <w:t>‑</w:t>
      </w:r>
      <w:r>
        <w:rPr>
          <w:rFonts w:ascii="Arial" w:cs="Arial" w:eastAsia="Arial" w:hAnsi="Arial"/>
          <w:sz w:val="18"/>
          <w:szCs w:val="18"/>
          <w:color w:val="auto"/>
        </w:rPr>
        <w:t>party manufacturers.</w:t>
      </w:r>
    </w:p>
    <w:p>
      <w:pPr>
        <w:spacing w:after="0" w:line="165" w:lineRule="exact"/>
        <w:rPr>
          <w:sz w:val="20"/>
          <w:szCs w:val="20"/>
          <w:color w:val="auto"/>
        </w:rPr>
      </w:pPr>
    </w:p>
    <w:p>
      <w:pPr>
        <w:ind w:right="139" w:firstLine="648"/>
        <w:spacing w:after="0" w:line="187" w:lineRule="exact"/>
        <w:rPr>
          <w:sz w:val="20"/>
          <w:szCs w:val="20"/>
          <w:color w:val="auto"/>
        </w:rPr>
      </w:pPr>
      <w:r>
        <w:rPr>
          <w:rFonts w:ascii="Arial" w:cs="Arial" w:eastAsia="Arial" w:hAnsi="Arial"/>
          <w:sz w:val="17"/>
          <w:szCs w:val="17"/>
          <w:color w:val="auto"/>
        </w:rPr>
        <w:t>Changes to the manufacturing process are strictly regulated and often require prior FDA approval or notification before being implemented. FDA regulations also require investigation and correction of any deviations from cGMP and specifications, and impose reporting and documentation requirements upon the sponsor and any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that the sponsor may decide to use. Accordingly, manufacturers must continue to expend time, money, and effort in the area of production and quality control to maintain cGMP compliance.</w:t>
      </w:r>
    </w:p>
    <w:p>
      <w:pPr>
        <w:spacing w:after="0" w:line="161" w:lineRule="exact"/>
        <w:rPr>
          <w:sz w:val="20"/>
          <w:szCs w:val="20"/>
          <w:color w:val="auto"/>
        </w:rPr>
      </w:pPr>
    </w:p>
    <w:p>
      <w:pPr>
        <w:ind w:right="19" w:firstLine="648"/>
        <w:spacing w:after="0" w:line="181" w:lineRule="exact"/>
        <w:rPr>
          <w:sz w:val="20"/>
          <w:szCs w:val="20"/>
          <w:color w:val="auto"/>
        </w:rPr>
      </w:pPr>
      <w:r>
        <w:rPr>
          <w:rFonts w:ascii="Arial" w:cs="Arial" w:eastAsia="Arial" w:hAnsi="Arial"/>
          <w:sz w:val="17"/>
          <w:szCs w:val="17"/>
          <w:color w:val="auto"/>
        </w:rPr>
        <w:t>The FDA also strictly regulates marketing, labeling, advertising, and promotion of products that are placed on the market. A company can make only those claims relating to safety and efficacy, purity, and potency that are approved by the FDA. Physicians, in their independent professional medical judgment, may prescribe legally available products for unapproved indications that are not described in the product’s labeling and that differ from those tested and approved by the FDA. Pharmaceutical companies, however, are required to promote their drug products only for the approved indications and in accordance with the provisions of the approved label. The FDA and other agencies actively enforce the laws and regulations prohibiting the promotion of off</w:t>
      </w:r>
      <w:r>
        <w:rPr>
          <w:rFonts w:ascii="MS PGothic" w:cs="MS PGothic" w:eastAsia="MS PGothic" w:hAnsi="MS PGothic"/>
          <w:sz w:val="17"/>
          <w:szCs w:val="17"/>
          <w:color w:val="auto"/>
        </w:rPr>
        <w:t>‑</w:t>
      </w:r>
      <w:r>
        <w:rPr>
          <w:rFonts w:ascii="Arial" w:cs="Arial" w:eastAsia="Arial" w:hAnsi="Arial"/>
          <w:sz w:val="17"/>
          <w:szCs w:val="17"/>
          <w:color w:val="auto"/>
        </w:rPr>
        <w:t>label uses, and a company that is found to have improperly promoted off</w:t>
      </w:r>
      <w:r>
        <w:rPr>
          <w:rFonts w:ascii="MS PGothic" w:cs="MS PGothic" w:eastAsia="MS PGothic" w:hAnsi="MS PGothic"/>
          <w:sz w:val="17"/>
          <w:szCs w:val="17"/>
          <w:color w:val="auto"/>
        </w:rPr>
        <w:t>‑</w:t>
      </w:r>
      <w:r>
        <w:rPr>
          <w:rFonts w:ascii="Arial" w:cs="Arial" w:eastAsia="Arial" w:hAnsi="Arial"/>
          <w:sz w:val="17"/>
          <w:szCs w:val="17"/>
          <w:color w:val="auto"/>
        </w:rPr>
        <w:t>label uses may be subject to significant liability, including, but not limited to, criminal and civil penalties under the FDCA and False Claims Act, exclusion from participation in federal healthcare programs, mandatory compliance programs under corporate integrity agreements, debarment, and refusal of government contracts.</w:t>
      </w:r>
    </w:p>
    <w:p>
      <w:pPr>
        <w:spacing w:after="0" w:line="164" w:lineRule="exact"/>
        <w:rPr>
          <w:sz w:val="20"/>
          <w:szCs w:val="20"/>
          <w:color w:val="auto"/>
        </w:rPr>
      </w:pPr>
    </w:p>
    <w:p>
      <w:pPr>
        <w:ind w:right="19" w:firstLine="648"/>
        <w:spacing w:after="0" w:line="259" w:lineRule="auto"/>
        <w:rPr>
          <w:sz w:val="20"/>
          <w:szCs w:val="20"/>
          <w:color w:val="auto"/>
        </w:rPr>
      </w:pPr>
      <w:r>
        <w:rPr>
          <w:rFonts w:ascii="Arial" w:cs="Arial" w:eastAsia="Arial" w:hAnsi="Arial"/>
          <w:sz w:val="16"/>
          <w:szCs w:val="16"/>
          <w:color w:val="auto"/>
        </w:rPr>
        <w:t>In addition, the distribution of prescription pharmaceutical products is subject to the Prescription Drug Marketing Act, or PDMA, which regulates the distribution of drug samples at the federal level. Both the PDMA and state laws limit the distribution of prescription pharmaceutical product samples and impose requirements to ensure accountability in distribution.</w:t>
      </w:r>
    </w:p>
    <w:p>
      <w:pPr>
        <w:spacing w:after="0" w:line="147" w:lineRule="exact"/>
        <w:rPr>
          <w:sz w:val="20"/>
          <w:szCs w:val="20"/>
          <w:color w:val="auto"/>
        </w:rPr>
      </w:pPr>
    </w:p>
    <w:p>
      <w:pPr>
        <w:ind w:right="19" w:firstLine="648"/>
        <w:spacing w:after="0" w:line="226" w:lineRule="auto"/>
        <w:rPr>
          <w:sz w:val="20"/>
          <w:szCs w:val="20"/>
          <w:color w:val="auto"/>
        </w:rPr>
      </w:pPr>
      <w:r>
        <w:rPr>
          <w:rFonts w:ascii="Arial" w:cs="Arial" w:eastAsia="Arial" w:hAnsi="Arial"/>
          <w:sz w:val="17"/>
          <w:szCs w:val="17"/>
          <w:color w:val="auto"/>
        </w:rPr>
        <w:t>Moreover, the Drug Quality and Security Act, or DQSA, imposes obligations on manufacturers of pharmaceutical products related to product tracking and tracing. Among the requirements of this legislation, manufacturers are required to provide certain information regarding the drug products to individuals and entities to which product ownership is transferred, will be required to label drug product with a product identifier, and are required to keep certain records regarding the drug product. The transfer of information to subsequent product owners by manufacturers is also required to be done electronically. Manufacturers are also required to verify that purchasers of the</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80"/>
        <w:spacing w:after="0" w:line="229" w:lineRule="auto"/>
        <w:rPr>
          <w:sz w:val="20"/>
          <w:szCs w:val="20"/>
          <w:color w:val="auto"/>
        </w:rPr>
      </w:pPr>
      <w:r>
        <w:rPr>
          <w:rFonts w:ascii="Arial" w:cs="Arial" w:eastAsia="Arial" w:hAnsi="Arial"/>
          <w:sz w:val="17"/>
          <w:szCs w:val="17"/>
          <w:color w:val="auto"/>
        </w:rPr>
        <w:t>manufacturers’ products are appropriately licensed. Further, under this new legislation, manufactures have drug product investigation, quarantine, disposition, and notification responsibilities related to counterfeit, diverted, stolen, and intentionally adulterated products that would result in serious adverse health consequences of death to humans, as well as products that are the subject of fraudulent transactions or which are otherwise unfit for distribution such that they would be reasonably likely to result in serious health consequences or death.</w:t>
      </w:r>
    </w:p>
    <w:p>
      <w:pPr>
        <w:spacing w:after="0" w:line="161"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Later discovery of previously unknown problems with a product, including adverse events of unanticipated severity or frequency, or with manufacturing processes, or failure to comply with regulatory requirements, may result in significant regulatory actions. Such actions may include refusal to approve pending applications, license suspension or revocation, withdrawal of an approval, imposition of a clinical hold or termination of clinical trials, warning letters, untitled letters, cyber letters, modification of promotional materials or labeling, provision of corrective information, imposition of post</w:t>
      </w:r>
      <w:r>
        <w:rPr>
          <w:rFonts w:ascii="MS PGothic" w:cs="MS PGothic" w:eastAsia="MS PGothic" w:hAnsi="MS PGothic"/>
          <w:sz w:val="17"/>
          <w:szCs w:val="17"/>
          <w:color w:val="auto"/>
        </w:rPr>
        <w:t>‑</w:t>
      </w:r>
      <w:r>
        <w:rPr>
          <w:rFonts w:ascii="Arial" w:cs="Arial" w:eastAsia="Arial" w:hAnsi="Arial"/>
          <w:sz w:val="17"/>
          <w:szCs w:val="17"/>
          <w:color w:val="auto"/>
        </w:rPr>
        <w: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may result in adverse publicity, among other adverse consequences.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Fraud and Abuse, and Transparency Laws and Regulations</w:t>
      </w:r>
    </w:p>
    <w:p>
      <w:pPr>
        <w:spacing w:after="0" w:line="185" w:lineRule="exact"/>
        <w:rPr>
          <w:sz w:val="20"/>
          <w:szCs w:val="20"/>
          <w:color w:val="auto"/>
        </w:rPr>
      </w:pPr>
    </w:p>
    <w:p>
      <w:pPr>
        <w:ind w:right="100" w:firstLine="648"/>
        <w:spacing w:after="0" w:line="182" w:lineRule="exact"/>
        <w:rPr>
          <w:sz w:val="20"/>
          <w:szCs w:val="20"/>
          <w:color w:val="auto"/>
        </w:rPr>
      </w:pPr>
      <w:r>
        <w:rPr>
          <w:rFonts w:ascii="Arial" w:cs="Arial" w:eastAsia="Arial" w:hAnsi="Arial"/>
          <w:sz w:val="18"/>
          <w:szCs w:val="18"/>
          <w:color w:val="auto"/>
        </w:rPr>
        <w:t>Our business activities, including but not limited to research, sales, promotion, distribution, medical education, and other activities following product approval, will be subject to regulation by numerous federal and state regulatory and law enforcement authorities in the United States in addition to the FDA, including potentially the Department of Justice, the Department of Health and Human Services and its various divisions, including the Centers for Medicare &amp; Medicaid Services, or CMS, and the Health Resources and Services Administration, the Department of Veterans Affairs, the Department of Defense, and state and local governments. Our business activities must comply with numerous healthcare laws, including but not limited to, anti</w:t>
      </w:r>
      <w:r>
        <w:rPr>
          <w:rFonts w:ascii="MS PGothic" w:cs="MS PGothic" w:eastAsia="MS PGothic" w:hAnsi="MS PGothic"/>
          <w:sz w:val="18"/>
          <w:szCs w:val="18"/>
          <w:color w:val="auto"/>
        </w:rPr>
        <w:t>‑</w:t>
      </w:r>
      <w:r>
        <w:rPr>
          <w:rFonts w:ascii="Arial" w:cs="Arial" w:eastAsia="Arial" w:hAnsi="Arial"/>
          <w:sz w:val="18"/>
          <w:szCs w:val="18"/>
          <w:color w:val="auto"/>
        </w:rPr>
        <w:t>kickback and false claims laws and regulations as well as data privacy and security laws and regulations, which are described below.</w:t>
      </w:r>
    </w:p>
    <w:p>
      <w:pPr>
        <w:spacing w:after="0" w:line="165"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The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or recommending the purchase, lease, furnishing, or order of any item or service reimbursable under Medicare, Medicaid, or other federal healthcare programs, in whole or in part. The term “remuneration” has been interpreted broadly to include anything of value. The Anti</w:t>
      </w:r>
      <w:r>
        <w:rPr>
          <w:rFonts w:ascii="MS PGothic" w:cs="MS PGothic" w:eastAsia="MS PGothic" w:hAnsi="MS PGothic"/>
          <w:sz w:val="16"/>
          <w:szCs w:val="16"/>
          <w:color w:val="auto"/>
        </w:rPr>
        <w:t>‑</w:t>
      </w:r>
      <w:r>
        <w:rPr>
          <w:rFonts w:ascii="Arial" w:cs="Arial" w:eastAsia="Arial" w:hAnsi="Arial"/>
          <w:sz w:val="16"/>
          <w:szCs w:val="16"/>
          <w:color w:val="auto"/>
        </w:rPr>
        <w:t>Kickback Statute has been interpreted to apply to arrangements between pharmaceutical manufacturers on one hand and prescribers, purchasers, formulary managers, and beneficiaries on the other. There are certain statutory exceptions and regulatory safe harbors protecting some common activities from prosecution. The exceptions and safe harbors are drawn narrowly, and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w:t>
      </w:r>
      <w:r>
        <w:rPr>
          <w:rFonts w:ascii="MS PGothic" w:cs="MS PGothic" w:eastAsia="MS PGothic" w:hAnsi="MS PGothic"/>
          <w:sz w:val="16"/>
          <w:szCs w:val="16"/>
          <w:color w:val="auto"/>
        </w:rPr>
        <w:t>‑</w:t>
      </w:r>
      <w:r>
        <w:rPr>
          <w:rFonts w:ascii="Arial" w:cs="Arial" w:eastAsia="Arial" w:hAnsi="Arial"/>
          <w:sz w:val="16"/>
          <w:szCs w:val="16"/>
          <w:color w:val="auto"/>
        </w:rPr>
        <w:t>Kickback Statute. Instead, the legality of the arrangement will be evaluated on a case</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case basis based on a cumulative review of all of its facts and circumstances. Several courts have interpreted the statute’s intent requirement to mean that if any one purpose of an arrangement involving remuneration is to induce referrals of federal healthcare covered business, the statute has been violated. The Patient Protection and Affordable Care Act, or ACA, of 2010, as amended, modified the intent requirement under the Anti</w:t>
      </w:r>
      <w:r>
        <w:rPr>
          <w:rFonts w:ascii="MS PGothic" w:cs="MS PGothic" w:eastAsia="MS PGothic" w:hAnsi="MS PGothic"/>
          <w:sz w:val="16"/>
          <w:szCs w:val="16"/>
          <w:color w:val="auto"/>
        </w:rPr>
        <w:t>‑</w:t>
      </w:r>
      <w:r>
        <w:rPr>
          <w:rFonts w:ascii="Arial" w:cs="Arial" w:eastAsia="Arial" w:hAnsi="Arial"/>
          <w:sz w:val="16"/>
          <w:szCs w:val="16"/>
          <w:color w:val="auto"/>
        </w:rPr>
        <w:t>Kickback Statute to a stricter standard, such that a person or entity no longer needs to have actual knowledge of the statute or specific intent to violate it in order to have committed a violation. In addition, the ACA also provided that a violation of the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is grounds for the government or a whistleblower to assert that a claim for payment of items or services resulting from such violation constitutes a false or fraudulent claim for purposes of the federal civil False Claims Act. The ACA further created new federal requirements for reporting, by applicable manufacturers of covered drugs, payments and other transfers of value to physicians and teaching hospitals, and ownership and investment interests held by physicians and other healthcare providers and their immediate family members.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The federal civil False Claims Act, or FCA, prohibits, among other things, any person or entity from knowingly presenting, or causing to be presented, a false or fraudulent claim for payment to, or approval by, the federal government, knowingly making, using, or causing to be made or used a false record or statement material to a false or fraudulent claim to the federal government, or avoiding, decreasing, or concealing an obligation to pay money to the federal government. A claim includes “any request or demand” for money or property presented to the U.S. government. The civil False Claims Act has been used to assert liability on the basis of kickbacks and other improper referrals, improperly reported government pricing metrics such as Best Price or Average Manufacturer Price, or submission of inaccurate information required by government contracts, improper use of Medicare provider or supplier numbers when detailing a provider of services, improper promotion of off</w:t>
      </w:r>
      <w:r>
        <w:rPr>
          <w:rFonts w:ascii="MS PGothic" w:cs="MS PGothic" w:eastAsia="MS PGothic" w:hAnsi="MS PGothic"/>
          <w:sz w:val="16"/>
          <w:szCs w:val="16"/>
          <w:color w:val="auto"/>
        </w:rPr>
        <w:t>‑</w:t>
      </w:r>
      <w:r>
        <w:rPr>
          <w:rFonts w:ascii="Arial" w:cs="Arial" w:eastAsia="Arial" w:hAnsi="Arial"/>
          <w:sz w:val="16"/>
          <w:szCs w:val="16"/>
          <w:color w:val="auto"/>
        </w:rPr>
        <w:t>label uses not expressly approved by the FDA in a drug’s label, and allegations as to misrepresentations with respect to the products supplied or services rendered. Several pharmaceutical and other healthcare companies have further been sued under these laws for allegedly providing free product to customers with the expectation that the customers would bill federal programs for the product. Intent to deceive is not required to establish liability under the civil False Claims Act; however, a change in Department of Justice policy now prohibits enforcement actions for knowing violations of law based on non-compliance with agency sub-regulatory guidance. Civil False Claims Act actions may be brought by the government or may be brought by private individuals on behalf of the government, called “qui tam” actions. If the government decides to intervene in a qui tam action and prevails in the lawsuit, the individual will share in the proceeds from any fines or settlement funds. If the government declines to intervene, the individual may pursue the case alone. Since 2004, these False Claims Act lawsuits against pharmaceutical companies have increased significantly in volume and breadth, leading to several substantial civil and criminal settlements, as much as $3.0 billion, regarding certain sales practices and promoting off label drug uses. Civil False Claims act liability may be imposed for Medicare or Medicaid overpayments, for example, overpayments caused by understated rebate amounts, that are not refunded within 60 days of discovering the overpayment, even if the overpayment was not caused by a false or fraudulent act.</w:t>
      </w:r>
    </w:p>
    <w:p>
      <w:pPr>
        <w:spacing w:after="0" w:line="215" w:lineRule="exact"/>
        <w:rPr>
          <w:sz w:val="20"/>
          <w:szCs w:val="20"/>
          <w:color w:val="auto"/>
        </w:rPr>
      </w:pPr>
    </w:p>
    <w:p>
      <w:pPr>
        <w:jc w:val="both"/>
        <w:ind w:right="120" w:firstLine="648"/>
        <w:spacing w:after="0" w:line="238" w:lineRule="auto"/>
        <w:rPr>
          <w:sz w:val="20"/>
          <w:szCs w:val="20"/>
          <w:color w:val="auto"/>
        </w:rPr>
      </w:pPr>
      <w:r>
        <w:rPr>
          <w:rFonts w:ascii="Arial" w:cs="Arial" w:eastAsia="Arial" w:hAnsi="Arial"/>
          <w:sz w:val="17"/>
          <w:szCs w:val="17"/>
          <w:color w:val="auto"/>
        </w:rPr>
        <w:t>The government may further prosecute conduct constituting a false claim under the criminal False Claims Act. The criminal False Claims Act prohibits the making or presenting of a claim to the government knowing such claim to be false, fictitious, or fraudulent and, unlike the civil False Claims Act, requires proof of intent to submit a false claim.</w:t>
      </w:r>
    </w:p>
    <w:p>
      <w:pPr>
        <w:spacing w:after="0" w:line="161" w:lineRule="exact"/>
        <w:rPr>
          <w:sz w:val="20"/>
          <w:szCs w:val="20"/>
          <w:color w:val="auto"/>
        </w:rPr>
      </w:pPr>
    </w:p>
    <w:p>
      <w:pPr>
        <w:ind w:right="200" w:firstLine="648"/>
        <w:spacing w:after="0" w:line="232" w:lineRule="auto"/>
        <w:rPr>
          <w:sz w:val="20"/>
          <w:szCs w:val="20"/>
          <w:color w:val="auto"/>
        </w:rPr>
      </w:pPr>
      <w:r>
        <w:rPr>
          <w:rFonts w:ascii="Arial" w:cs="Arial" w:eastAsia="Arial" w:hAnsi="Arial"/>
          <w:sz w:val="17"/>
          <w:szCs w:val="17"/>
          <w:color w:val="auto"/>
        </w:rPr>
        <w:t>The civil monetary penalties statute is another potential statute under which biopharmaceutical companies may be subject to enforcement. Among other things, the civil monetary penalties statue imposes fines against any person who is determined to have presented, or caused to be presented, claims to a federal healthcare program that the person knows, or should know, is for an item or service that was not provided as claimed or is false or fraudulent.</w:t>
      </w:r>
    </w:p>
    <w:p>
      <w:pPr>
        <w:spacing w:after="0" w:line="163"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Payment or reimbursement of prescription drugs by Medicaid or Medicare requires manufacturers of the drugs to submit pricing information to CMS. The Medicaid Drug Rebate statute requires manufacturers to calculate and report price points, which are used to determine Medicaid rebate payments shared between the states and the federal government and Medicaid payment rates for certain drugs. For drugs paid under Medicare Part B, manufacturers must also calculate and report their Average Sales Price, which is used to determine the Medicare Part B payment rate for the drug. Drugs that are approved under a Biologic License Application, or BLA, or an NDA, including 505(b)(2) drugs, are subject to an additional inflation penalty which can substantially increase rebate payments. In addition, for BLA and NDA drugs, the Veterans Health Care Act, or VHCA, requires manufacturers to calculate and report to the Veterans Administration, or VA, a different price called the Non</w:t>
      </w:r>
      <w:r>
        <w:rPr>
          <w:rFonts w:ascii="MS PGothic" w:cs="MS PGothic" w:eastAsia="MS PGothic" w:hAnsi="MS PGothic"/>
          <w:sz w:val="16"/>
          <w:szCs w:val="16"/>
          <w:color w:val="auto"/>
        </w:rPr>
        <w:t>‑</w:t>
      </w:r>
      <w:r>
        <w:rPr>
          <w:rFonts w:ascii="Arial" w:cs="Arial" w:eastAsia="Arial" w:hAnsi="Arial"/>
          <w:sz w:val="16"/>
          <w:szCs w:val="16"/>
          <w:color w:val="auto"/>
        </w:rPr>
        <w:t>Federal Average Manufacturing Price, which is used to determine the maximum price that can be charged to certain federal agencies, referred to as the Federal Ceiling Price, or FCP. Like the Medicaid rebate amount, the FCP includes an inflation penalty. A Department of Defense regulation requires manufacturers to provide this discount through prescription rebates on drugs dispensed by retail pharmacies when paid by the TRICARE Program. All of these price reporting requirements create risk of submitting false information to the government, and potential FCA liability.</w:t>
      </w:r>
    </w:p>
    <w:p>
      <w:pPr>
        <w:spacing w:after="0" w:line="166"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The VHCA also requires manufacturers of covered drugs participating in the Medicaid program to enter into Federal Supply Schedule contracts with the VA through which their covered drugs must be sold to certain federal agencies at FCP and to report pricing information. This necessitates compliance with applicable federal procurement laws and regulations and subjects us to contractual remedies as well as administrative, civil, and criminal sanctions. In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240"/>
        <w:spacing w:after="0" w:line="224" w:lineRule="auto"/>
        <w:rPr>
          <w:sz w:val="20"/>
          <w:szCs w:val="20"/>
          <w:color w:val="auto"/>
        </w:rPr>
      </w:pPr>
      <w:r>
        <w:rPr>
          <w:rFonts w:ascii="Arial" w:cs="Arial" w:eastAsia="Arial" w:hAnsi="Arial"/>
          <w:sz w:val="18"/>
          <w:szCs w:val="18"/>
          <w:color w:val="auto"/>
        </w:rPr>
        <w:t>addition, the VHCA requires manufacturers participating in Medicaid to agree to provide different mandatory discounts to certain Public Health Service grantees and other safety net hospitals and clinics, and report the ceiling price to the Health Resources and Services Agency within Health and Human Services.</w:t>
      </w:r>
    </w:p>
    <w:p>
      <w:pPr>
        <w:spacing w:after="0" w:line="17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federal Health Insurance Portability and Accountability Act of 1996, or HIPAA, also created federal criminal statutes that prohibit knowingly and willfully executing, or attempting to execute, a scheme to defraud or to obtain, by means of false or fraudulent pretenses, representations, or promises, any of the money or property owned by, or under the custody or control of, a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The ACA, as amended, modified the intent requirement under the certain portions of these federal criminal statutes such that a person or entity no longer needs to have actual knowledge of the statute or specific intent to violate it.</w:t>
      </w:r>
    </w:p>
    <w:p>
      <w:pPr>
        <w:spacing w:after="0" w:line="19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The ACA further created federal requirements for reporting, by applicable manufacturers of covered therapeutics, payments and other transfers of value to physicians and teaching hospitals, and ownership and investment interests held by physicians and other healthcare providers and their immediate family members.</w:t>
      </w:r>
    </w:p>
    <w:p>
      <w:pPr>
        <w:spacing w:after="0" w:line="18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Further, we may be subject to data privacy and security regulation by both the federal government and the states in which we conduct our business. HIPAA, as amended by the Health Information Technology for Economic and Clinical Health Act, or HITECH, and its respective implementing regulations, imposes certain requirements on covered entities relating to the privacy, security, and transmission of individually identifiable health information. Among other things, HITECH, through its implementing regulations, makes HIPAA’s security standards and certain privacy standards directly applicable to business associates, defined as a person or organization, other than a member of a covered entity’s workforce, that performs certain functions or activities that involve the use or disclosure of protected health information on behalf of, or provides services to, a covered entity. HITECH also strengthened the civil and criminal penalties that may be imposed against covered entities, business associates, and individuals, and gave state attorneys general new authority to file civil actions for damages or injunctions in federal courts to enforce the federal HIPAA laws and seek attorneys’ fees and costs associated with pursuing federal civil actions. In addition, other federal and state laws may govern the privacy and security of health and other information in certain circumstances, many of which differ from each other in significant ways and may not have the same effect, thus complicating compliance efforts.</w:t>
      </w:r>
    </w:p>
    <w:p>
      <w:pPr>
        <w:spacing w:after="0" w:line="174" w:lineRule="exact"/>
        <w:rPr>
          <w:sz w:val="20"/>
          <w:szCs w:val="20"/>
          <w:color w:val="auto"/>
        </w:rPr>
      </w:pPr>
    </w:p>
    <w:p>
      <w:pPr>
        <w:ind w:right="60" w:firstLine="648"/>
        <w:spacing w:after="0" w:line="181" w:lineRule="exact"/>
        <w:rPr>
          <w:sz w:val="20"/>
          <w:szCs w:val="20"/>
          <w:color w:val="auto"/>
        </w:rPr>
      </w:pPr>
      <w:r>
        <w:rPr>
          <w:rFonts w:ascii="Arial" w:cs="Arial" w:eastAsia="Arial" w:hAnsi="Arial"/>
          <w:sz w:val="17"/>
          <w:szCs w:val="17"/>
          <w:color w:val="auto"/>
        </w:rPr>
        <w:t>Many states have also adopted laws similar to each of the above federal laws, which may be broader in scope and apply to items or services reimbursed by any third</w:t>
      </w:r>
      <w:r>
        <w:rPr>
          <w:rFonts w:ascii="MS PGothic" w:cs="MS PGothic" w:eastAsia="MS PGothic" w:hAnsi="MS PGothic"/>
          <w:sz w:val="17"/>
          <w:szCs w:val="17"/>
          <w:color w:val="auto"/>
        </w:rPr>
        <w:t>‑</w:t>
      </w:r>
      <w:r>
        <w:rPr>
          <w:rFonts w:ascii="Arial" w:cs="Arial" w:eastAsia="Arial" w:hAnsi="Arial"/>
          <w:sz w:val="17"/>
          <w:szCs w:val="17"/>
          <w:color w:val="auto"/>
        </w:rPr>
        <w:t>party payor, including commercial insurers, and some have transparency laws that require reporting price increases and related information. Certain state laws also regulate manufacturers’ use of prescriber</w:t>
      </w:r>
      <w:r>
        <w:rPr>
          <w:rFonts w:ascii="MS PGothic" w:cs="MS PGothic" w:eastAsia="MS PGothic" w:hAnsi="MS PGothic"/>
          <w:sz w:val="17"/>
          <w:szCs w:val="17"/>
          <w:color w:val="auto"/>
        </w:rPr>
        <w:t>‑</w:t>
      </w:r>
      <w:r>
        <w:rPr>
          <w:rFonts w:ascii="Arial" w:cs="Arial" w:eastAsia="Arial" w:hAnsi="Arial"/>
          <w:sz w:val="17"/>
          <w:szCs w:val="17"/>
          <w:color w:val="auto"/>
        </w:rPr>
        <w:t>identifiable data. Certain states also require implementation of commercial compliance programs and compliance with the pharmaceutical industry’s voluntary compliance guidelines and the applicable compliance guidance promulgated by the federal government, or otherwise restrict payments or the provision of other items of value that may be made to healthcare providers and other potential referral sources; impose restrictions on marketing practices; or require drug manufacturers to track and report information related to payments, gifts, and other items of value to physicians and other healthcare providers. These laws may affect our future sales, marketing, and other promotional activities by imposing administrative and compliance burdens.</w:t>
      </w:r>
    </w:p>
    <w:p>
      <w:pPr>
        <w:spacing w:after="0" w:line="164"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If our operations are found to be in violation of any of the laws or regulations described above or any other laws that apply to us, we may be subject penalties or other enforcement actions, including criminal and significant civil monetary penalties, damages, fines, disgorgement, imprisonment, exclusion from participation in government healthcare programs, corporate integrity agreements, debarment from receiving government contracts or refusal of new orders under existing contracts, reputational harm, diminished profits and future earnings, and the curtailment or restructuring of our operations, any of which could adversely affect our ability to operate our business and our results of operations.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the extent that any of our products are sold in a foreign country, we may be subject to similar foreign laws and</w:t>
      </w:r>
    </w:p>
    <w:p>
      <w:pPr>
        <w:spacing w:after="0" w:line="183" w:lineRule="exact"/>
        <w:rPr>
          <w:sz w:val="20"/>
          <w:szCs w:val="20"/>
          <w:color w:val="auto"/>
        </w:rPr>
      </w:pPr>
      <w:r>
        <w:rPr>
          <w:rFonts w:ascii="Arial" w:cs="Arial" w:eastAsia="Arial" w:hAnsi="Arial"/>
          <w:sz w:val="17"/>
          <w:szCs w:val="17"/>
          <w:color w:val="auto"/>
        </w:rPr>
        <w:t>regulations, which may include, for instance, applicable post</w:t>
      </w:r>
      <w:r>
        <w:rPr>
          <w:rFonts w:ascii="MS PGothic" w:cs="MS PGothic" w:eastAsia="MS PGothic" w:hAnsi="MS PGothic"/>
          <w:sz w:val="17"/>
          <w:szCs w:val="17"/>
          <w:color w:val="auto"/>
        </w:rPr>
        <w:t>‑</w:t>
      </w:r>
      <w:r>
        <w:rPr>
          <w:rFonts w:ascii="Arial" w:cs="Arial" w:eastAsia="Arial" w:hAnsi="Arial"/>
          <w:sz w:val="17"/>
          <w:szCs w:val="17"/>
          <w:color w:val="auto"/>
        </w:rPr>
        <w:t>marketing requirements, including safety surveillance,</w:t>
      </w:r>
    </w:p>
    <w:p>
      <w:pPr>
        <w:spacing w:after="0" w:line="176" w:lineRule="exact"/>
        <w:rPr>
          <w:sz w:val="20"/>
          <w:szCs w:val="20"/>
          <w:color w:val="auto"/>
        </w:rPr>
      </w:pPr>
      <w:r>
        <w:rPr>
          <w:rFonts w:ascii="Arial" w:cs="Arial" w:eastAsia="Arial" w:hAnsi="Arial"/>
          <w:sz w:val="16"/>
          <w:szCs w:val="16"/>
          <w:color w:val="auto"/>
        </w:rPr>
        <w:t>anti</w:t>
      </w:r>
      <w:r>
        <w:rPr>
          <w:rFonts w:ascii="MS PGothic" w:cs="MS PGothic" w:eastAsia="MS PGothic" w:hAnsi="MS PGothic"/>
          <w:sz w:val="16"/>
          <w:szCs w:val="16"/>
          <w:color w:val="auto"/>
        </w:rPr>
        <w:t>‑</w:t>
      </w:r>
      <w:r>
        <w:rPr>
          <w:rFonts w:ascii="Arial" w:cs="Arial" w:eastAsia="Arial" w:hAnsi="Arial"/>
          <w:sz w:val="16"/>
          <w:szCs w:val="16"/>
          <w:color w:val="auto"/>
        </w:rPr>
        <w:t>fraud and abuse laws, and implementation of corporate compliance programs and reporting of payments or transfers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value to healthcare professionals.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 Generally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commercial success of our product candidates and our ability to commercialize any approved product</w:t>
      </w:r>
    </w:p>
    <w:p>
      <w:pPr>
        <w:spacing w:after="0" w:line="229" w:lineRule="auto"/>
        <w:rPr>
          <w:sz w:val="20"/>
          <w:szCs w:val="20"/>
          <w:color w:val="auto"/>
        </w:rPr>
      </w:pPr>
      <w:r>
        <w:rPr>
          <w:rFonts w:ascii="Arial" w:cs="Arial" w:eastAsia="Arial" w:hAnsi="Arial"/>
          <w:sz w:val="16"/>
          <w:szCs w:val="16"/>
          <w:color w:val="auto"/>
        </w:rPr>
        <w:t>candidates successfully will depend in part on the extent to which governmental payor programs at the federal and state</w:t>
      </w:r>
    </w:p>
    <w:p>
      <w:pPr>
        <w:spacing w:after="0" w:line="176" w:lineRule="exact"/>
        <w:rPr>
          <w:sz w:val="20"/>
          <w:szCs w:val="20"/>
          <w:color w:val="auto"/>
        </w:rPr>
      </w:pPr>
      <w:r>
        <w:rPr>
          <w:rFonts w:ascii="Arial" w:cs="Arial" w:eastAsia="Arial" w:hAnsi="Arial"/>
          <w:sz w:val="17"/>
          <w:szCs w:val="17"/>
          <w:color w:val="auto"/>
        </w:rPr>
        <w:t>levels, including Medicare and Medicaid, private health insurers, and other third</w:t>
      </w:r>
      <w:r>
        <w:rPr>
          <w:rFonts w:ascii="MS PGothic" w:cs="MS PGothic" w:eastAsia="MS PGothic" w:hAnsi="MS PGothic"/>
          <w:sz w:val="17"/>
          <w:szCs w:val="17"/>
          <w:color w:val="auto"/>
        </w:rPr>
        <w:t>‑</w:t>
      </w:r>
      <w:r>
        <w:rPr>
          <w:rFonts w:ascii="Arial" w:cs="Arial" w:eastAsia="Arial" w:hAnsi="Arial"/>
          <w:sz w:val="17"/>
          <w:szCs w:val="17"/>
          <w:color w:val="auto"/>
        </w:rPr>
        <w:t>party payors provide coverage for and</w:t>
      </w:r>
    </w:p>
    <w:p>
      <w:pPr>
        <w:spacing w:after="0" w:line="229" w:lineRule="auto"/>
        <w:rPr>
          <w:sz w:val="20"/>
          <w:szCs w:val="20"/>
          <w:color w:val="auto"/>
        </w:rPr>
      </w:pPr>
      <w:r>
        <w:rPr>
          <w:rFonts w:ascii="Arial" w:cs="Arial" w:eastAsia="Arial" w:hAnsi="Arial"/>
          <w:sz w:val="16"/>
          <w:szCs w:val="16"/>
          <w:color w:val="auto"/>
        </w:rPr>
        <w:t>establish adequate reimbursement levels for our product candidates. Government authorities, private health insurers, and</w:t>
      </w:r>
    </w:p>
    <w:p>
      <w:pPr>
        <w:spacing w:after="0" w:line="216" w:lineRule="auto"/>
        <w:rPr>
          <w:sz w:val="20"/>
          <w:szCs w:val="20"/>
          <w:color w:val="auto"/>
        </w:rPr>
      </w:pPr>
      <w:r>
        <w:rPr>
          <w:rFonts w:ascii="Arial" w:cs="Arial" w:eastAsia="Arial" w:hAnsi="Arial"/>
          <w:sz w:val="17"/>
          <w:szCs w:val="17"/>
          <w:color w:val="auto"/>
        </w:rPr>
        <w:t>other organizations generally decide which drugs they will pay for and establish reimbursement levels for healthcare.</w:t>
      </w:r>
    </w:p>
    <w:p>
      <w:pPr>
        <w:spacing w:after="0" w:line="229" w:lineRule="auto"/>
        <w:rPr>
          <w:sz w:val="20"/>
          <w:szCs w:val="20"/>
          <w:color w:val="auto"/>
        </w:rPr>
      </w:pPr>
      <w:r>
        <w:rPr>
          <w:rFonts w:ascii="Arial" w:cs="Arial" w:eastAsia="Arial" w:hAnsi="Arial"/>
          <w:sz w:val="16"/>
          <w:szCs w:val="16"/>
          <w:color w:val="auto"/>
        </w:rPr>
        <w:t>Medicare is a federally funded program managed by the Centers for Medicare and Medicaid Services, or CMS, through local</w:t>
      </w:r>
    </w:p>
    <w:p>
      <w:pPr>
        <w:spacing w:after="0" w:line="229" w:lineRule="auto"/>
        <w:rPr>
          <w:sz w:val="20"/>
          <w:szCs w:val="20"/>
          <w:color w:val="auto"/>
        </w:rPr>
      </w:pPr>
      <w:r>
        <w:rPr>
          <w:rFonts w:ascii="Arial" w:cs="Arial" w:eastAsia="Arial" w:hAnsi="Arial"/>
          <w:sz w:val="16"/>
          <w:szCs w:val="16"/>
          <w:color w:val="auto"/>
        </w:rPr>
        <w:t>contractors that administer coverage and reimbursement for certain healthcare items and services furnished to the elderly and</w:t>
      </w:r>
    </w:p>
    <w:p>
      <w:pPr>
        <w:spacing w:after="0" w:line="215" w:lineRule="auto"/>
        <w:rPr>
          <w:sz w:val="20"/>
          <w:szCs w:val="20"/>
          <w:color w:val="auto"/>
        </w:rPr>
      </w:pPr>
      <w:r>
        <w:rPr>
          <w:rFonts w:ascii="Arial" w:cs="Arial" w:eastAsia="Arial" w:hAnsi="Arial"/>
          <w:sz w:val="17"/>
          <w:szCs w:val="17"/>
          <w:color w:val="auto"/>
        </w:rPr>
        <w:t>disabled. Medicaid is an insurance program for certain categories of patients whose income and assets fall below</w:t>
      </w:r>
    </w:p>
    <w:p>
      <w:pPr>
        <w:spacing w:after="0" w:line="176" w:lineRule="exact"/>
        <w:rPr>
          <w:sz w:val="20"/>
          <w:szCs w:val="20"/>
          <w:color w:val="auto"/>
        </w:rPr>
      </w:pPr>
      <w:r>
        <w:rPr>
          <w:rFonts w:ascii="Arial" w:cs="Arial" w:eastAsia="Arial" w:hAnsi="Arial"/>
          <w:sz w:val="16"/>
          <w:szCs w:val="16"/>
          <w:color w:val="auto"/>
        </w:rPr>
        <w:t>state</w:t>
      </w:r>
      <w:r>
        <w:rPr>
          <w:rFonts w:ascii="MS PGothic" w:cs="MS PGothic" w:eastAsia="MS PGothic" w:hAnsi="MS PGothic"/>
          <w:sz w:val="16"/>
          <w:szCs w:val="16"/>
          <w:color w:val="auto"/>
        </w:rPr>
        <w:t>‑</w:t>
      </w:r>
      <w:r>
        <w:rPr>
          <w:rFonts w:ascii="Arial" w:cs="Arial" w:eastAsia="Arial" w:hAnsi="Arial"/>
          <w:sz w:val="16"/>
          <w:szCs w:val="16"/>
          <w:color w:val="auto"/>
        </w:rPr>
        <w:t>defined levels and who are otherwise uninsured that is both federally and state funded and managed by each state. The</w:t>
      </w:r>
    </w:p>
    <w:p>
      <w:pPr>
        <w:spacing w:after="0" w:line="229" w:lineRule="auto"/>
        <w:rPr>
          <w:sz w:val="20"/>
          <w:szCs w:val="20"/>
          <w:color w:val="auto"/>
        </w:rPr>
      </w:pPr>
      <w:r>
        <w:rPr>
          <w:rFonts w:ascii="Arial" w:cs="Arial" w:eastAsia="Arial" w:hAnsi="Arial"/>
          <w:sz w:val="16"/>
          <w:szCs w:val="16"/>
          <w:color w:val="auto"/>
        </w:rPr>
        <w:t>federal government sets general guidelines for Medicaid and each state creates specific regulations that govern its individual</w:t>
      </w:r>
    </w:p>
    <w:p>
      <w:pPr>
        <w:spacing w:after="0" w:line="216" w:lineRule="auto"/>
        <w:rPr>
          <w:sz w:val="20"/>
          <w:szCs w:val="20"/>
          <w:color w:val="auto"/>
        </w:rPr>
      </w:pPr>
      <w:r>
        <w:rPr>
          <w:rFonts w:ascii="Arial" w:cs="Arial" w:eastAsia="Arial" w:hAnsi="Arial"/>
          <w:sz w:val="17"/>
          <w:szCs w:val="17"/>
          <w:color w:val="auto"/>
        </w:rPr>
        <w:t>program, including supplemental rebate programs that prioritize coverage for drugs on the state Preferred Drug List.</w:t>
      </w:r>
    </w:p>
    <w:p>
      <w:pPr>
        <w:spacing w:after="0" w:line="229" w:lineRule="auto"/>
        <w:rPr>
          <w:sz w:val="20"/>
          <w:szCs w:val="20"/>
          <w:color w:val="auto"/>
        </w:rPr>
      </w:pPr>
      <w:r>
        <w:rPr>
          <w:rFonts w:ascii="Arial" w:cs="Arial" w:eastAsia="Arial" w:hAnsi="Arial"/>
          <w:sz w:val="16"/>
          <w:szCs w:val="16"/>
          <w:color w:val="auto"/>
        </w:rPr>
        <w:t>Similarly, government laws and regulations establish the parameters for coverage of prescription drugs by Tricare, the health</w:t>
      </w:r>
    </w:p>
    <w:p>
      <w:pPr>
        <w:spacing w:after="0" w:line="229" w:lineRule="auto"/>
        <w:rPr>
          <w:sz w:val="20"/>
          <w:szCs w:val="20"/>
          <w:color w:val="auto"/>
        </w:rPr>
      </w:pPr>
      <w:r>
        <w:rPr>
          <w:rFonts w:ascii="Arial" w:cs="Arial" w:eastAsia="Arial" w:hAnsi="Arial"/>
          <w:sz w:val="16"/>
          <w:szCs w:val="16"/>
          <w:color w:val="auto"/>
        </w:rPr>
        <w:t>care program for military personnel, retirees, and related beneficiaries. Many states have also created pharmacy assistance</w:t>
      </w:r>
    </w:p>
    <w:p>
      <w:pPr>
        <w:spacing w:after="0" w:line="215" w:lineRule="auto"/>
        <w:rPr>
          <w:sz w:val="20"/>
          <w:szCs w:val="20"/>
          <w:color w:val="auto"/>
        </w:rPr>
      </w:pPr>
      <w:r>
        <w:rPr>
          <w:rFonts w:ascii="Arial" w:cs="Arial" w:eastAsia="Arial" w:hAnsi="Arial"/>
          <w:sz w:val="17"/>
          <w:szCs w:val="17"/>
          <w:color w:val="auto"/>
        </w:rPr>
        <w:t>programs for individuals who do not qualify for federal programs. In the United States, private health insurers and other</w:t>
      </w:r>
    </w:p>
    <w:p>
      <w:pPr>
        <w:spacing w:after="0" w:line="176" w:lineRule="exact"/>
        <w:rPr>
          <w:sz w:val="20"/>
          <w:szCs w:val="20"/>
          <w:color w:val="auto"/>
        </w:rPr>
      </w:pPr>
      <w:r>
        <w:rPr>
          <w:rFonts w:ascii="Arial" w:cs="Arial" w:eastAsia="Arial" w:hAnsi="Arial"/>
          <w:sz w:val="17"/>
          <w:szCs w:val="17"/>
          <w:color w:val="auto"/>
        </w:rPr>
        <w:t>third</w:t>
      </w:r>
      <w:r>
        <w:rPr>
          <w:rFonts w:ascii="MS PGothic" w:cs="MS PGothic" w:eastAsia="MS PGothic" w:hAnsi="MS PGothic"/>
          <w:sz w:val="17"/>
          <w:szCs w:val="17"/>
          <w:color w:val="auto"/>
        </w:rPr>
        <w:t>‑</w:t>
      </w:r>
      <w:r>
        <w:rPr>
          <w:rFonts w:ascii="Arial" w:cs="Arial" w:eastAsia="Arial" w:hAnsi="Arial"/>
          <w:sz w:val="17"/>
          <w:szCs w:val="17"/>
          <w:color w:val="auto"/>
        </w:rPr>
        <w:t>party payors often provide reimbursement for products and services based on the level at which the government</w:t>
      </w:r>
    </w:p>
    <w:p>
      <w:pPr>
        <w:spacing w:after="0"/>
        <w:rPr>
          <w:sz w:val="20"/>
          <w:szCs w:val="20"/>
          <w:color w:val="auto"/>
        </w:rPr>
      </w:pPr>
      <w:r>
        <w:rPr>
          <w:rFonts w:ascii="Arial" w:cs="Arial" w:eastAsia="Arial" w:hAnsi="Arial"/>
          <w:sz w:val="18"/>
          <w:szCs w:val="18"/>
          <w:color w:val="auto"/>
        </w:rPr>
        <w:t>provides reimbursement through the Medicare or Medicaid programs for such products and services.</w:t>
      </w:r>
    </w:p>
    <w:p>
      <w:pPr>
        <w:spacing w:after="0" w:line="169" w:lineRule="exact"/>
        <w:rPr>
          <w:sz w:val="20"/>
          <w:szCs w:val="20"/>
          <w:color w:val="auto"/>
        </w:rPr>
      </w:pPr>
    </w:p>
    <w:p>
      <w:pPr>
        <w:ind w:right="99" w:firstLine="648"/>
        <w:spacing w:after="0" w:line="180" w:lineRule="exact"/>
        <w:rPr>
          <w:sz w:val="20"/>
          <w:szCs w:val="20"/>
          <w:color w:val="auto"/>
        </w:rPr>
      </w:pPr>
      <w:r>
        <w:rPr>
          <w:rFonts w:ascii="Arial" w:cs="Arial" w:eastAsia="Arial" w:hAnsi="Arial"/>
          <w:sz w:val="17"/>
          <w:szCs w:val="17"/>
          <w:color w:val="auto"/>
        </w:rPr>
        <w:t>In the United States, the European Union, and other potentially significant markets for our product candidates, government authorities and third</w:t>
      </w:r>
      <w:r>
        <w:rPr>
          <w:rFonts w:ascii="MS PGothic" w:cs="MS PGothic" w:eastAsia="MS PGothic" w:hAnsi="MS PGothic"/>
          <w:sz w:val="17"/>
          <w:szCs w:val="17"/>
          <w:color w:val="auto"/>
        </w:rPr>
        <w:t>‑</w:t>
      </w:r>
      <w:r>
        <w:rPr>
          <w:rFonts w:ascii="Arial" w:cs="Arial" w:eastAsia="Arial" w:hAnsi="Arial"/>
          <w:sz w:val="17"/>
          <w:szCs w:val="17"/>
          <w:color w:val="auto"/>
        </w:rPr>
        <w:t>party payors are increasingly attempting to limit or regulate the price of medical products and services, particularly for new and innovative products and therapies, which often has resulted in average selling prices lower than they would otherwise be. For example, in the United States, federal and state governments reimburse covered prescription drugs at varying rates generally below average wholesale price. These restrictions and limitations influence the purchase of healthcare services and products. Third</w:t>
      </w:r>
      <w:r>
        <w:rPr>
          <w:rFonts w:ascii="MS PGothic" w:cs="MS PGothic" w:eastAsia="MS PGothic" w:hAnsi="MS PGothic"/>
          <w:sz w:val="17"/>
          <w:szCs w:val="17"/>
          <w:color w:val="auto"/>
        </w:rPr>
        <w:t>‑</w:t>
      </w:r>
      <w:r>
        <w:rPr>
          <w:rFonts w:ascii="Arial" w:cs="Arial" w:eastAsia="Arial" w:hAnsi="Arial"/>
          <w:sz w:val="17"/>
          <w:szCs w:val="17"/>
          <w:color w:val="auto"/>
        </w:rPr>
        <w:t>party payors are developing increasingly sophisticated methods of controlling healthcare costs. Third</w:t>
      </w:r>
      <w:r>
        <w:rPr>
          <w:rFonts w:ascii="MS PGothic" w:cs="MS PGothic" w:eastAsia="MS PGothic" w:hAnsi="MS PGothic"/>
          <w:sz w:val="17"/>
          <w:szCs w:val="17"/>
          <w:color w:val="auto"/>
        </w:rPr>
        <w:t>‑</w:t>
      </w:r>
      <w:r>
        <w:rPr>
          <w:rFonts w:ascii="Arial" w:cs="Arial" w:eastAsia="Arial" w:hAnsi="Arial"/>
          <w:sz w:val="17"/>
          <w:szCs w:val="17"/>
          <w:color w:val="auto"/>
        </w:rPr>
        <w:t>party payors may limit coverage to specific drug products on an approved list, or formulary, which might not include all of the FDA</w:t>
      </w:r>
      <w:r>
        <w:rPr>
          <w:rFonts w:ascii="MS PGothic" w:cs="MS PGothic" w:eastAsia="MS PGothic" w:hAnsi="MS PGothic"/>
          <w:sz w:val="17"/>
          <w:szCs w:val="17"/>
          <w:color w:val="auto"/>
        </w:rPr>
        <w:t>‑</w:t>
      </w:r>
      <w:r>
        <w:rPr>
          <w:rFonts w:ascii="Arial" w:cs="Arial" w:eastAsia="Arial" w:hAnsi="Arial"/>
          <w:sz w:val="17"/>
          <w:szCs w:val="17"/>
          <w:color w:val="auto"/>
        </w:rPr>
        <w:t>approved drug products for a particular indication. Third</w:t>
      </w:r>
      <w:r>
        <w:rPr>
          <w:rFonts w:ascii="MS PGothic" w:cs="MS PGothic" w:eastAsia="MS PGothic" w:hAnsi="MS PGothic"/>
          <w:sz w:val="17"/>
          <w:szCs w:val="17"/>
          <w:color w:val="auto"/>
        </w:rPr>
        <w:t>‑</w:t>
      </w:r>
      <w:r>
        <w:rPr>
          <w:rFonts w:ascii="Arial" w:cs="Arial" w:eastAsia="Arial" w:hAnsi="Arial"/>
          <w:sz w:val="17"/>
          <w:szCs w:val="17"/>
          <w:color w:val="auto"/>
        </w:rPr>
        <w:t>party payors also control costs by requiring prior authorization or imposing other dispensing restrictions before covering certain products and by broadening therapeutic classes to increase competition. Third</w:t>
      </w:r>
      <w:r>
        <w:rPr>
          <w:rFonts w:ascii="MS PGothic" w:cs="MS PGothic" w:eastAsia="MS PGothic" w:hAnsi="MS PGothic"/>
          <w:sz w:val="17"/>
          <w:szCs w:val="17"/>
          <w:color w:val="auto"/>
        </w:rPr>
        <w:t>‑</w:t>
      </w:r>
      <w:r>
        <w:rPr>
          <w:rFonts w:ascii="Arial" w:cs="Arial" w:eastAsia="Arial" w:hAnsi="Arial"/>
          <w:sz w:val="17"/>
          <w:szCs w:val="17"/>
          <w:color w:val="auto"/>
        </w:rPr>
        <w:t>party payors are increasingly challenging the price and examining the medical necessity and cost</w:t>
      </w:r>
      <w:r>
        <w:rPr>
          <w:rFonts w:ascii="MS PGothic" w:cs="MS PGothic" w:eastAsia="MS PGothic" w:hAnsi="MS PGothic"/>
          <w:sz w:val="17"/>
          <w:szCs w:val="17"/>
          <w:color w:val="auto"/>
        </w:rPr>
        <w:t>‑</w:t>
      </w:r>
      <w:r>
        <w:rPr>
          <w:rFonts w:ascii="Arial" w:cs="Arial" w:eastAsia="Arial" w:hAnsi="Arial"/>
          <w:sz w:val="17"/>
          <w:szCs w:val="17"/>
          <w:color w:val="auto"/>
        </w:rPr>
        <w:t>effectiveness of medical products and services, in addition to their safety and efficacy. Absent clinical differentiators, third</w:t>
      </w:r>
      <w:r>
        <w:rPr>
          <w:rFonts w:ascii="MS PGothic" w:cs="MS PGothic" w:eastAsia="MS PGothic" w:hAnsi="MS PGothic"/>
          <w:sz w:val="17"/>
          <w:szCs w:val="17"/>
          <w:color w:val="auto"/>
        </w:rPr>
        <w:t>‑</w:t>
      </w:r>
      <w:r>
        <w:rPr>
          <w:rFonts w:ascii="Arial" w:cs="Arial" w:eastAsia="Arial" w:hAnsi="Arial"/>
          <w:sz w:val="17"/>
          <w:szCs w:val="17"/>
          <w:color w:val="auto"/>
        </w:rPr>
        <w:t>party payors may treat products as therapeutically equivalent and base formulary decisions on net cost. To lower the prescription cost, manufacturers frequently rebate a portion of the prescription price to the third</w:t>
      </w:r>
      <w:r>
        <w:rPr>
          <w:rFonts w:ascii="MS PGothic" w:cs="MS PGothic" w:eastAsia="MS PGothic" w:hAnsi="MS PGothic"/>
          <w:sz w:val="17"/>
          <w:szCs w:val="17"/>
          <w:color w:val="auto"/>
        </w:rPr>
        <w:t>‑</w:t>
      </w:r>
      <w:r>
        <w:rPr>
          <w:rFonts w:ascii="Arial" w:cs="Arial" w:eastAsia="Arial" w:hAnsi="Arial"/>
          <w:sz w:val="17"/>
          <w:szCs w:val="17"/>
          <w:color w:val="auto"/>
        </w:rPr>
        <w:t>party payors.</w:t>
      </w:r>
    </w:p>
    <w:p>
      <w:pPr>
        <w:spacing w:after="0" w:line="165" w:lineRule="exact"/>
        <w:rPr>
          <w:sz w:val="20"/>
          <w:szCs w:val="20"/>
          <w:color w:val="auto"/>
        </w:rPr>
      </w:pPr>
    </w:p>
    <w:p>
      <w:pPr>
        <w:ind w:right="39" w:firstLine="648"/>
        <w:spacing w:after="0" w:line="241" w:lineRule="auto"/>
        <w:rPr>
          <w:sz w:val="20"/>
          <w:szCs w:val="20"/>
          <w:color w:val="auto"/>
        </w:rPr>
      </w:pPr>
      <w:r>
        <w:rPr>
          <w:rFonts w:ascii="Arial" w:cs="Arial" w:eastAsia="Arial" w:hAnsi="Arial"/>
          <w:sz w:val="16"/>
          <w:szCs w:val="16"/>
          <w:color w:val="auto"/>
        </w:rPr>
        <w:t>Federal programs also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 candidates or exclusion of our product candidates from coverage. In addition, government programs like Medicaid include substantial penalties for increasing commercial prices over the rate of inflation which can affect realization and return on investment.</w:t>
      </w:r>
    </w:p>
    <w:p>
      <w:pPr>
        <w:spacing w:after="0" w:line="161" w:lineRule="exact"/>
        <w:rPr>
          <w:sz w:val="20"/>
          <w:szCs w:val="20"/>
          <w:color w:val="auto"/>
        </w:rPr>
      </w:pPr>
    </w:p>
    <w:p>
      <w:pPr>
        <w:ind w:right="279" w:firstLine="648"/>
        <w:spacing w:after="0" w:line="259" w:lineRule="auto"/>
        <w:rPr>
          <w:sz w:val="20"/>
          <w:szCs w:val="20"/>
          <w:color w:val="auto"/>
        </w:rPr>
      </w:pPr>
      <w:r>
        <w:rPr>
          <w:rFonts w:ascii="Arial" w:cs="Arial" w:eastAsia="Arial" w:hAnsi="Arial"/>
          <w:sz w:val="16"/>
          <w:szCs w:val="16"/>
          <w:color w:val="auto"/>
        </w:rPr>
        <w:t>Private payors often rely on the lead of the governmental payors in rendering coverage and reimbursement determinations. Therefore, achieving favorable CMS coverage and reimbursement is usually a significant gating issue for successful introduction of a new product. In addition, many government programs as a condition of participation</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500"/>
        <w:spacing w:after="0" w:line="289" w:lineRule="auto"/>
        <w:rPr>
          <w:sz w:val="20"/>
          <w:szCs w:val="20"/>
          <w:color w:val="auto"/>
        </w:rPr>
      </w:pPr>
      <w:r>
        <w:rPr>
          <w:rFonts w:ascii="Arial" w:cs="Arial" w:eastAsia="Arial" w:hAnsi="Arial"/>
          <w:sz w:val="16"/>
          <w:szCs w:val="16"/>
          <w:color w:val="auto"/>
        </w:rPr>
        <w:t>mandate fixed discounts or rebates from manufacturers regardless of formulary position or utilization, and then rely on competition in the market to attain further price reductions, which can greatly reduce realization on the sale.</w:t>
      </w:r>
    </w:p>
    <w:p>
      <w:pPr>
        <w:spacing w:after="0" w:line="124" w:lineRule="exact"/>
        <w:rPr>
          <w:sz w:val="20"/>
          <w:szCs w:val="20"/>
          <w:color w:val="auto"/>
        </w:rPr>
      </w:pPr>
    </w:p>
    <w:p>
      <w:pPr>
        <w:ind w:right="40" w:firstLine="648"/>
        <w:spacing w:after="0" w:line="180" w:lineRule="exact"/>
        <w:rPr>
          <w:sz w:val="20"/>
          <w:szCs w:val="20"/>
          <w:color w:val="auto"/>
        </w:rPr>
      </w:pPr>
      <w:r>
        <w:rPr>
          <w:rFonts w:ascii="Arial" w:cs="Arial" w:eastAsia="Arial" w:hAnsi="Arial"/>
          <w:sz w:val="17"/>
          <w:szCs w:val="17"/>
          <w:color w:val="auto"/>
        </w:rPr>
        <w:t>Further, the increased emphasis on managed healthcare in the United States and on country and regional pricing and reimbursement controls in the European Union will put additional pressure on product pricing, reimbursement, and utilization, which may adversely affect our future product sales and results of operations. These pressures can arise from rules and practices of managed care groups and health technology assessment bodies, competition within therapeutic classes, availability of generic equivalents, judicial decisions and governmental laws and regulations related to Medicare, Medicaid, and healthcare reform, pharmaceutical coverage and reimbursement policies, and pricing in general. Patients who are prescribed treatments for their conditions and providers performing the prescribed services generally rely on third</w:t>
      </w:r>
      <w:r>
        <w:rPr>
          <w:rFonts w:ascii="MS PGothic" w:cs="MS PGothic" w:eastAsia="MS PGothic" w:hAnsi="MS PGothic"/>
          <w:sz w:val="17"/>
          <w:szCs w:val="17"/>
          <w:color w:val="auto"/>
        </w:rPr>
        <w:t>‑</w:t>
      </w:r>
      <w:r>
        <w:rPr>
          <w:rFonts w:ascii="Arial" w:cs="Arial" w:eastAsia="Arial" w:hAnsi="Arial"/>
          <w:sz w:val="17"/>
          <w:szCs w:val="17"/>
          <w:color w:val="auto"/>
        </w:rPr>
        <w:t>party payors to reimburse all or part of the associated healthcare costs. Sales of our product candidates will therefore depend substantially, both domestically and abroad, on the extent to which the costs of our products will be paid by health maintenance, managed care, pharmacy benefit and similar healthcare management organizations, or reimbursed by government health administration authorities, such as Medicare and Medicaid, private health insurers, and other third</w:t>
      </w:r>
      <w:r>
        <w:rPr>
          <w:rFonts w:ascii="MS PGothic" w:cs="MS PGothic" w:eastAsia="MS PGothic" w:hAnsi="MS PGothic"/>
          <w:sz w:val="17"/>
          <w:szCs w:val="17"/>
          <w:color w:val="auto"/>
        </w:rPr>
        <w:t>‑</w:t>
      </w:r>
      <w:r>
        <w:rPr>
          <w:rFonts w:ascii="Arial" w:cs="Arial" w:eastAsia="Arial" w:hAnsi="Arial"/>
          <w:sz w:val="17"/>
          <w:szCs w:val="17"/>
          <w:color w:val="auto"/>
        </w:rPr>
        <w:t>party payors.</w:t>
      </w:r>
    </w:p>
    <w:p>
      <w:pPr>
        <w:spacing w:after="0" w:line="163" w:lineRule="exact"/>
        <w:rPr>
          <w:sz w:val="20"/>
          <w:szCs w:val="20"/>
          <w:color w:val="auto"/>
        </w:rPr>
      </w:pPr>
    </w:p>
    <w:p>
      <w:pPr>
        <w:ind w:right="120" w:firstLine="648"/>
        <w:spacing w:after="0" w:line="189" w:lineRule="exact"/>
        <w:rPr>
          <w:sz w:val="20"/>
          <w:szCs w:val="20"/>
          <w:color w:val="auto"/>
        </w:rPr>
      </w:pPr>
      <w:r>
        <w:rPr>
          <w:rFonts w:ascii="Arial" w:cs="Arial" w:eastAsia="Arial" w:hAnsi="Arial"/>
          <w:sz w:val="16"/>
          <w:szCs w:val="16"/>
          <w:color w:val="auto"/>
        </w:rPr>
        <w:t>As a result of the above, we may need to conduct expensive pharmacoeconomic studies in order to demonstrate the medical necessity and cost</w:t>
      </w:r>
      <w:r>
        <w:rPr>
          <w:rFonts w:ascii="MS PGothic" w:cs="MS PGothic" w:eastAsia="MS PGothic" w:hAnsi="MS PGothic"/>
          <w:sz w:val="16"/>
          <w:szCs w:val="16"/>
          <w:color w:val="auto"/>
        </w:rPr>
        <w:t>‑</w:t>
      </w:r>
      <w:r>
        <w:rPr>
          <w:rFonts w:ascii="Arial" w:cs="Arial" w:eastAsia="Arial" w:hAnsi="Arial"/>
          <w:sz w:val="16"/>
          <w:szCs w:val="16"/>
          <w:color w:val="auto"/>
        </w:rPr>
        <w:t>effectiveness of our products, in addition to the costs required to obtain the FDA and other comparable foreign regulatory authority approvals. Our product candidates may not be considered medically necessary or cost</w:t>
      </w:r>
      <w:r>
        <w:rPr>
          <w:rFonts w:ascii="MS PGothic" w:cs="MS PGothic" w:eastAsia="MS PGothic" w:hAnsi="MS PGothic"/>
          <w:sz w:val="16"/>
          <w:szCs w:val="16"/>
          <w:color w:val="auto"/>
        </w:rPr>
        <w:t>‑</w:t>
      </w:r>
      <w:r>
        <w:rPr>
          <w:rFonts w:ascii="Arial" w:cs="Arial" w:eastAsia="Arial" w:hAnsi="Arial"/>
          <w:sz w:val="16"/>
          <w:szCs w:val="16"/>
          <w:color w:val="auto"/>
        </w:rPr>
        <w:t>effective, or the rebate percentages required to secure coverage may not yield an adequate margin over cost.</w:t>
      </w:r>
    </w:p>
    <w:p>
      <w:pPr>
        <w:spacing w:after="0" w:line="164" w:lineRule="exact"/>
        <w:rPr>
          <w:sz w:val="20"/>
          <w:szCs w:val="20"/>
          <w:color w:val="auto"/>
        </w:rPr>
      </w:pPr>
    </w:p>
    <w:p>
      <w:pPr>
        <w:ind w:right="40" w:firstLine="648"/>
        <w:spacing w:after="0" w:line="182" w:lineRule="exact"/>
        <w:rPr>
          <w:sz w:val="20"/>
          <w:szCs w:val="20"/>
          <w:color w:val="auto"/>
        </w:rPr>
      </w:pPr>
      <w:r>
        <w:rPr>
          <w:rFonts w:ascii="Arial" w:cs="Arial" w:eastAsia="Arial" w:hAnsi="Arial"/>
          <w:sz w:val="16"/>
          <w:szCs w:val="16"/>
          <w:color w:val="auto"/>
        </w:rPr>
        <w:t>Moreover, a payor’s decision to provide coverage for a drug product does not imply that an adequate reimbursement rate will be approved. Adequate third</w:t>
      </w:r>
      <w:r>
        <w:rPr>
          <w:rFonts w:ascii="MS PGothic" w:cs="MS PGothic" w:eastAsia="MS PGothic" w:hAnsi="MS PGothic"/>
          <w:sz w:val="16"/>
          <w:szCs w:val="16"/>
          <w:color w:val="auto"/>
        </w:rPr>
        <w:t>‑</w:t>
      </w:r>
      <w:r>
        <w:rPr>
          <w:rFonts w:ascii="Arial" w:cs="Arial" w:eastAsia="Arial" w:hAnsi="Arial"/>
          <w:sz w:val="16"/>
          <w:szCs w:val="16"/>
          <w:color w:val="auto"/>
        </w:rPr>
        <w:t>party reimbursement may not be available to enable us to maintain price levels sufficient to realize an appropriate return on our investment in drug development. Legislative proposals to reform healthcare or reduce costs under government insurance programs may result in lower reimbursement for our products and product candidates or exclusion of our products and product candidates from coverage. The cost containment measures that healthcare payors and providers are instituting and any healthcare reform could significantly reduce our revenues from the sale of any approved product candidates. We cannot provide any assurances that we will be able to obtain and maintain third</w:t>
      </w:r>
      <w:r>
        <w:rPr>
          <w:rFonts w:ascii="MS PGothic" w:cs="MS PGothic" w:eastAsia="MS PGothic" w:hAnsi="MS PGothic"/>
          <w:sz w:val="16"/>
          <w:szCs w:val="16"/>
          <w:color w:val="auto"/>
        </w:rPr>
        <w:t>‑</w:t>
      </w:r>
      <w:r>
        <w:rPr>
          <w:rFonts w:ascii="Arial" w:cs="Arial" w:eastAsia="Arial" w:hAnsi="Arial"/>
          <w:sz w:val="16"/>
          <w:szCs w:val="16"/>
          <w:color w:val="auto"/>
        </w:rPr>
        <w:t>party coverage or adequate reimbursement for our product candidates in whole or in part.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w:t>
      </w:r>
    </w:p>
    <w:p>
      <w:pPr>
        <w:spacing w:after="0" w:line="185" w:lineRule="exact"/>
        <w:rPr>
          <w:sz w:val="20"/>
          <w:szCs w:val="20"/>
          <w:color w:val="auto"/>
        </w:rPr>
      </w:pPr>
    </w:p>
    <w:p>
      <w:pPr>
        <w:ind w:right="120" w:firstLine="648"/>
        <w:spacing w:after="0" w:line="214" w:lineRule="auto"/>
        <w:rPr>
          <w:sz w:val="20"/>
          <w:szCs w:val="20"/>
          <w:color w:val="auto"/>
        </w:rPr>
      </w:pPr>
      <w:r>
        <w:rPr>
          <w:rFonts w:ascii="Arial" w:cs="Arial" w:eastAsia="Arial" w:hAnsi="Arial"/>
          <w:sz w:val="18"/>
          <w:szCs w:val="18"/>
          <w:color w:val="auto"/>
        </w:rPr>
        <w:t>The United States and some foreign jurisdictions are considering or have enacted a number of legislative and regulatory proposals designed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and has been significantly affected by major legislative initiatives.</w:t>
      </w:r>
    </w:p>
    <w:p>
      <w:pPr>
        <w:spacing w:after="0" w:line="162"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For example, the Medicare Prescription Drug, Improvement, and Modernization Act of 2003, or MMA, established a new prescription drug benefit program for Medicare beneficiaries. Under Part D, Medicare beneficiaries may enroll in prescription drug plans offered by private entities that provide coverage of outpatient prescription drugs. Part D plans include both standalone prescription drug benefit plans and prescription drug coverage as a supplement to Medicare Advantage plans. Unlike Medicare Part A and B, which do not utilize formularies to restrict coverage, Part D coverage varies by plan. With some exceptions,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any products for which we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181" w:lineRule="exact"/>
        <w:rPr>
          <w:sz w:val="20"/>
          <w:szCs w:val="20"/>
          <w:color w:val="auto"/>
        </w:rPr>
      </w:pPr>
      <w:r>
        <w:rPr>
          <w:rFonts w:ascii="Arial" w:cs="Arial" w:eastAsia="Arial" w:hAnsi="Arial"/>
          <w:sz w:val="17"/>
          <w:szCs w:val="17"/>
          <w:color w:val="auto"/>
        </w:rPr>
        <w:t>receive marketing approval. However, Part D plans use competition for coverage to leverage manufacturer rebates. Further, the law requires manufacturers to absorb a significant percentage of the prescription price paid for NDA drugs, including 504(b)(2) drugs, during a beneficiary’s coverage gap. The Bipartisan Budget Act of 2018 permanently increased manufacturer liability for the prescription price in the coverage gap from 50% to 70% beginning in 2019, while simultaneously accelerating closure of the gap. These cost reduction initiatives and other provisions of the legislation, as well as any negotiated price discounts for our future products covered by a Part D prescription drug plan, may decrease the coverage and reimbursement rate that we receive, lower the net price realized on our sales to pharmacies, or both. Moreover, while the MMA applies only to drug benefits for Medicare beneficiaries, private payors often follow Medicare coverage policy and payment limitations in setting their own payment rates. Any reduction in payment that results from Medicare Part D may result in a similar reduction in payments from non</w:t>
      </w:r>
      <w:r>
        <w:rPr>
          <w:rFonts w:ascii="MS PGothic" w:cs="MS PGothic" w:eastAsia="MS PGothic" w:hAnsi="MS PGothic"/>
          <w:sz w:val="17"/>
          <w:szCs w:val="17"/>
          <w:color w:val="auto"/>
        </w:rPr>
        <w:t>‑</w:t>
      </w:r>
      <w:r>
        <w:rPr>
          <w:rFonts w:ascii="Arial" w:cs="Arial" w:eastAsia="Arial" w:hAnsi="Arial"/>
          <w:sz w:val="17"/>
          <w:szCs w:val="17"/>
          <w:color w:val="auto"/>
        </w:rPr>
        <w:t>governmental payors.</w:t>
      </w:r>
    </w:p>
    <w:p>
      <w:pPr>
        <w:spacing w:after="0" w:line="164"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The ACA established the Patient-Centered Outcome Research Institute to organize and coordinate federally funded research to compare the effectiveness of different treatments for the same illness. Although the results of the comparative effectiveness studies are not intended to mandate coverage policies for public or private payors, it is not clear what effect, if any, the research will have on the sales of any product, if any such product or the condition that it is intended to treat is the subject of a study. It is also possible that comparative effectiveness research demonstrating benefits in a competitor’s product could adversely affect the sales of our product candidates. If third</w:t>
      </w:r>
      <w:r>
        <w:rPr>
          <w:rFonts w:ascii="MS PGothic" w:cs="MS PGothic" w:eastAsia="MS PGothic" w:hAnsi="MS PGothic"/>
          <w:sz w:val="17"/>
          <w:szCs w:val="17"/>
          <w:color w:val="auto"/>
        </w:rPr>
        <w:t>‑</w:t>
      </w:r>
      <w:r>
        <w:rPr>
          <w:rFonts w:ascii="Arial" w:cs="Arial" w:eastAsia="Arial" w:hAnsi="Arial"/>
          <w:sz w:val="17"/>
          <w:szCs w:val="17"/>
          <w:color w:val="auto"/>
        </w:rPr>
        <w:t>party payors do not consider our product candidates to be cost</w:t>
      </w:r>
      <w:r>
        <w:rPr>
          <w:rFonts w:ascii="MS PGothic" w:cs="MS PGothic" w:eastAsia="MS PGothic" w:hAnsi="MS PGothic"/>
          <w:sz w:val="17"/>
          <w:szCs w:val="17"/>
          <w:color w:val="auto"/>
        </w:rPr>
        <w:t>‑</w:t>
      </w:r>
      <w:r>
        <w:rPr>
          <w:rFonts w:ascii="Arial" w:cs="Arial" w:eastAsia="Arial" w:hAnsi="Arial"/>
          <w:sz w:val="17"/>
          <w:szCs w:val="17"/>
          <w:color w:val="auto"/>
        </w:rPr>
        <w:t>effective compared to other available therapies, they may not cover our product candidates, once approved, as a benefit under their plans or, if they do, the level of payment may not be sufficient to allow us to sell our products on a profitable basis.</w:t>
      </w:r>
    </w:p>
    <w:p>
      <w:pPr>
        <w:spacing w:after="0" w:line="162" w:lineRule="exact"/>
        <w:rPr>
          <w:sz w:val="20"/>
          <w:szCs w:val="20"/>
          <w:color w:val="auto"/>
        </w:rPr>
      </w:pPr>
    </w:p>
    <w:p>
      <w:pPr>
        <w:ind w:right="20" w:firstLine="648"/>
        <w:spacing w:after="0" w:line="219" w:lineRule="auto"/>
        <w:rPr>
          <w:sz w:val="20"/>
          <w:szCs w:val="20"/>
          <w:color w:val="auto"/>
        </w:rPr>
      </w:pPr>
      <w:r>
        <w:rPr>
          <w:rFonts w:ascii="Arial" w:cs="Arial" w:eastAsia="Arial" w:hAnsi="Arial"/>
          <w:sz w:val="17"/>
          <w:szCs w:val="17"/>
          <w:color w:val="auto"/>
        </w:rPr>
        <w:t>The ACA made other changes intended to broaden access to health insurance, reduce or constrain the growth of healthcare spending, enhance remedies against fraud and abuse, add new transparency requirements for healthcare and health insurance industries, impose new taxes and fees on the health care industry, and impose additional health policy reforms. The law expanded the eligibility criteria for Medicaid programs, thereby potentially increasing both the volume of sales and manufacturers’ Medicaid rebate liability. The law also expanded the entities eligible for discounts under the 340B drug discount program, which mandates discounts to certain hospitals, community centers, and other qualifying providers, although, with the exception of children’s hospitals, these newly eligible entities are not eligible to receive discounted 340B pricing on orphan drugs. The law additionally extended manufacturer’s Medicaid rebate liability to covered drugs dispensed to patients enrolled in Medicaid managed care organizations, increased the statutory minimum rebates a manufacturer must pay under the Medicaid Drug Rebate program, and created an alternative rebate formula for certain new formulations of certain existing products, which is intended to increase the amount of rebates due on those drugs. The revisions to the Medicaid rebate formula can have the further effect of increasing the required 340B discounts. Finally, the ACA imposes a significant annual fee on companies that manufacture or import branded prescription drug products. Substantial new provisions affecting compliance have also been enacted through the ACA and otherwise, including the reporting of drug sample distribution, which may require us to modify our business practices with healthcare practitioners. Moreover, in the coming years, additional changes could be made to governmental healthcare programs that could significantly impact the success of our product candidates.</w:t>
      </w:r>
    </w:p>
    <w:p>
      <w:pPr>
        <w:spacing w:after="0" w:line="168" w:lineRule="exact"/>
        <w:rPr>
          <w:sz w:val="20"/>
          <w:szCs w:val="20"/>
          <w:color w:val="auto"/>
        </w:rPr>
      </w:pPr>
    </w:p>
    <w:p>
      <w:pPr>
        <w:ind w:right="20" w:firstLine="648"/>
        <w:spacing w:after="0" w:line="187" w:lineRule="exact"/>
        <w:rPr>
          <w:sz w:val="20"/>
          <w:szCs w:val="20"/>
          <w:color w:val="auto"/>
        </w:rPr>
      </w:pPr>
      <w:r>
        <w:rPr>
          <w:rFonts w:ascii="Arial" w:cs="Arial" w:eastAsia="Arial" w:hAnsi="Arial"/>
          <w:sz w:val="17"/>
          <w:szCs w:val="17"/>
          <w:color w:val="auto"/>
        </w:rPr>
        <w:t>The cost of pharmaceuticals continues to generate substantial governmental and third</w:t>
      </w:r>
      <w:r>
        <w:rPr>
          <w:rFonts w:ascii="MS PGothic" w:cs="MS PGothic" w:eastAsia="MS PGothic" w:hAnsi="MS PGothic"/>
          <w:sz w:val="17"/>
          <w:szCs w:val="17"/>
          <w:color w:val="auto"/>
        </w:rPr>
        <w:t>‑</w:t>
      </w:r>
      <w:r>
        <w:rPr>
          <w:rFonts w:ascii="Arial" w:cs="Arial" w:eastAsia="Arial" w:hAnsi="Arial"/>
          <w:sz w:val="17"/>
          <w:szCs w:val="17"/>
          <w:color w:val="auto"/>
        </w:rPr>
        <w:t>party payor interest. Some states, such as California, have enacted transparency laws that require manufacturers to report drug price increases and related information. We expect that the pharmaceutical industry will experience pricing pressures due to the trend toward managed healthcare, the increasing influence of managed care organizations, and additional legislative proposals. Our results of operations could be adversely affected by current and future healthcare reforms.</w:t>
      </w:r>
    </w:p>
    <w:p>
      <w:pPr>
        <w:spacing w:after="0" w:line="161" w:lineRule="exact"/>
        <w:rPr>
          <w:sz w:val="20"/>
          <w:szCs w:val="20"/>
          <w:color w:val="auto"/>
        </w:rPr>
      </w:pPr>
    </w:p>
    <w:p>
      <w:pPr>
        <w:ind w:right="60" w:firstLine="648"/>
        <w:spacing w:after="0" w:line="185" w:lineRule="exact"/>
        <w:rPr>
          <w:sz w:val="20"/>
          <w:szCs w:val="20"/>
          <w:color w:val="auto"/>
        </w:rPr>
      </w:pPr>
      <w:r>
        <w:rPr>
          <w:rFonts w:ascii="Arial" w:cs="Arial" w:eastAsia="Arial" w:hAnsi="Arial"/>
          <w:sz w:val="17"/>
          <w:szCs w:val="17"/>
          <w:color w:val="auto"/>
        </w:rPr>
        <w:t>Government and private payors also increasingly require pre</w:t>
      </w:r>
      <w:r>
        <w:rPr>
          <w:rFonts w:ascii="MS PGothic" w:cs="MS PGothic" w:eastAsia="MS PGothic" w:hAnsi="MS PGothic"/>
          <w:sz w:val="17"/>
          <w:szCs w:val="17"/>
          <w:color w:val="auto"/>
        </w:rPr>
        <w:t>‑</w:t>
      </w:r>
      <w:r>
        <w:rPr>
          <w:rFonts w:ascii="Arial" w:cs="Arial" w:eastAsia="Arial" w:hAnsi="Arial"/>
          <w:sz w:val="17"/>
          <w:szCs w:val="17"/>
          <w:color w:val="auto"/>
        </w:rPr>
        <w:t>approval of coverage for new or innovative devices or drug therapies or condition coverage on unsuccessful alternative treatment before they will reimburse healthcare providers that use such therapies. For some specialty drugs, payors are conditioning payment on successful treatment measured by objective metrics. While we cannot predict whether any proposed cost</w:t>
      </w:r>
      <w:r>
        <w:rPr>
          <w:rFonts w:ascii="MS PGothic" w:cs="MS PGothic" w:eastAsia="MS PGothic" w:hAnsi="MS PGothic"/>
          <w:sz w:val="17"/>
          <w:szCs w:val="17"/>
          <w:color w:val="auto"/>
        </w:rPr>
        <w:t>‑</w:t>
      </w:r>
      <w:r>
        <w:rPr>
          <w:rFonts w:ascii="Arial" w:cs="Arial" w:eastAsia="Arial" w:hAnsi="Arial"/>
          <w:sz w:val="17"/>
          <w:szCs w:val="17"/>
          <w:color w:val="auto"/>
        </w:rPr>
        <w:t>containment measures will be adopted or otherwise implemented in the future, the announcement or adoption of these proposals could have a material adverse effect on our ability to obtain adequate prices for our product candidates and operate profitably.</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firstLine="648"/>
        <w:spacing w:after="0" w:line="220" w:lineRule="auto"/>
        <w:rPr>
          <w:sz w:val="20"/>
          <w:szCs w:val="20"/>
          <w:color w:val="auto"/>
        </w:rPr>
      </w:pPr>
      <w:r>
        <w:rPr>
          <w:rFonts w:ascii="Arial" w:cs="Arial" w:eastAsia="Arial" w:hAnsi="Arial"/>
          <w:sz w:val="17"/>
          <w:szCs w:val="17"/>
          <w:color w:val="auto"/>
        </w:rPr>
        <w:t>In addition, other legislative changes have been proposed and adopted since the ACA was enacted. The Budget Control Act of 2011, as amended, created the Joint Select Committee on Deficit Reduction to recommend proposals in spending reductions to Congress. The Joint Select Committee on Deficit Reduction did not achieve its targeted deficit reduction of at least $1.2 trillion for the years 2013 through 2021, triggering the legislation’s automatic reductions to several government programs, including aggregate reductions to Medicare payments to providers of up to 2% per fiscal year, which remain in effect through 2024 unless additional Congressional action is taken. The Center for Medicare and Medicaid Services has recently promulgated rules that implement a one-third reduction of Medicare Part B reimbursement of certain hospitals for outpatient drugs purchased at a deep discount under the 340B program. These and other healthcare reform initiatives may result in additional reductions in Medicare and other healthcare funding, which could have a material adverse effect on our financial operations. We expect that additional state and federal healthcare reform measures will be adopted in the future, any of which could limit the amounts that federal and state governments will pay for healthcare products and services, which could further limit the prices we are able to charge, or the amounts of reimbursement available, for our product candidates once they are approved.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185" w:lineRule="exact"/>
        <w:rPr>
          <w:sz w:val="20"/>
          <w:szCs w:val="20"/>
          <w:color w:val="auto"/>
        </w:rPr>
      </w:pPr>
    </w:p>
    <w:p>
      <w:pPr>
        <w:ind w:right="40" w:firstLine="648"/>
        <w:spacing w:after="0" w:line="210" w:lineRule="auto"/>
        <w:rPr>
          <w:sz w:val="20"/>
          <w:szCs w:val="20"/>
          <w:color w:val="auto"/>
        </w:rPr>
      </w:pPr>
      <w:r>
        <w:rPr>
          <w:rFonts w:ascii="Arial" w:cs="Arial" w:eastAsia="Arial" w:hAnsi="Arial"/>
          <w:sz w:val="18"/>
          <w:szCs w:val="18"/>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185"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To the extent we choose to develop or sell any products outside of the United States, we will be subject to a variety of foreign regulatory requirements of other countries regarding safety and efficacy and governing, among other things, clinical trials, marketing authorization, commercial sales, and distribution of our products. For example, in the European Union, or EU, we must obtain authorization of a clinical trial application in each member state in which we intend to conduct a clinical trial prior to the pending introduction of a EU portal for EU-wide approvals. Whether or not we obtain FDA approval for a product, we would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The requirements governing the conduct of clinical trials, product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As in the United States, post</w:t>
      </w:r>
      <w:r>
        <w:rPr>
          <w:rFonts w:ascii="MS PGothic" w:cs="MS PGothic" w:eastAsia="MS PGothic" w:hAnsi="MS PGothic"/>
          <w:sz w:val="16"/>
          <w:szCs w:val="16"/>
          <w:color w:val="auto"/>
        </w:rPr>
        <w:t>‑</w:t>
      </w:r>
      <w:r>
        <w:rPr>
          <w:rFonts w:ascii="Arial" w:cs="Arial" w:eastAsia="Arial" w:hAnsi="Arial"/>
          <w:sz w:val="16"/>
          <w:szCs w:val="16"/>
          <w:color w:val="auto"/>
        </w:rPr>
        <w:t>approval regulatory requirements, such as those regarding product manufacture, marketing, or distribution, would apply to any product that is approved outside the United States.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Union Drug Approval Process</w:t>
      </w:r>
    </w:p>
    <w:p>
      <w:pPr>
        <w:spacing w:after="0" w:line="185" w:lineRule="exact"/>
        <w:rPr>
          <w:sz w:val="20"/>
          <w:szCs w:val="20"/>
          <w:color w:val="auto"/>
        </w:rPr>
      </w:pPr>
    </w:p>
    <w:p>
      <w:pPr>
        <w:ind w:right="280" w:firstLine="648"/>
        <w:spacing w:after="0" w:line="194" w:lineRule="exact"/>
        <w:rPr>
          <w:sz w:val="20"/>
          <w:szCs w:val="20"/>
          <w:color w:val="auto"/>
        </w:rPr>
      </w:pPr>
      <w:r>
        <w:rPr>
          <w:rFonts w:ascii="Arial" w:cs="Arial" w:eastAsia="Arial" w:hAnsi="Arial"/>
          <w:sz w:val="18"/>
          <w:szCs w:val="18"/>
          <w:color w:val="auto"/>
        </w:rPr>
        <w:t>To obtain a marketing authorization of a drug in the European Union, we may submit marketing authorization applications, or MAAs, either under the so</w:t>
      </w:r>
      <w:r>
        <w:rPr>
          <w:rFonts w:ascii="MS PGothic" w:cs="MS PGothic" w:eastAsia="MS PGothic" w:hAnsi="MS PGothic"/>
          <w:sz w:val="18"/>
          <w:szCs w:val="18"/>
          <w:color w:val="auto"/>
        </w:rPr>
        <w:t>‑</w:t>
      </w:r>
      <w:r>
        <w:rPr>
          <w:rFonts w:ascii="Arial" w:cs="Arial" w:eastAsia="Arial" w:hAnsi="Arial"/>
          <w:sz w:val="18"/>
          <w:szCs w:val="18"/>
          <w:color w:val="auto"/>
        </w:rPr>
        <w:t>called centralized, decentralized, mutual recognition, or national authorization procedures.</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Centralized Procedure</w:t>
      </w:r>
    </w:p>
    <w:p>
      <w:pPr>
        <w:spacing w:after="0" w:line="185" w:lineRule="exact"/>
        <w:rPr>
          <w:sz w:val="20"/>
          <w:szCs w:val="20"/>
          <w:color w:val="auto"/>
        </w:rPr>
      </w:pPr>
    </w:p>
    <w:p>
      <w:pPr>
        <w:ind w:right="160" w:firstLine="648"/>
        <w:spacing w:after="0" w:line="220" w:lineRule="auto"/>
        <w:rPr>
          <w:sz w:val="20"/>
          <w:szCs w:val="20"/>
          <w:color w:val="auto"/>
        </w:rPr>
      </w:pPr>
      <w:r>
        <w:rPr>
          <w:rFonts w:ascii="Arial" w:cs="Arial" w:eastAsia="Arial" w:hAnsi="Arial"/>
          <w:sz w:val="17"/>
          <w:szCs w:val="17"/>
          <w:color w:val="auto"/>
        </w:rPr>
        <w:t>The centralized procedure provides for the grant of a single marketing authorization following a favorable opinion by the European Medicines Agency, or EMA, that is valid in all European Union member states, as well as Iceland, Liechtenstein, and Norway. The centralized procedure is compulsory for medicines produced by specified biotechnological processes, products designated as orphan medicinal products, and products with a new active substance indicated for the treatment of specified diseases, such as HIV/AIDS, cancer, diabetes, neurodegenerative disorders, or autoimmune diseases and other immune dysfunctions. The centralized procedure is optional for products that represent a significant therapeutic, scientific, or technical innovation, or whose authorization would be in the interest of public health. Under the centralized procedure the maximum timeframe for the evaluation of an MAA by the EMA is 210 days, excluding clock stops, when additional written or oral information is to be provided by the applicant in response to questions asked by the Committee of Medicinal Products for Human Use, or the CHMP.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of 150 days, excluding clock stops.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Authorization Procedures</w:t>
      </w:r>
    </w:p>
    <w:p>
      <w:pPr>
        <w:spacing w:after="0" w:line="185" w:lineRule="exact"/>
        <w:rPr>
          <w:sz w:val="20"/>
          <w:szCs w:val="20"/>
          <w:color w:val="auto"/>
        </w:rPr>
      </w:pPr>
    </w:p>
    <w:p>
      <w:pPr>
        <w:ind w:right="20" w:firstLine="648"/>
        <w:spacing w:after="0" w:line="258" w:lineRule="auto"/>
        <w:rPr>
          <w:sz w:val="20"/>
          <w:szCs w:val="20"/>
          <w:color w:val="auto"/>
        </w:rPr>
      </w:pPr>
      <w:r>
        <w:rPr>
          <w:rFonts w:ascii="Arial" w:cs="Arial" w:eastAsia="Arial" w:hAnsi="Arial"/>
          <w:sz w:val="17"/>
          <w:szCs w:val="17"/>
          <w:color w:val="auto"/>
        </w:rPr>
        <w:t>There are also two other possible routes to authorize medicinal products in several European Union countries, which are available for investigational medicinal products that fall outside the scope of the centralized procedure:</w:t>
      </w:r>
    </w:p>
    <w:p>
      <w:pPr>
        <w:spacing w:after="0" w:line="147" w:lineRule="exact"/>
        <w:rPr>
          <w:sz w:val="20"/>
          <w:szCs w:val="20"/>
          <w:color w:val="auto"/>
        </w:rPr>
      </w:pPr>
    </w:p>
    <w:p>
      <w:pPr>
        <w:ind w:left="980" w:right="20" w:hanging="329"/>
        <w:spacing w:after="0" w:line="214" w:lineRule="auto"/>
        <w:tabs>
          <w:tab w:leader="none" w:pos="93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Decentralized procedure. </w:t>
      </w:r>
      <w:r>
        <w:rPr>
          <w:rFonts w:ascii="Arial" w:cs="Arial" w:eastAsia="Arial" w:hAnsi="Arial"/>
          <w:sz w:val="18"/>
          <w:szCs w:val="18"/>
          <w:color w:val="auto"/>
        </w:rPr>
        <w:t>Using the decentralized procedure, an applicant may apply in more than one</w:t>
      </w:r>
      <w:r>
        <w:rPr>
          <w:rFonts w:ascii="Arial" w:cs="Arial" w:eastAsia="Arial" w:hAnsi="Arial"/>
          <w:sz w:val="18"/>
          <w:szCs w:val="18"/>
          <w:i w:val="1"/>
          <w:iCs w:val="1"/>
          <w:color w:val="auto"/>
        </w:rPr>
        <w:t xml:space="preserve"> </w:t>
      </w:r>
      <w:r>
        <w:rPr>
          <w:rFonts w:ascii="Arial" w:cs="Arial" w:eastAsia="Arial" w:hAnsi="Arial"/>
          <w:sz w:val="18"/>
          <w:szCs w:val="18"/>
          <w:color w:val="auto"/>
        </w:rPr>
        <w:t>European Union country, although the applicant must nominate one reference European Union Member State, for simultaneous authorization of medicinal products that have not yet been authorized in any European Union country and that do not fall within the mandatory scope of the centralized procedure. Failing agreement, there is a procedure for resolving disagreements between member states and ultimately an arbitration procedure before the CHMP.</w:t>
      </w:r>
    </w:p>
    <w:p>
      <w:pPr>
        <w:spacing w:after="0" w:line="162" w:lineRule="exact"/>
        <w:rPr>
          <w:rFonts w:ascii="Arial" w:cs="Arial" w:eastAsia="Arial" w:hAnsi="Arial"/>
          <w:sz w:val="18"/>
          <w:szCs w:val="18"/>
          <w:color w:val="auto"/>
        </w:rPr>
      </w:pPr>
    </w:p>
    <w:p>
      <w:pPr>
        <w:ind w:left="980" w:hanging="329"/>
        <w:spacing w:after="0" w:line="214" w:lineRule="auto"/>
        <w:tabs>
          <w:tab w:leader="none" w:pos="93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Mutual recognition procedure. </w:t>
      </w:r>
      <w:r>
        <w:rPr>
          <w:rFonts w:ascii="Arial" w:cs="Arial" w:eastAsia="Arial" w:hAnsi="Arial"/>
          <w:sz w:val="18"/>
          <w:szCs w:val="18"/>
          <w:color w:val="auto"/>
        </w:rPr>
        <w:t>In the mutual recognition procedure, a medicine is first authorized in one</w:t>
      </w:r>
      <w:r>
        <w:rPr>
          <w:rFonts w:ascii="Arial" w:cs="Arial" w:eastAsia="Arial" w:hAnsi="Arial"/>
          <w:sz w:val="18"/>
          <w:szCs w:val="18"/>
          <w:i w:val="1"/>
          <w:iCs w:val="1"/>
          <w:color w:val="auto"/>
        </w:rPr>
        <w:t xml:space="preserve"> </w:t>
      </w:r>
      <w:r>
        <w:rPr>
          <w:rFonts w:ascii="Arial" w:cs="Arial" w:eastAsia="Arial" w:hAnsi="Arial"/>
          <w:sz w:val="18"/>
          <w:szCs w:val="18"/>
          <w:color w:val="auto"/>
        </w:rPr>
        <w:t>European Union Member State, referred to as the reference member state, in accordance with the national procedures of that country. Following this, further marketing authorizations can be sought from other nominated European Union countries, referred to as the concerned member states, in a procedure whereby the countries concerned agree to recognize the validity of the original, national marketing authorization. The procedure for disagreements described above similarly applies.</w:t>
      </w:r>
    </w:p>
    <w:p>
      <w:pPr>
        <w:spacing w:after="0" w:line="162" w:lineRule="exact"/>
        <w:rPr>
          <w:rFonts w:ascii="Arial" w:cs="Arial" w:eastAsia="Arial" w:hAnsi="Arial"/>
          <w:sz w:val="18"/>
          <w:szCs w:val="18"/>
          <w:color w:val="auto"/>
        </w:rPr>
      </w:pPr>
    </w:p>
    <w:p>
      <w:pPr>
        <w:ind w:left="980" w:right="320" w:hanging="329"/>
        <w:spacing w:after="0" w:line="235" w:lineRule="auto"/>
        <w:tabs>
          <w:tab w:leader="none" w:pos="93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National procedures. </w:t>
      </w:r>
      <w:r>
        <w:rPr>
          <w:rFonts w:ascii="Arial" w:cs="Arial" w:eastAsia="Arial" w:hAnsi="Arial"/>
          <w:sz w:val="18"/>
          <w:szCs w:val="18"/>
          <w:color w:val="auto"/>
        </w:rPr>
        <w:t>Purely national procedures continue to be possible but are strictly limited to where the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is to be authorized in one member state only.</w:t>
      </w:r>
    </w:p>
    <w:p>
      <w:pPr>
        <w:spacing w:after="0" w:line="162"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In the European Union, new products authorized for marketing, referred to as reference products, qualify for eight years of data exclusivity and an additional two years of market exclusivity upon marketing authorization. The data exclusivity period prevents generic applicants from relying on the preclinical and clinical trial data contained in the dossier of the reference product when applying for a generic marketing authorization in the European Union during a period of eight years from the date on which the reference product was first authorized in the European Union. The market exclusivity period prevents a successful generic applicant from commercializing its product in the European Union until 10 years have elapsed from the initial authorization of the reference product in the European Union. The 10</w:t>
      </w:r>
      <w:r>
        <w:rPr>
          <w:rFonts w:ascii="MS PGothic" w:cs="MS PGothic" w:eastAsia="MS PGothic" w:hAnsi="MS PGothic"/>
          <w:sz w:val="16"/>
          <w:szCs w:val="16"/>
          <w:color w:val="auto"/>
        </w:rPr>
        <w:t>‑</w:t>
      </w:r>
      <w:r>
        <w:rPr>
          <w:rFonts w:ascii="Arial" w:cs="Arial" w:eastAsia="Arial" w:hAnsi="Arial"/>
          <w:sz w:val="16"/>
          <w:szCs w:val="16"/>
          <w:color w:val="auto"/>
        </w:rPr>
        <w:t>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89" w:lineRule="exact"/>
        <w:rPr>
          <w:sz w:val="20"/>
          <w:szCs w:val="20"/>
          <w:color w:val="auto"/>
        </w:rPr>
      </w:pPr>
    </w:p>
    <w:p>
      <w:pPr>
        <w:ind w:right="39" w:firstLine="648"/>
        <w:spacing w:after="0" w:line="216" w:lineRule="auto"/>
        <w:rPr>
          <w:sz w:val="20"/>
          <w:szCs w:val="20"/>
          <w:color w:val="auto"/>
        </w:rPr>
      </w:pPr>
      <w:r>
        <w:rPr>
          <w:rFonts w:ascii="Arial" w:cs="Arial" w:eastAsia="Arial" w:hAnsi="Arial"/>
          <w:sz w:val="18"/>
          <w:szCs w:val="18"/>
          <w:color w:val="auto"/>
        </w:rPr>
        <w:t>Conducting research and development is central to our business model. We have invested and expect to continue to invest significant time and capital in our research and development operations. Our research and development expenses were $20.0 million, $21.2 million and $6.8 million for the years ended December 31, 2017, 2016, and 2015, respectively. We plan to increase our research and development expenses for the foreseeable future as we seek to complete the development of AXS-05, AXS-02, AXS-06, and AXS-07.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jc w:val="both"/>
        <w:ind w:right="239" w:firstLine="648"/>
        <w:spacing w:after="0" w:line="194" w:lineRule="exact"/>
        <w:rPr>
          <w:sz w:val="20"/>
          <w:szCs w:val="20"/>
          <w:color w:val="auto"/>
        </w:rPr>
      </w:pPr>
      <w:r>
        <w:rPr>
          <w:rFonts w:ascii="Arial" w:cs="Arial" w:eastAsia="Arial" w:hAnsi="Arial"/>
          <w:sz w:val="18"/>
          <w:szCs w:val="18"/>
          <w:color w:val="auto"/>
        </w:rPr>
        <w:t>As of March 2, 2018, we had 25 full</w:t>
      </w:r>
      <w:r>
        <w:rPr>
          <w:rFonts w:ascii="MS PGothic" w:cs="MS PGothic" w:eastAsia="MS PGothic" w:hAnsi="MS PGothic"/>
          <w:sz w:val="18"/>
          <w:szCs w:val="18"/>
          <w:color w:val="auto"/>
        </w:rPr>
        <w:t>‑</w:t>
      </w:r>
      <w:r>
        <w:rPr>
          <w:rFonts w:ascii="Arial" w:cs="Arial" w:eastAsia="Arial" w:hAnsi="Arial"/>
          <w:sz w:val="18"/>
          <w:szCs w:val="18"/>
          <w:color w:val="auto"/>
        </w:rPr>
        <w:t>time employees and 4 key consultants, 6 of whom hold Pharm.D., Ph.D. or M.D. degrees. None of our employees is represented by a collective bargaining agreement and we have never experienced any work stoppage. We believe that we maintain good relations with our employees.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89" w:lineRule="exact"/>
        <w:rPr>
          <w:sz w:val="20"/>
          <w:szCs w:val="20"/>
          <w:color w:val="auto"/>
        </w:rPr>
      </w:pPr>
    </w:p>
    <w:p>
      <w:pPr>
        <w:jc w:val="both"/>
        <w:ind w:right="239" w:firstLine="648"/>
        <w:spacing w:after="0" w:line="235" w:lineRule="auto"/>
        <w:rPr>
          <w:sz w:val="20"/>
          <w:szCs w:val="20"/>
          <w:color w:val="auto"/>
        </w:rPr>
      </w:pPr>
      <w:r>
        <w:rPr>
          <w:rFonts w:ascii="Arial" w:cs="Arial" w:eastAsia="Arial" w:hAnsi="Arial"/>
          <w:sz w:val="18"/>
          <w:szCs w:val="18"/>
          <w:color w:val="auto"/>
        </w:rPr>
        <w:t>We were incorporated in Delaware in January 2012. Our offices are located at 25 Broadway, 9</w:t>
      </w:r>
      <w:r>
        <w:rPr>
          <w:rFonts w:ascii="Arial" w:cs="Arial" w:eastAsia="Arial" w:hAnsi="Arial"/>
          <w:sz w:val="8"/>
          <w:szCs w:val="8"/>
          <w:color w:val="auto"/>
        </w:rPr>
        <w:t>th</w:t>
      </w:r>
      <w:r>
        <w:rPr>
          <w:rFonts w:ascii="Arial" w:cs="Arial" w:eastAsia="Arial" w:hAnsi="Arial"/>
          <w:sz w:val="18"/>
          <w:szCs w:val="18"/>
          <w:color w:val="auto"/>
        </w:rPr>
        <w:t xml:space="preserve"> Floor, New York, New York 10004, and our telephone number is (212) 332-3241.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9" w:lineRule="exact"/>
        <w:rPr>
          <w:sz w:val="20"/>
          <w:szCs w:val="20"/>
          <w:color w:val="auto"/>
        </w:rPr>
      </w:pPr>
    </w:p>
    <w:p>
      <w:pPr>
        <w:ind w:right="39" w:firstLine="648"/>
        <w:spacing w:after="0" w:line="223" w:lineRule="auto"/>
        <w:rPr>
          <w:sz w:val="20"/>
          <w:szCs w:val="20"/>
          <w:color w:val="auto"/>
        </w:rPr>
      </w:pPr>
      <w:r>
        <w:rPr>
          <w:rFonts w:ascii="Arial" w:cs="Arial" w:eastAsia="Arial" w:hAnsi="Arial"/>
          <w:sz w:val="17"/>
          <w:szCs w:val="17"/>
          <w:color w:val="auto"/>
        </w:rPr>
        <w:t>We file reports and other information with the SEC, as required by the Exchange Act. We make available free of charge through our website (http://www.axsome.com) our annual reports on Form 10-K, quarterly reports on Form 10-Q, current reports on Form 8-K and amendments to those reports filed or furnished pursuant to Sections 13(a) and 15(d) of the Exchange Act. We make these reports available through our website as soon as reasonably practicable after we electronically file such reports with, or furnish such reports to, the SEC. In addition, we regularly use our website to post information regarding our business, product development programs and governance, and we encourage investors to use our website, particularly the information in the section entitled “Investors,” as a source of information about us. The foregoing references to our website are not intended to, nor shall they be deemed to, incorporate information on our website into this Annual Report on Form 10-K by reference.</w:t>
      </w:r>
    </w:p>
    <w:p>
      <w:pPr>
        <w:spacing w:after="0" w:line="162" w:lineRule="exact"/>
        <w:rPr>
          <w:sz w:val="20"/>
          <w:szCs w:val="20"/>
          <w:color w:val="auto"/>
        </w:rPr>
      </w:pPr>
    </w:p>
    <w:p>
      <w:pPr>
        <w:ind w:right="79" w:firstLine="648"/>
        <w:spacing w:after="0" w:line="241"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We will remain an emerging growth company until the earlier of (1) the last day of the fiscal year (a) following the fifth anniversary of the completion of our initial public offering in November 2015, (b) in which we have total annual gross revenue of at least $1.07 billion, or (c) in which we are deemed to be a large accelerated filer, which means the market value of our common stock that is held by non-affiliates exceeded $700 million as of the prior June 30</w:t>
      </w:r>
      <w:r>
        <w:rPr>
          <w:rFonts w:ascii="Arial" w:cs="Arial" w:eastAsia="Arial" w:hAnsi="Arial"/>
          <w:sz w:val="7"/>
          <w:szCs w:val="7"/>
          <w:color w:val="auto"/>
        </w:rPr>
        <w:t>th</w:t>
      </w:r>
      <w:r>
        <w:rPr>
          <w:rFonts w:ascii="Arial" w:cs="Arial" w:eastAsia="Arial" w:hAnsi="Arial"/>
          <w:sz w:val="16"/>
          <w:szCs w:val="16"/>
          <w:color w:val="auto"/>
        </w:rPr>
        <w:t>, and (2) the date on which we have issued more than $1.0 billion in non-convertible debt during the prior three-year period.</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spacing w:after="0" w:line="239"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 factors set forth below as well as the other information contained in this Annual Report on Form 10-K, including our consolidated financial statements and the related notes and the section titled “Management’s Discussion and Analysis of Financial Condition and Results of Operations.” Any of the following risks could materially and adversely affect our business, financial condition or results of operations. The risks described below are not the only risks facing us. Additional risks and uncertainties not currently known to us or that we currently view to be immaterial may also materially adversely affect our business, financial condition or results of operations. In these circumstances, the market price of our common stock would likely decline.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8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We have incurred significant losses since our inception, anticipate that we will incur substantial and increasing losses for the foreseeable future, and may never achieve or maintain profitability.</w:t>
      </w:r>
    </w:p>
    <w:p>
      <w:pPr>
        <w:spacing w:after="0" w:line="162"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We are a clinical stage biopharmaceutical company with a limited operating history. For the last several years, we have focused our efforts primarily on developing AXS-02, AXS-05, AXS-06, AXS-07 and AXS-09, which we refer to herein as our product candidates, with the goal of achieving regulatory approval. Since inception, we have incurred significant operating losses. Our net losses were $28.9 million and $27.2 million for the years ended December 31, 2017 and 2016, respectively. As of December 31, 2017, we had an accumulated deficit of $76.6 million. To date, we have not received regulatory approvals for any of our product candidates or generated any revenue from the sale of products, and we do not expect to generate any revenue in the foreseeable future. We expect to continue to incur substantial and increasing expenses and operating losses over the next several years, as we continue to develop our current and future product candidates. In addition, we expect to incur significant sales, marketing, and manufacturing expenses related to the commercialization of our current and future product candidates, if they are approved by the U.S. Food and Drug Administration, or FDA. As a result, we expect to continue to incur significant losses for the foreseeable future. We anticipate that our expenses will increase substantially as we:</w:t>
      </w:r>
    </w:p>
    <w:p>
      <w:pPr>
        <w:spacing w:after="0" w:line="163" w:lineRule="exact"/>
        <w:rPr>
          <w:sz w:val="20"/>
          <w:szCs w:val="20"/>
          <w:color w:val="auto"/>
        </w:rPr>
      </w:pPr>
    </w:p>
    <w:p>
      <w:pPr>
        <w:ind w:left="980" w:right="120" w:hanging="329"/>
        <w:spacing w:after="0" w:line="203" w:lineRule="exact"/>
        <w:tabs>
          <w:tab w:leader="none" w:pos="9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 our Phase 3 clinical trials with AXS</w:t>
      </w:r>
      <w:r>
        <w:rPr>
          <w:rFonts w:ascii="MS PGothic" w:cs="MS PGothic" w:eastAsia="MS PGothic" w:hAnsi="MS PGothic"/>
          <w:sz w:val="18"/>
          <w:szCs w:val="18"/>
          <w:color w:val="auto"/>
        </w:rPr>
        <w:t>‑</w:t>
      </w:r>
      <w:r>
        <w:rPr>
          <w:rFonts w:ascii="Arial" w:cs="Arial" w:eastAsia="Arial" w:hAnsi="Arial"/>
          <w:sz w:val="18"/>
          <w:szCs w:val="18"/>
          <w:color w:val="auto"/>
        </w:rPr>
        <w:t>02 for the treatment of pain associated with knee osteoarthritis, or OA, associated with bone marrow lesions, or BMLs;</w:t>
      </w:r>
    </w:p>
    <w:p>
      <w:pPr>
        <w:spacing w:after="0" w:line="161" w:lineRule="exact"/>
        <w:rPr>
          <w:rFonts w:ascii="Arial" w:cs="Arial" w:eastAsia="Arial" w:hAnsi="Arial"/>
          <w:sz w:val="18"/>
          <w:szCs w:val="18"/>
          <w:color w:val="auto"/>
        </w:rPr>
      </w:pPr>
    </w:p>
    <w:p>
      <w:pPr>
        <w:ind w:left="940" w:hanging="289"/>
        <w:spacing w:after="0" w:line="196" w:lineRule="exact"/>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conduct our Phase 3 clinical trials with AXS</w:t>
      </w:r>
      <w:r>
        <w:rPr>
          <w:rFonts w:ascii="MS PGothic" w:cs="MS PGothic" w:eastAsia="MS PGothic" w:hAnsi="MS PGothic"/>
          <w:sz w:val="17"/>
          <w:szCs w:val="17"/>
          <w:color w:val="auto"/>
        </w:rPr>
        <w:t>‑</w:t>
      </w:r>
      <w:r>
        <w:rPr>
          <w:rFonts w:ascii="Arial" w:cs="Arial" w:eastAsia="Arial" w:hAnsi="Arial"/>
          <w:sz w:val="17"/>
          <w:szCs w:val="17"/>
          <w:color w:val="auto"/>
        </w:rPr>
        <w:t>05 for the treatment of treatment resistant depression, or TRD;</w:t>
      </w:r>
    </w:p>
    <w:p>
      <w:pPr>
        <w:spacing w:after="0" w:line="196" w:lineRule="exact"/>
        <w:rPr>
          <w:rFonts w:ascii="Arial" w:cs="Arial" w:eastAsia="Arial" w:hAnsi="Arial"/>
          <w:sz w:val="17"/>
          <w:szCs w:val="17"/>
          <w:color w:val="auto"/>
        </w:rPr>
      </w:pPr>
    </w:p>
    <w:p>
      <w:pPr>
        <w:ind w:left="980" w:right="480" w:hanging="329"/>
        <w:spacing w:after="0" w:line="203" w:lineRule="exact"/>
        <w:tabs>
          <w:tab w:leader="none" w:pos="9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 our Phase 3 clinical trials with AXS</w:t>
      </w:r>
      <w:r>
        <w:rPr>
          <w:rFonts w:ascii="MS PGothic" w:cs="MS PGothic" w:eastAsia="MS PGothic" w:hAnsi="MS PGothic"/>
          <w:sz w:val="18"/>
          <w:szCs w:val="18"/>
          <w:color w:val="auto"/>
        </w:rPr>
        <w:t>‑</w:t>
      </w:r>
      <w:r>
        <w:rPr>
          <w:rFonts w:ascii="Arial" w:cs="Arial" w:eastAsia="Arial" w:hAnsi="Arial"/>
          <w:sz w:val="18"/>
          <w:szCs w:val="18"/>
          <w:color w:val="auto"/>
        </w:rPr>
        <w:t>05 for the treatment of agitation associated with Alzheimer’s disease, or AD agitation;</w:t>
      </w:r>
    </w:p>
    <w:p>
      <w:pPr>
        <w:spacing w:after="0" w:line="161" w:lineRule="exact"/>
        <w:rPr>
          <w:rFonts w:ascii="Arial" w:cs="Arial" w:eastAsia="Arial" w:hAnsi="Arial"/>
          <w:sz w:val="18"/>
          <w:szCs w:val="18"/>
          <w:color w:val="auto"/>
        </w:rPr>
      </w:pPr>
    </w:p>
    <w:p>
      <w:pPr>
        <w:ind w:left="940" w:hanging="289"/>
        <w:spacing w:after="0" w:line="207" w:lineRule="exact"/>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initiate and enroll patients in our Phase 3 clinical trials in other indications for AXS</w:t>
      </w:r>
      <w:r>
        <w:rPr>
          <w:rFonts w:ascii="MS PGothic" w:cs="MS PGothic" w:eastAsia="MS PGothic" w:hAnsi="MS PGothic"/>
          <w:sz w:val="18"/>
          <w:szCs w:val="18"/>
          <w:color w:val="auto"/>
        </w:rPr>
        <w:t>‑</w:t>
      </w:r>
      <w:r>
        <w:rPr>
          <w:rFonts w:ascii="Arial" w:cs="Arial" w:eastAsia="Arial" w:hAnsi="Arial"/>
          <w:sz w:val="18"/>
          <w:szCs w:val="18"/>
          <w:color w:val="auto"/>
        </w:rPr>
        <w:t>02 and for AXS</w:t>
      </w:r>
      <w:r>
        <w:rPr>
          <w:rFonts w:ascii="MS PGothic" w:cs="MS PGothic" w:eastAsia="MS PGothic" w:hAnsi="MS PGothic"/>
          <w:sz w:val="18"/>
          <w:szCs w:val="18"/>
          <w:color w:val="auto"/>
        </w:rPr>
        <w:t>‑</w:t>
      </w:r>
      <w:r>
        <w:rPr>
          <w:rFonts w:ascii="Arial" w:cs="Arial" w:eastAsia="Arial" w:hAnsi="Arial"/>
          <w:sz w:val="18"/>
          <w:szCs w:val="18"/>
          <w:color w:val="auto"/>
        </w:rPr>
        <w:t>05;</w:t>
      </w:r>
    </w:p>
    <w:p>
      <w:pPr>
        <w:spacing w:after="0" w:line="184" w:lineRule="exact"/>
        <w:rPr>
          <w:rFonts w:ascii="Arial" w:cs="Arial" w:eastAsia="Arial" w:hAnsi="Arial"/>
          <w:sz w:val="18"/>
          <w:szCs w:val="18"/>
          <w:color w:val="auto"/>
        </w:rPr>
      </w:pPr>
    </w:p>
    <w:p>
      <w:pPr>
        <w:ind w:left="980" w:right="400" w:hanging="329"/>
        <w:spacing w:after="0" w:line="224" w:lineRule="auto"/>
        <w:tabs>
          <w:tab w:leader="none" w:pos="9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evaluate, plan for, and conduct, clinical trials for AXS-06 for the treatment of osteoarthritis and rheumatoid arthritis, AXS-07 for the acute treatment of migraine, and AXS-09 for the treatment of CNS disorders;</w:t>
      </w:r>
    </w:p>
    <w:p>
      <w:pPr>
        <w:spacing w:after="0" w:line="163" w:lineRule="exact"/>
        <w:rPr>
          <w:rFonts w:ascii="Arial" w:cs="Arial" w:eastAsia="Arial" w:hAnsi="Arial"/>
          <w:sz w:val="18"/>
          <w:szCs w:val="18"/>
          <w:color w:val="auto"/>
        </w:rPr>
      </w:pPr>
    </w:p>
    <w:p>
      <w:pPr>
        <w:ind w:left="940" w:hanging="289"/>
        <w:spacing w:after="0" w:line="207" w:lineRule="exact"/>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license or acquire additional product candidates;</w:t>
      </w:r>
    </w:p>
    <w:p>
      <w:pPr>
        <w:spacing w:after="0" w:line="184" w:lineRule="exact"/>
        <w:rPr>
          <w:rFonts w:ascii="Arial" w:cs="Arial" w:eastAsia="Arial" w:hAnsi="Arial"/>
          <w:sz w:val="18"/>
          <w:szCs w:val="18"/>
          <w:color w:val="auto"/>
        </w:rPr>
      </w:pPr>
    </w:p>
    <w:p>
      <w:pPr>
        <w:ind w:left="940" w:hanging="289"/>
        <w:spacing w:after="0" w:line="184" w:lineRule="exact"/>
        <w:tabs>
          <w:tab w:leader="none" w:pos="9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conduct late</w:t>
      </w:r>
      <w:r>
        <w:rPr>
          <w:rFonts w:ascii="MS PGothic" w:cs="MS PGothic" w:eastAsia="MS PGothic" w:hAnsi="MS PGothic"/>
          <w:sz w:val="16"/>
          <w:szCs w:val="16"/>
          <w:color w:val="auto"/>
        </w:rPr>
        <w:t>‑</w:t>
      </w:r>
      <w:r>
        <w:rPr>
          <w:rFonts w:ascii="Arial" w:cs="Arial" w:eastAsia="Arial" w:hAnsi="Arial"/>
          <w:sz w:val="16"/>
          <w:szCs w:val="16"/>
          <w:color w:val="auto"/>
        </w:rPr>
        <w:t>stage clinical trials for any product candidates that successfully complete early</w:t>
      </w:r>
      <w:r>
        <w:rPr>
          <w:rFonts w:ascii="MS PGothic" w:cs="MS PGothic" w:eastAsia="MS PGothic" w:hAnsi="MS PGothic"/>
          <w:sz w:val="16"/>
          <w:szCs w:val="16"/>
          <w:color w:val="auto"/>
        </w:rPr>
        <w:t>‑</w:t>
      </w:r>
      <w:r>
        <w:rPr>
          <w:rFonts w:ascii="Arial" w:cs="Arial" w:eastAsia="Arial" w:hAnsi="Arial"/>
          <w:sz w:val="16"/>
          <w:szCs w:val="16"/>
          <w:color w:val="auto"/>
        </w:rPr>
        <w:t>stage clinical trials;</w:t>
      </w:r>
    </w:p>
    <w:p>
      <w:pPr>
        <w:spacing w:after="0" w:line="207" w:lineRule="exact"/>
        <w:rPr>
          <w:rFonts w:ascii="Arial" w:cs="Arial" w:eastAsia="Arial" w:hAnsi="Arial"/>
          <w:sz w:val="16"/>
          <w:szCs w:val="16"/>
          <w:color w:val="auto"/>
        </w:rPr>
      </w:pPr>
    </w:p>
    <w:p>
      <w:pPr>
        <w:ind w:left="940" w:hanging="289"/>
        <w:spacing w:after="0" w:line="196" w:lineRule="exact"/>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seek regulatory approval for any product candidates that successfully complete late</w:t>
      </w:r>
      <w:r>
        <w:rPr>
          <w:rFonts w:ascii="MS PGothic" w:cs="MS PGothic" w:eastAsia="MS PGothic" w:hAnsi="MS PGothic"/>
          <w:sz w:val="17"/>
          <w:szCs w:val="17"/>
          <w:color w:val="auto"/>
        </w:rPr>
        <w:t>‑</w:t>
      </w:r>
      <w:r>
        <w:rPr>
          <w:rFonts w:ascii="Arial" w:cs="Arial" w:eastAsia="Arial" w:hAnsi="Arial"/>
          <w:sz w:val="17"/>
          <w:szCs w:val="17"/>
          <w:color w:val="auto"/>
        </w:rPr>
        <w:t>stage clinical trials;</w:t>
      </w:r>
    </w:p>
    <w:p>
      <w:pPr>
        <w:spacing w:after="0" w:line="196" w:lineRule="exact"/>
        <w:rPr>
          <w:rFonts w:ascii="Arial" w:cs="Arial" w:eastAsia="Arial" w:hAnsi="Arial"/>
          <w:sz w:val="17"/>
          <w:szCs w:val="17"/>
          <w:color w:val="auto"/>
        </w:rPr>
      </w:pPr>
    </w:p>
    <w:p>
      <w:pPr>
        <w:ind w:left="940" w:hanging="289"/>
        <w:spacing w:after="0" w:line="207" w:lineRule="exact"/>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 additional non</w:t>
      </w:r>
      <w:r>
        <w:rPr>
          <w:rFonts w:ascii="MS PGothic" w:cs="MS PGothic" w:eastAsia="MS PGothic" w:hAnsi="MS PGothic"/>
          <w:sz w:val="18"/>
          <w:szCs w:val="18"/>
          <w:color w:val="auto"/>
        </w:rPr>
        <w:t>‑</w:t>
      </w:r>
      <w:r>
        <w:rPr>
          <w:rFonts w:ascii="Arial" w:cs="Arial" w:eastAsia="Arial" w:hAnsi="Arial"/>
          <w:sz w:val="18"/>
          <w:szCs w:val="18"/>
          <w:color w:val="auto"/>
        </w:rPr>
        <w:t>clinical studies with any product candidates;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40" w:hanging="289"/>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conduct clinical studies with any additional product candidates;</w:t>
      </w:r>
    </w:p>
    <w:p>
      <w:pPr>
        <w:spacing w:after="0" w:line="184" w:lineRule="exact"/>
        <w:rPr>
          <w:rFonts w:ascii="Arial" w:cs="Arial" w:eastAsia="Arial" w:hAnsi="Arial"/>
          <w:sz w:val="18"/>
          <w:szCs w:val="18"/>
          <w:color w:val="auto"/>
        </w:rPr>
      </w:pPr>
    </w:p>
    <w:p>
      <w:pPr>
        <w:ind w:left="980" w:right="500" w:hanging="329"/>
        <w:spacing w:after="0" w:line="235" w:lineRule="auto"/>
        <w:tabs>
          <w:tab w:leader="none" w:pos="9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manufacturing batch sizes of our product candidates to satisfy FDA requirements for a marketing application submission;</w:t>
      </w:r>
    </w:p>
    <w:p>
      <w:pPr>
        <w:spacing w:after="0" w:line="161" w:lineRule="exact"/>
        <w:rPr>
          <w:rFonts w:ascii="Arial" w:cs="Arial" w:eastAsia="Arial" w:hAnsi="Arial"/>
          <w:sz w:val="18"/>
          <w:szCs w:val="18"/>
          <w:color w:val="auto"/>
        </w:rPr>
      </w:pPr>
    </w:p>
    <w:p>
      <w:pPr>
        <w:ind w:left="980" w:right="20" w:hanging="329"/>
        <w:spacing w:after="0" w:line="224" w:lineRule="auto"/>
        <w:tabs>
          <w:tab w:leader="none" w:pos="9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scale up external manufacturing capabilities to commercialize any products for which we may obtain regulatory approval and that we choose not to license to a third party;</w:t>
      </w:r>
    </w:p>
    <w:p>
      <w:pPr>
        <w:spacing w:after="0" w:line="163" w:lineRule="exact"/>
        <w:rPr>
          <w:rFonts w:ascii="Arial" w:cs="Arial" w:eastAsia="Arial" w:hAnsi="Arial"/>
          <w:sz w:val="18"/>
          <w:szCs w:val="18"/>
          <w:color w:val="auto"/>
        </w:rPr>
      </w:pPr>
    </w:p>
    <w:p>
      <w:pPr>
        <w:ind w:left="940" w:hanging="289"/>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larger quantities of product;</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84" w:lineRule="exact"/>
        <w:rPr>
          <w:rFonts w:ascii="Arial" w:cs="Arial" w:eastAsia="Arial" w:hAnsi="Arial"/>
          <w:sz w:val="18"/>
          <w:szCs w:val="18"/>
          <w:color w:val="auto"/>
        </w:rPr>
      </w:pPr>
    </w:p>
    <w:p>
      <w:pPr>
        <w:ind w:left="980" w:right="140" w:hanging="329"/>
        <w:spacing w:after="0" w:line="258" w:lineRule="auto"/>
        <w:tabs>
          <w:tab w:leader="none" w:pos="9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candidate development and planned future commercialization efforts.</w:t>
      </w:r>
    </w:p>
    <w:p>
      <w:pPr>
        <w:spacing w:after="0" w:line="147" w:lineRule="exact"/>
        <w:rPr>
          <w:sz w:val="20"/>
          <w:szCs w:val="20"/>
          <w:color w:val="auto"/>
        </w:rPr>
      </w:pPr>
    </w:p>
    <w:p>
      <w:pPr>
        <w:ind w:right="140" w:firstLine="648"/>
        <w:spacing w:after="0" w:line="181" w:lineRule="exact"/>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w:t>
      </w:r>
      <w:r>
        <w:rPr>
          <w:rFonts w:ascii="MS PGothic" w:cs="MS PGothic" w:eastAsia="MS PGothic" w:hAnsi="MS PGothic"/>
          <w:sz w:val="17"/>
          <w:szCs w:val="17"/>
          <w:color w:val="auto"/>
        </w:rPr>
        <w:t>‑</w:t>
      </w:r>
      <w:r>
        <w:rPr>
          <w:rFonts w:ascii="Arial" w:cs="Arial" w:eastAsia="Arial" w:hAnsi="Arial"/>
          <w:sz w:val="17"/>
          <w:szCs w:val="17"/>
          <w:color w:val="auto"/>
        </w:rPr>
        <w:t>marketing requirements, maintaining appropriate distribution, setting prices, and obtaining reimbursement for our products from private insurance or government payors. We are only in the preliminary stages of some of these activities. We may never succeed in these activities and, even if we do, may never achieve profitability.</w:t>
      </w:r>
    </w:p>
    <w:p>
      <w:pPr>
        <w:spacing w:after="0" w:line="164" w:lineRule="exact"/>
        <w:rPr>
          <w:sz w:val="20"/>
          <w:szCs w:val="20"/>
          <w:color w:val="auto"/>
        </w:rPr>
      </w:pPr>
    </w:p>
    <w:p>
      <w:pPr>
        <w:ind w:right="180" w:firstLine="648"/>
        <w:spacing w:after="0" w:line="216"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62" w:lineRule="exact"/>
        <w:rPr>
          <w:sz w:val="20"/>
          <w:szCs w:val="20"/>
          <w:color w:val="auto"/>
        </w:rPr>
      </w:pPr>
    </w:p>
    <w:p>
      <w:pPr>
        <w:jc w:val="both"/>
        <w:ind w:right="200" w:firstLine="648"/>
        <w:spacing w:after="0" w:line="249" w:lineRule="auto"/>
        <w:rPr>
          <w:sz w:val="20"/>
          <w:szCs w:val="20"/>
          <w:color w:val="auto"/>
        </w:rPr>
      </w:pPr>
      <w:r>
        <w:rPr>
          <w:rFonts w:ascii="Arial" w:cs="Arial" w:eastAsia="Arial" w:hAnsi="Arial"/>
          <w:sz w:val="16"/>
          <w:szCs w:val="16"/>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55" w:lineRule="exact"/>
        <w:rPr>
          <w:sz w:val="20"/>
          <w:szCs w:val="20"/>
          <w:color w:val="auto"/>
        </w:rPr>
      </w:pPr>
    </w:p>
    <w:p>
      <w:pPr>
        <w:spacing w:after="0" w:line="224" w:lineRule="auto"/>
        <w:rPr>
          <w:sz w:val="20"/>
          <w:szCs w:val="20"/>
          <w:color w:val="auto"/>
        </w:rPr>
      </w:pPr>
      <w:r>
        <w:rPr>
          <w:rFonts w:ascii="Arial" w:cs="Arial" w:eastAsia="Arial" w:hAnsi="Arial"/>
          <w:sz w:val="18"/>
          <w:szCs w:val="18"/>
          <w:b w:val="1"/>
          <w:bCs w:val="1"/>
          <w:i w:val="1"/>
          <w:iCs w:val="1"/>
          <w:color w:val="auto"/>
        </w:rPr>
        <w:t>We will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63" w:lineRule="exact"/>
        <w:rPr>
          <w:sz w:val="20"/>
          <w:szCs w:val="20"/>
          <w:color w:val="auto"/>
        </w:rPr>
      </w:pPr>
    </w:p>
    <w:p>
      <w:pPr>
        <w:jc w:val="both"/>
        <w:ind w:right="140" w:firstLine="648"/>
        <w:spacing w:after="0" w:line="194" w:lineRule="exact"/>
        <w:rPr>
          <w:sz w:val="20"/>
          <w:szCs w:val="20"/>
          <w:color w:val="auto"/>
        </w:rPr>
      </w:pPr>
      <w:r>
        <w:rPr>
          <w:rFonts w:ascii="Arial" w:cs="Arial" w:eastAsia="Arial" w:hAnsi="Arial"/>
          <w:sz w:val="17"/>
          <w:szCs w:val="17"/>
          <w:color w:val="auto"/>
        </w:rPr>
        <w:t>Conducting clinical trials, pursuing regulatory approvals, establishing outsourced manufacturing relationships, and successfully manufacturing and commercializing our product candidates, is, and will be, a very time</w:t>
      </w:r>
      <w:r>
        <w:rPr>
          <w:rFonts w:ascii="MS PGothic" w:cs="MS PGothic" w:eastAsia="MS PGothic" w:hAnsi="MS PGothic"/>
          <w:sz w:val="17"/>
          <w:szCs w:val="17"/>
          <w:color w:val="auto"/>
        </w:rPr>
        <w:t>‑</w:t>
      </w:r>
      <w:r>
        <w:rPr>
          <w:rFonts w:ascii="Arial" w:cs="Arial" w:eastAsia="Arial" w:hAnsi="Arial"/>
          <w:sz w:val="17"/>
          <w:szCs w:val="17"/>
          <w:color w:val="auto"/>
        </w:rPr>
        <w:t>consuming, expensive, and uncertain process that takes years to complete. We will need to raise additional capital to:</w:t>
      </w:r>
    </w:p>
    <w:p>
      <w:pPr>
        <w:spacing w:after="0" w:line="161" w:lineRule="exact"/>
        <w:rPr>
          <w:sz w:val="20"/>
          <w:szCs w:val="20"/>
          <w:color w:val="auto"/>
        </w:rPr>
      </w:pPr>
    </w:p>
    <w:p>
      <w:pPr>
        <w:ind w:left="980" w:right="460" w:hanging="329"/>
        <w:spacing w:after="0" w:line="235" w:lineRule="auto"/>
        <w:tabs>
          <w:tab w:leader="none" w:pos="9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fund our future clinical trials for our current product candidates, especially if we encounter any unforeseen delays or difficulties in our planned development activities;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left="980" w:hanging="329"/>
        <w:spacing w:after="0" w:line="224" w:lineRule="auto"/>
        <w:tabs>
          <w:tab w:leader="none" w:pos="9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fund our operations and continue our efforts to hire additional personnel and build a commercial infrastructure to prepare for the commercialization of our current and future product candidates, if approved by the FDA or other comparable foreign regulatory authorities;</w:t>
      </w:r>
    </w:p>
    <w:p>
      <w:pPr>
        <w:spacing w:after="0" w:line="163" w:lineRule="exact"/>
        <w:rPr>
          <w:rFonts w:ascii="Arial" w:cs="Arial" w:eastAsia="Arial" w:hAnsi="Arial"/>
          <w:sz w:val="18"/>
          <w:szCs w:val="18"/>
          <w:color w:val="auto"/>
        </w:rPr>
      </w:pPr>
    </w:p>
    <w:p>
      <w:pPr>
        <w:ind w:left="980" w:right="240" w:hanging="329"/>
        <w:spacing w:after="0" w:line="203" w:lineRule="exact"/>
        <w:tabs>
          <w:tab w:leader="none" w:pos="9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qualify and outsource the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of our products under current good manufacturing practices, or cGMP;</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additional product candidates; and</w:t>
      </w:r>
    </w:p>
    <w:p>
      <w:pPr>
        <w:spacing w:after="0" w:line="184" w:lineRule="exact"/>
        <w:rPr>
          <w:rFonts w:ascii="Arial" w:cs="Arial" w:eastAsia="Arial" w:hAnsi="Arial"/>
          <w:sz w:val="18"/>
          <w:szCs w:val="18"/>
          <w:color w:val="auto"/>
        </w:rPr>
      </w:pPr>
    </w:p>
    <w:p>
      <w:pPr>
        <w:ind w:left="940" w:hanging="289"/>
        <w:spacing w:after="0" w:line="207" w:lineRule="exact"/>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license other product candidates.</w:t>
      </w:r>
    </w:p>
    <w:p>
      <w:pPr>
        <w:spacing w:after="0" w:line="185" w:lineRule="exact"/>
        <w:rPr>
          <w:sz w:val="20"/>
          <w:szCs w:val="20"/>
          <w:color w:val="auto"/>
        </w:rPr>
      </w:pPr>
    </w:p>
    <w:p>
      <w:pPr>
        <w:ind w:right="80" w:firstLine="648"/>
        <w:spacing w:after="0" w:line="241" w:lineRule="auto"/>
        <w:rPr>
          <w:sz w:val="20"/>
          <w:szCs w:val="20"/>
          <w:color w:val="auto"/>
        </w:rPr>
      </w:pPr>
      <w:r>
        <w:rPr>
          <w:rFonts w:ascii="Arial" w:cs="Arial" w:eastAsia="Arial" w:hAnsi="Arial"/>
          <w:sz w:val="16"/>
          <w:szCs w:val="16"/>
          <w:color w:val="auto"/>
        </w:rPr>
        <w:t>We believe that with our available cash as of December 31, 2017, we will have sufficient funds to meet our anticipated operating cash requirements into the third quarter of 2019. We have based this estimate on assumptions that may prove to be wrong and we could spend our available financial resources faster than we currently expect. Further, we may not have sufficient financial resources to meet all of our objectives if any product candidate is approved, which could require us to postpone, scale back, or eliminate some, or all, of these objectives, including our potential launch activities relating to our product candidates. Our future funding requirements will depend on many factors, including, but not limited to:</w:t>
      </w:r>
    </w:p>
    <w:p>
      <w:pPr>
        <w:spacing w:after="0" w:line="161" w:lineRule="exact"/>
        <w:rPr>
          <w:sz w:val="20"/>
          <w:szCs w:val="20"/>
          <w:color w:val="auto"/>
        </w:rPr>
      </w:pPr>
    </w:p>
    <w:p>
      <w:pPr>
        <w:ind w:left="940" w:hanging="289"/>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rate of progress and costs related to the development of our product candidates;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costs associated with conducting additional non-clinical studies with any of our product candidates;</w:t>
      </w:r>
    </w:p>
    <w:p>
      <w:pPr>
        <w:spacing w:after="0" w:line="196" w:lineRule="exact"/>
        <w:rPr>
          <w:rFonts w:ascii="Arial" w:cs="Arial" w:eastAsia="Arial" w:hAnsi="Arial"/>
          <w:sz w:val="17"/>
          <w:szCs w:val="17"/>
          <w:color w:val="auto"/>
        </w:rPr>
      </w:pPr>
    </w:p>
    <w:p>
      <w:pPr>
        <w:ind w:left="980" w:right="480" w:hanging="329"/>
        <w:spacing w:after="0" w:line="235" w:lineRule="auto"/>
        <w:tabs>
          <w:tab w:leader="none" w:pos="9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for delays in our efforts to seek regulatory approval for our product candidates, and any costs associated with such delays;</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costs of establishing a commercial organization to sell, market, and distribute our product candidates;</w:t>
      </w:r>
    </w:p>
    <w:p>
      <w:pPr>
        <w:spacing w:after="0" w:line="196" w:lineRule="exact"/>
        <w:rPr>
          <w:rFonts w:ascii="Arial" w:cs="Arial" w:eastAsia="Arial" w:hAnsi="Arial"/>
          <w:sz w:val="17"/>
          <w:szCs w:val="17"/>
          <w:color w:val="auto"/>
        </w:rPr>
      </w:pPr>
    </w:p>
    <w:p>
      <w:pPr>
        <w:ind w:left="980" w:right="40" w:hanging="329"/>
        <w:spacing w:after="0" w:line="194" w:lineRule="exact"/>
        <w:tabs>
          <w:tab w:leader="none" w:pos="9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rate of progress and costs of our efforts to prepare for the submission of a new drug application, or NDA, for any product candidates that we may in</w:t>
      </w:r>
      <w:r>
        <w:rPr>
          <w:rFonts w:ascii="MS PGothic" w:cs="MS PGothic" w:eastAsia="MS PGothic" w:hAnsi="MS PGothic"/>
          <w:sz w:val="17"/>
          <w:szCs w:val="17"/>
          <w:color w:val="auto"/>
        </w:rPr>
        <w:t>‑</w:t>
      </w:r>
      <w:r>
        <w:rPr>
          <w:rFonts w:ascii="Arial" w:cs="Arial" w:eastAsia="Arial" w:hAnsi="Arial"/>
          <w:sz w:val="17"/>
          <w:szCs w:val="17"/>
          <w:color w:val="auto"/>
        </w:rPr>
        <w:t>license or acquire in the future, and the potential that we may need to conduct additional clinical or preclinical trials to support applications for regulatory approval;</w:t>
      </w:r>
    </w:p>
    <w:p>
      <w:pPr>
        <w:spacing w:after="0" w:line="161" w:lineRule="exact"/>
        <w:rPr>
          <w:rFonts w:ascii="Arial" w:cs="Arial" w:eastAsia="Arial" w:hAnsi="Arial"/>
          <w:sz w:val="17"/>
          <w:szCs w:val="17"/>
          <w:color w:val="auto"/>
        </w:rPr>
      </w:pPr>
    </w:p>
    <w:p>
      <w:pPr>
        <w:ind w:left="980" w:right="80" w:hanging="329"/>
        <w:spacing w:after="0" w:line="235" w:lineRule="auto"/>
        <w:tabs>
          <w:tab w:leader="none" w:pos="9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 associated with our product candidates;</w:t>
      </w:r>
    </w:p>
    <w:p>
      <w:pPr>
        <w:spacing w:after="0" w:line="161" w:lineRule="exact"/>
        <w:rPr>
          <w:rFonts w:ascii="Arial" w:cs="Arial" w:eastAsia="Arial" w:hAnsi="Arial"/>
          <w:sz w:val="18"/>
          <w:szCs w:val="18"/>
          <w:color w:val="auto"/>
        </w:rPr>
      </w:pPr>
    </w:p>
    <w:p>
      <w:pPr>
        <w:ind w:left="980" w:right="920" w:hanging="329"/>
        <w:spacing w:after="0" w:line="235" w:lineRule="auto"/>
        <w:tabs>
          <w:tab w:leader="none" w:pos="9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and timing of manufacturing sufficient supplies of our product candidates in preparation for commercialization;</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84" w:lineRule="exact"/>
        <w:rPr>
          <w:rFonts w:ascii="Arial" w:cs="Arial" w:eastAsia="Arial" w:hAnsi="Arial"/>
          <w:sz w:val="18"/>
          <w:szCs w:val="18"/>
          <w:color w:val="auto"/>
        </w:rPr>
      </w:pPr>
    </w:p>
    <w:p>
      <w:pPr>
        <w:ind w:left="980" w:right="240" w:hanging="329"/>
        <w:spacing w:after="0" w:line="235" w:lineRule="auto"/>
        <w:tabs>
          <w:tab w:leader="none" w:pos="9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 if any, received from commercial sales of our product candidates, subject to the receipt of regulatory approval;</w:t>
      </w:r>
    </w:p>
    <w:p>
      <w:pPr>
        <w:spacing w:after="0" w:line="161" w:lineRule="exact"/>
        <w:rPr>
          <w:rFonts w:ascii="Arial" w:cs="Arial" w:eastAsia="Arial" w:hAnsi="Arial"/>
          <w:sz w:val="18"/>
          <w:szCs w:val="18"/>
          <w:color w:val="auto"/>
        </w:rPr>
      </w:pPr>
    </w:p>
    <w:p>
      <w:pPr>
        <w:ind w:left="980" w:right="40" w:hanging="329"/>
        <w:spacing w:after="0" w:line="203" w:lineRule="exact"/>
        <w:tabs>
          <w:tab w:leader="none" w:pos="9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co</w:t>
      </w:r>
      <w:r>
        <w:rPr>
          <w:rFonts w:ascii="MS PGothic" w:cs="MS PGothic" w:eastAsia="MS PGothic" w:hAnsi="MS PGothic"/>
          <w:sz w:val="18"/>
          <w:szCs w:val="18"/>
          <w:color w:val="auto"/>
        </w:rPr>
        <w:t>‑</w:t>
      </w:r>
      <w:r>
        <w:rPr>
          <w:rFonts w:ascii="Arial" w:cs="Arial" w:eastAsia="Arial" w:hAnsi="Arial"/>
          <w:sz w:val="18"/>
          <w:szCs w:val="18"/>
          <w:color w:val="auto"/>
        </w:rPr>
        <w:t>promotion, or other arrangements that we may establish; and</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success of the commercialization of any of our current or future product candidates.</w:t>
      </w:r>
    </w:p>
    <w:p>
      <w:pPr>
        <w:spacing w:after="0" w:line="185" w:lineRule="exact"/>
        <w:rPr>
          <w:sz w:val="20"/>
          <w:szCs w:val="20"/>
          <w:color w:val="auto"/>
        </w:rPr>
      </w:pPr>
    </w:p>
    <w:p>
      <w:pPr>
        <w:ind w:right="40" w:firstLine="648"/>
        <w:spacing w:after="0" w:line="232" w:lineRule="auto"/>
        <w:rPr>
          <w:sz w:val="20"/>
          <w:szCs w:val="20"/>
          <w:color w:val="auto"/>
        </w:rPr>
      </w:pPr>
      <w:r>
        <w:rPr>
          <w:rFonts w:ascii="Arial" w:cs="Arial" w:eastAsia="Arial" w:hAnsi="Arial"/>
          <w:sz w:val="17"/>
          <w:szCs w:val="17"/>
          <w:color w:val="auto"/>
        </w:rPr>
        <w:t>Future capital requirements will also depend on the extent to which we acquire or invest in additional businesses, products, and technologies. Until we can generate a sufficient amount of product revenue, if ever, we expect to finance future cash needs through public or private equity offerings, debt financings, royalties, and corporate collaboration and licensing arrangements, as well as through interest income earned on cash and investment balances.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80"/>
        <w:spacing w:after="0" w:line="224" w:lineRule="auto"/>
        <w:rPr>
          <w:sz w:val="20"/>
          <w:szCs w:val="20"/>
          <w:color w:val="auto"/>
        </w:rPr>
      </w:pPr>
      <w:r>
        <w:rPr>
          <w:rFonts w:ascii="Arial" w:cs="Arial" w:eastAsia="Arial" w:hAnsi="Arial"/>
          <w:sz w:val="18"/>
          <w:szCs w:val="18"/>
          <w:color w:val="auto"/>
        </w:rPr>
        <w:t>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63"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b w:val="1"/>
          <w:bCs w:val="1"/>
          <w:i w:val="1"/>
          <w:iCs w:val="1"/>
          <w:color w:val="auto"/>
        </w:rPr>
        <w:t>Our operating activities may be restricted as a result of covenants related to the outstanding indebtedness under our loan agreement and we may be required to repay the outstanding indebtedness in an event of default, which could have a materially adverse effect on our business.</w:t>
      </w:r>
    </w:p>
    <w:p>
      <w:pPr>
        <w:spacing w:after="0" w:line="163"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In November 2016, we entered into a loan and security agreement, referred to herein as the SVB Loan, with Silicon Valley Bank, or SVB, for a term loan facility in the aggregate principal amount of up to $20.0 million, of which $10.0 million was funded shortly after closing. Availability of $5.0 million under the second term advance was conditioned upon the achievement of both a clinical and financial milestone on or prior to November 9, 2017. The clinical milestone required our receipt of positive interim results of our then-ongoing CREATE-1 study of AXS-02 in CRPS, while the financial milestone required that we receive unrestricted and unencumbered net cash proceeds of at least $30.0 million from the issuance and sale of our equity securities to investors. Availability of $5.0 million under the third term advance was tied to achievement of the clinical and financial milestones described above, as well as our receipt of positive data with respect to our then-ongoing CREATE-1 study by December 31, 2017 sufficient to file a new drug application with the FDA. Because we did not achieve the conditional criteria to access the second and third term advances before the specified dates, the $10.0 million in additional term loan advances expired.</w:t>
      </w:r>
    </w:p>
    <w:p>
      <w:pPr>
        <w:spacing w:after="0" w:line="167" w:lineRule="exact"/>
        <w:rPr>
          <w:sz w:val="20"/>
          <w:szCs w:val="20"/>
          <w:color w:val="auto"/>
        </w:rPr>
      </w:pPr>
    </w:p>
    <w:p>
      <w:pPr>
        <w:ind w:right="80" w:firstLine="648"/>
        <w:spacing w:after="0" w:line="189" w:lineRule="exact"/>
        <w:rPr>
          <w:sz w:val="20"/>
          <w:szCs w:val="20"/>
          <w:color w:val="auto"/>
        </w:rPr>
      </w:pPr>
      <w:r>
        <w:rPr>
          <w:rFonts w:ascii="Arial" w:cs="Arial" w:eastAsia="Arial" w:hAnsi="Arial"/>
          <w:sz w:val="18"/>
          <w:szCs w:val="18"/>
          <w:color w:val="auto"/>
        </w:rPr>
        <w:t>The loan advances mature on November 1, 2020 and have an interest</w:t>
      </w:r>
      <w:r>
        <w:rPr>
          <w:rFonts w:ascii="MS PGothic" w:cs="MS PGothic" w:eastAsia="MS PGothic" w:hAnsi="MS PGothic"/>
          <w:sz w:val="18"/>
          <w:szCs w:val="18"/>
          <w:color w:val="auto"/>
        </w:rPr>
        <w:t>‑</w:t>
      </w:r>
      <w:r>
        <w:rPr>
          <w:rFonts w:ascii="Arial" w:cs="Arial" w:eastAsia="Arial" w:hAnsi="Arial"/>
          <w:sz w:val="18"/>
          <w:szCs w:val="18"/>
          <w:color w:val="auto"/>
        </w:rPr>
        <w:t>only monthly payment period until December 1, 2017. Following the interest-only payment period, we will begin making monthly payments of principal and interest until the maturity date. Interest will accrue on the unpaid principal balance of the outstanding loan advances at a floating per annum rate of 4.50% above the prime rate.</w:t>
      </w:r>
    </w:p>
    <w:p>
      <w:pPr>
        <w:spacing w:after="0" w:line="163" w:lineRule="exact"/>
        <w:rPr>
          <w:sz w:val="20"/>
          <w:szCs w:val="20"/>
          <w:color w:val="auto"/>
        </w:rPr>
      </w:pPr>
    </w:p>
    <w:p>
      <w:pPr>
        <w:ind w:right="220" w:firstLine="648"/>
        <w:spacing w:after="0" w:line="225" w:lineRule="auto"/>
        <w:rPr>
          <w:sz w:val="20"/>
          <w:szCs w:val="20"/>
          <w:color w:val="auto"/>
        </w:rPr>
      </w:pPr>
      <w:r>
        <w:rPr>
          <w:rFonts w:ascii="Arial" w:cs="Arial" w:eastAsia="Arial" w:hAnsi="Arial"/>
          <w:sz w:val="17"/>
          <w:szCs w:val="17"/>
          <w:color w:val="auto"/>
        </w:rPr>
        <w:t>The SVB Loan subjects us to various customary covenants, including requirements as to financial reporting and insurance, and restrictions on our ability to dispose of our business or property, change our line of business, liquidate or dissolve, enter into any change in control transaction, merge or consolidate with any other entity or acquire all or substantially all the capital stock or property of another entity, incur additional indebtedness, incur certain types of liens on our property, including our intellectual property, pay any dividends or other distributions on our capital stock other than dividends payable solely in capital stock or redeem our capital stock. Our business may be adversely affected by these restrictions on our ability to operate our business.</w:t>
      </w:r>
    </w:p>
    <w:p>
      <w:pPr>
        <w:spacing w:after="0" w:line="162"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Additionally, we may be required to repay the outstanding indebtedness under the SVB Loan if an event of default occurs under the SVB Loan. Under the SVB Loan, an event of default will occur if, among other things, we fail to make payments under the SVB Loan; we breach any of our covenants under the SVB Loan, subject to specified cure periods with respect to certain breaches; we or our assets become subject to certain legal proceedings, such as bankruptcy proceedings; we are unable to pay our debts as they become due; or we default on contracts with third parties which would permit SVB to accelerate the maturity of such indebtedness or that could have a material adverse effect on us. We may not have enough available cash or be able to raise additional funds through equity or debt financings to repay such indebtedness at the time any such event of default occurs. In that case, we may be required to delay, limit, reduce or terminate our product candidate development or commercialization efforts or grant to others rights to develop and market product candidates that we would otherwise prefer to develop and market ourselves. SVB could also exercise its rights as collateral agent to take possession and dispose of the collateral securing the loan for its benefit, which collateral includes all of our property other than our intellectual property. Our business, financial condition and results of operations could be materially adversely affected as a result of any of these events. Our management has broad discretion in the application of the proceeds from the SVB Loan, subject to the covenants and limitations described in the SVB Loan.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We have a limited operating history and no history of commercializing products, which may make it difficult to evaluate our business and prospects.</w:t>
      </w:r>
    </w:p>
    <w:p>
      <w:pPr>
        <w:spacing w:after="0" w:line="162"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We commenced operations in 2012, and our operations to date have been limited to organizing and staffing our company, business planning, raising capital, and developing our product candidates, including undertaking preclinical studies and conducting clinical trials of our product candidates. We have not yet demonstrated an ability to obtain regulatory approval for, or successfully commercialize, a product candidate. In addition, as a relatively nascent business, we may encounter unforeseen expenses, difficulties, complications, delays, and other known and unknown difficulties. If our product candidates are approved by the FDA, we will need to expand our capabilities to support commercial activities. We may not be successful in adding such capabilities. Consequently, any predictions about our future performance may not be as accurate as they could be if we had a history of successfully developing and commercializing pharmaceutical products.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THE DEVELOPMENT OF OUR PRODUCT CANDIDATES</w:t>
      </w:r>
    </w:p>
    <w:p>
      <w:pPr>
        <w:spacing w:after="0" w:line="202"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b w:val="1"/>
          <w:bCs w:val="1"/>
          <w:i w:val="1"/>
          <w:iCs w:val="1"/>
          <w:color w:val="auto"/>
        </w:rPr>
        <w:t>We are substantially dependent on the success of our product candidates and cannot guarantee that any of our product candidates will successfully complete any planned or ongoing Phase 3 clinical trials, receive regulatory approval, or be successfully commercialized.</w:t>
      </w:r>
    </w:p>
    <w:p>
      <w:pPr>
        <w:spacing w:after="0" w:line="18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currently have no products approved for commercial distribution. We have invested a significant portion of our efforts and financial resources in the development of our product candidates. Our business depends entirely on the successful development and commercialization of our product candidates, which may never occur. Our ability to generate revenues in the near term is substantially dependent on our ability to develop, obtain regulatory approval for, and then successfully commercialize our product candidates. We currently generate no revenues from sales of any products, and we may never be able to develop or commercialize a marketable product. Furthermore, given the nature of our business, the biopharmaceutical industry in general and the uncertainty and costs associated with developing our product candidates within a complicated and costly regulatory regime, our goals, plans and assumptions with respect to our product candidates may evolve or change. For example, we may not continue to emphasize, focus our research and development efforts on or direct resources to certain of our product candidates, and we may shift our focus and resources to our other current or future product candidates. Any such change in our business strategy could harm our business, cause uncertainty or confusion in the marketplace or harm the clinical prospects of our product candidates.</w:t>
      </w:r>
    </w:p>
    <w:p>
      <w:pPr>
        <w:spacing w:after="0" w:line="18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revenues from product sales. We initiated our Phase 3 clinical trial with AXS-02 for the treatment of the pain of knee OA associated with BMLs in March 2016. Further, we initiated our Phase 3 clinical trial with AXS-05 for the treatment of TRD in March 2016 and for the treatment of agitation associated with AD in July 2017. As a result of one or more risks discussed in this section, we cannot assure you that we will meet projected timelines related to these trials.</w:t>
      </w:r>
    </w:p>
    <w:p>
      <w:pPr>
        <w:spacing w:after="0" w:line="18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risk evaluation and mitigation strategy, or REMS, to monitor the safety or efficacy of the products. If we do not receive regulatory approval for, and successfully commercialize, our product candidates, we will not be able to generate revenue from these product candidates in the foreseeable future, or at all. Any significant delays in obtaining approval for and commercializing our product candidates will have a material adverse impact on our business and financial condition.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We have not previously submitted an NDA to the FDA, or similar drug approval filings to comparable foreign authorities, for any product candidate, and we cannot be certain that our current or future product candidates will be successful in clinical trials or receive regulatory approval. Moreover, we have only completed limited early stage studies with our product candidates to date. For AXS-05, we completed three Phase 1 pharmacokinetic studies, two of which were conducted with two tablets, one tablet consisting of dextromethorphan, or DM, and one tablet consisting of bupropion. Our third Phase 1 trial with AXS-05 was conducted with one tablet containing both DM and bupropion. We are also conducting our Phase 3 clinical trial with AXS-05 using one tablet containing both DM and bupropion. This change in formulation may result in a pharmacokinetic profile that is different from those observed in our completed Phase 1 trials. As a result, the FDA may request additional clinical trials, analyses, reports, data, or preclinical trials and attendant costs and delays. For AXS-02, we have only completed one Phase 1 clinical trial. Furthermore, we have only conducted one Phase 1 pharmacokinetic study for our product candidate AXS-06 and additional manufacturing work is required before we may submit an investigational new drug application, or IND, and begin late-stage clinical trials. For AXS-07, we have not conducted a Phase 1 pharmacokinetic study of one tablet consisting of MoSEIC meloxicam and rizatriptan and additional manufacturing work is required before we may submit an IND and begin late-stage clinical trials. Finally, for AXS-09, we have only completed one Phase 1 clinical trial.</w:t>
      </w:r>
    </w:p>
    <w:p>
      <w:pPr>
        <w:spacing w:after="0" w:line="155" w:lineRule="exact"/>
        <w:rPr>
          <w:sz w:val="20"/>
          <w:szCs w:val="20"/>
          <w:color w:val="auto"/>
        </w:rPr>
      </w:pPr>
    </w:p>
    <w:p>
      <w:pPr>
        <w:ind w:right="20" w:firstLine="648"/>
        <w:spacing w:after="0" w:line="242" w:lineRule="auto"/>
        <w:rPr>
          <w:sz w:val="20"/>
          <w:szCs w:val="20"/>
          <w:color w:val="auto"/>
        </w:rPr>
      </w:pPr>
      <w:r>
        <w:rPr>
          <w:rFonts w:ascii="Arial" w:cs="Arial" w:eastAsia="Arial" w:hAnsi="Arial"/>
          <w:sz w:val="19"/>
          <w:szCs w:val="19"/>
          <w:color w:val="auto"/>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For example, in January 2018, we conducted an interim analysis for our then-ongoing Phase 3 trial of AXS-02 for the treatment of CRPS, which we referred to as the CREATE-1 trial, and for our currently ongoing Phase 3 trial of AXS-02 for the treatment of the pain of knee OA associated with BMLs, which we refer to as the COAST-1 trial. Based on the recommendation we received from the independent data monitoring committee, we will continue our COAST-1 trial to full enrollment and have discontinued our CREATE-1 trial for futility. We plan to conduct two interim analyses for both the ongoing Phase 3 trial of AXS-05 in TRD and the ongoing Phase 2/3 trial of AXS-05 for the treatment of AD agitation, and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spacing w:after="0" w:line="124" w:lineRule="exact"/>
        <w:rPr>
          <w:sz w:val="20"/>
          <w:szCs w:val="20"/>
          <w:color w:val="auto"/>
        </w:rPr>
      </w:pPr>
    </w:p>
    <w:p>
      <w:pPr>
        <w:ind w:right="320" w:firstLine="648"/>
        <w:spacing w:after="0" w:line="235" w:lineRule="auto"/>
        <w:rPr>
          <w:sz w:val="20"/>
          <w:szCs w:val="20"/>
          <w:color w:val="auto"/>
        </w:rPr>
      </w:pPr>
      <w:r>
        <w:rPr>
          <w:rFonts w:ascii="Arial" w:cs="Arial" w:eastAsia="Arial" w:hAnsi="Arial"/>
          <w:sz w:val="18"/>
          <w:szCs w:val="18"/>
          <w:color w:val="auto"/>
        </w:rPr>
        <w:t>If approved for marketing by applicable regulatory authorities, our ability to generate revenues from our product candidates depend on our ability to:</w:t>
      </w:r>
    </w:p>
    <w:p>
      <w:pPr>
        <w:spacing w:after="0" w:line="162" w:lineRule="exact"/>
        <w:rPr>
          <w:sz w:val="20"/>
          <w:szCs w:val="20"/>
          <w:color w:val="auto"/>
        </w:rPr>
      </w:pPr>
    </w:p>
    <w:p>
      <w:pPr>
        <w:ind w:left="980" w:right="120" w:hanging="329"/>
        <w:spacing w:after="0" w:line="235" w:lineRule="auto"/>
        <w:tabs>
          <w:tab w:leader="none" w:pos="9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create market demand for our product candidates through our own marketing and sales activities, and any other arrangements to promote these product candidates that we may otherwise establish;</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receive regulatory approval for claims that are necessary or desirable for successful marketing;</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 train, and deploy a sales force to commercialize our product candidates in the United States;</w:t>
      </w:r>
    </w:p>
    <w:p>
      <w:pPr>
        <w:spacing w:after="0" w:line="184" w:lineRule="exact"/>
        <w:rPr>
          <w:rFonts w:ascii="Arial" w:cs="Arial" w:eastAsia="Arial" w:hAnsi="Arial"/>
          <w:sz w:val="18"/>
          <w:szCs w:val="18"/>
          <w:color w:val="auto"/>
        </w:rPr>
      </w:pPr>
    </w:p>
    <w:p>
      <w:pPr>
        <w:ind w:left="980" w:right="140" w:hanging="329"/>
        <w:spacing w:after="0" w:line="235" w:lineRule="auto"/>
        <w:tabs>
          <w:tab w:leader="none" w:pos="9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manufacture our product candidates in sufficient quantities and at acceptable quality and manufacturing cost to meet commercial demand at launch and thereafter;</w:t>
      </w:r>
    </w:p>
    <w:p>
      <w:pPr>
        <w:spacing w:after="0" w:line="161" w:lineRule="exact"/>
        <w:rPr>
          <w:rFonts w:ascii="Arial" w:cs="Arial" w:eastAsia="Arial" w:hAnsi="Arial"/>
          <w:sz w:val="18"/>
          <w:szCs w:val="18"/>
          <w:color w:val="auto"/>
        </w:rPr>
      </w:pPr>
    </w:p>
    <w:p>
      <w:pPr>
        <w:ind w:left="980" w:right="600" w:hanging="329"/>
        <w:spacing w:after="0" w:line="235" w:lineRule="auto"/>
        <w:tabs>
          <w:tab w:leader="none" w:pos="9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and maintain agreements with wholesalers, distributors, and group purchasing organizations on commercially reasonable terms;</w:t>
      </w:r>
    </w:p>
    <w:p>
      <w:pPr>
        <w:spacing w:after="0" w:line="161" w:lineRule="exact"/>
        <w:rPr>
          <w:rFonts w:ascii="Arial" w:cs="Arial" w:eastAsia="Arial" w:hAnsi="Arial"/>
          <w:sz w:val="18"/>
          <w:szCs w:val="18"/>
          <w:color w:val="auto"/>
        </w:rPr>
      </w:pPr>
    </w:p>
    <w:p>
      <w:pPr>
        <w:ind w:left="980" w:right="160" w:hanging="329"/>
        <w:spacing w:after="0" w:line="235" w:lineRule="auto"/>
        <w:tabs>
          <w:tab w:leader="none" w:pos="9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create partnerships with, or offer licenses to, third parties to promote and sell our product candidates in foreign markets where we receive marketing approval;</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patent and trade secret protection and regulatory exclusivity for our product candidates;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launch commercial sales of our product candidates, whether alone or in collaboration with others;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right="160" w:hanging="329"/>
        <w:spacing w:after="0" w:line="203" w:lineRule="exact"/>
        <w:tabs>
          <w:tab w:leader="none" w:pos="9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by patients, the medical community, and government and private third</w:t>
      </w:r>
      <w:r>
        <w:rPr>
          <w:rFonts w:ascii="MS PGothic" w:cs="MS PGothic" w:eastAsia="MS PGothic" w:hAnsi="MS PGothic"/>
          <w:sz w:val="18"/>
          <w:szCs w:val="18"/>
          <w:color w:val="auto"/>
        </w:rPr>
        <w:t>‑</w:t>
      </w:r>
      <w:r>
        <w:rPr>
          <w:rFonts w:ascii="Arial" w:cs="Arial" w:eastAsia="Arial" w:hAnsi="Arial"/>
          <w:sz w:val="18"/>
          <w:szCs w:val="18"/>
          <w:color w:val="auto"/>
        </w:rPr>
        <w:t>party payors;</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achieve appropriate reimbursement for our product candidates;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effectively compete with other therapies; and</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a continued acceptable safety profile of our product candidates following launch.</w:t>
      </w:r>
    </w:p>
    <w:p>
      <w:pPr>
        <w:spacing w:after="0" w:line="185"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63" w:lineRule="exact"/>
        <w:rPr>
          <w:sz w:val="20"/>
          <w:szCs w:val="20"/>
          <w:color w:val="auto"/>
        </w:rPr>
      </w:pPr>
    </w:p>
    <w:p>
      <w:pPr>
        <w:ind w:right="40" w:firstLine="648"/>
        <w:spacing w:after="0" w:line="233" w:lineRule="auto"/>
        <w:rPr>
          <w:sz w:val="20"/>
          <w:szCs w:val="20"/>
          <w:color w:val="auto"/>
        </w:rPr>
      </w:pPr>
      <w:r>
        <w:rPr>
          <w:rFonts w:ascii="Arial" w:cs="Arial" w:eastAsia="Arial" w:hAnsi="Arial"/>
          <w:sz w:val="16"/>
          <w:szCs w:val="16"/>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our current product candidates.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164" w:lineRule="exact"/>
        <w:rPr>
          <w:sz w:val="20"/>
          <w:szCs w:val="20"/>
          <w:color w:val="auto"/>
        </w:rPr>
      </w:pPr>
    </w:p>
    <w:p>
      <w:pPr>
        <w:ind w:right="460"/>
        <w:spacing w:after="0" w:line="324" w:lineRule="auto"/>
        <w:rPr>
          <w:sz w:val="20"/>
          <w:szCs w:val="20"/>
          <w:color w:val="auto"/>
        </w:rPr>
      </w:pPr>
      <w:r>
        <w:rPr>
          <w:rFonts w:ascii="Arial" w:cs="Arial" w:eastAsia="Arial" w:hAnsi="Arial"/>
          <w:sz w:val="15"/>
          <w:szCs w:val="15"/>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02"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the pain of knee OA associated with BMLs, AXS</w:t>
      </w:r>
      <w:r>
        <w:rPr>
          <w:rFonts w:ascii="MS PGothic" w:cs="MS PGothic" w:eastAsia="MS PGothic" w:hAnsi="MS PGothic"/>
          <w:sz w:val="16"/>
          <w:szCs w:val="16"/>
          <w:color w:val="auto"/>
        </w:rPr>
        <w:t>‑</w:t>
      </w:r>
      <w:r>
        <w:rPr>
          <w:rFonts w:ascii="Arial" w:cs="Arial" w:eastAsia="Arial" w:hAnsi="Arial"/>
          <w:sz w:val="16"/>
          <w:szCs w:val="16"/>
          <w:color w:val="auto"/>
        </w:rPr>
        <w:t>05 for the treatment of TRD, agitation associated with AD, and smoking cessation, and AXS-07 for the acute treatment of migraine. As a result, we may forego or delay pursuit of opportunities with other product candidates or for other indications that may prove to have greater commercial potential. Additionally, as more fully described in “Business— Material License Agreements,” we are required to pay to an entity owned by our Chief Executive Officer and Chairman of the Board certain royalty payments related to the development of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as well as AXS</w:t>
      </w:r>
      <w:r>
        <w:rPr>
          <w:rFonts w:ascii="MS PGothic" w:cs="MS PGothic" w:eastAsia="MS PGothic" w:hAnsi="MS PGothic"/>
          <w:sz w:val="16"/>
          <w:szCs w:val="16"/>
          <w:color w:val="auto"/>
        </w:rPr>
        <w:t>‑</w:t>
      </w:r>
      <w:r>
        <w:rPr>
          <w:rFonts w:ascii="Arial" w:cs="Arial" w:eastAsia="Arial" w:hAnsi="Arial"/>
          <w:sz w:val="16"/>
          <w:szCs w:val="16"/>
          <w:color w:val="auto"/>
        </w:rPr>
        <w:t>04, a product candidate that is currently in early</w:t>
      </w:r>
      <w:r>
        <w:rPr>
          <w:rFonts w:ascii="MS PGothic" w:cs="MS PGothic" w:eastAsia="MS PGothic" w:hAnsi="MS PGothic"/>
          <w:sz w:val="16"/>
          <w:szCs w:val="16"/>
          <w:color w:val="auto"/>
        </w:rPr>
        <w:t>‑</w:t>
      </w:r>
      <w:r>
        <w:rPr>
          <w:rFonts w:ascii="Arial" w:cs="Arial" w:eastAsia="Arial" w:hAnsi="Arial"/>
          <w:sz w:val="16"/>
          <w:szCs w:val="16"/>
          <w:color w:val="auto"/>
        </w:rPr>
        <w:t>stage development, but not with respect to the development of other product candidates, which may influence management’s decision concerning which product candidates or indications to pursue.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79"/>
        <w:spacing w:after="0" w:line="324" w:lineRule="auto"/>
        <w:rPr>
          <w:sz w:val="20"/>
          <w:szCs w:val="20"/>
          <w:color w:val="auto"/>
        </w:rPr>
      </w:pPr>
      <w:r>
        <w:rPr>
          <w:rFonts w:ascii="Arial" w:cs="Arial" w:eastAsia="Arial" w:hAnsi="Arial"/>
          <w:sz w:val="15"/>
          <w:szCs w:val="15"/>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02" w:lineRule="exact"/>
        <w:rPr>
          <w:sz w:val="20"/>
          <w:szCs w:val="20"/>
          <w:color w:val="auto"/>
        </w:rPr>
      </w:pPr>
    </w:p>
    <w:p>
      <w:pPr>
        <w:ind w:right="239" w:firstLine="648"/>
        <w:spacing w:after="0" w:line="238" w:lineRule="auto"/>
        <w:rPr>
          <w:sz w:val="20"/>
          <w:szCs w:val="20"/>
          <w:color w:val="auto"/>
        </w:rPr>
      </w:pPr>
      <w:r>
        <w:rPr>
          <w:rFonts w:ascii="Arial" w:cs="Arial" w:eastAsia="Arial" w:hAnsi="Arial"/>
          <w:sz w:val="17"/>
          <w:szCs w:val="17"/>
          <w:color w:val="auto"/>
        </w:rPr>
        <w:t>A component of our business strategy is to continue to develop a pipeline of product candidates by developing products that we believe are a strategic fit with our focus on central nervous system, or CNS, therapeutics. However, these business activities may entail numerous operational and financial risks, including:</w:t>
      </w:r>
    </w:p>
    <w:p>
      <w:pPr>
        <w:spacing w:after="0" w:line="161" w:lineRule="exact"/>
        <w:rPr>
          <w:sz w:val="20"/>
          <w:szCs w:val="20"/>
          <w:color w:val="auto"/>
        </w:rPr>
      </w:pPr>
    </w:p>
    <w:p>
      <w:pPr>
        <w:ind w:left="940" w:hanging="289"/>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or inability to secure financing to fund business activities for such development;</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than expected development costs;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in managing multiple product development programs; and</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successfully develop new products or clinical failure.</w:t>
      </w:r>
    </w:p>
    <w:p>
      <w:pPr>
        <w:spacing w:after="0" w:line="185" w:lineRule="exact"/>
        <w:rPr>
          <w:sz w:val="20"/>
          <w:szCs w:val="20"/>
          <w:color w:val="auto"/>
        </w:rPr>
      </w:pPr>
    </w:p>
    <w:p>
      <w:pPr>
        <w:ind w:right="79" w:firstLine="648"/>
        <w:spacing w:after="0" w:line="216" w:lineRule="auto"/>
        <w:rPr>
          <w:sz w:val="20"/>
          <w:szCs w:val="20"/>
          <w:color w:val="auto"/>
        </w:rPr>
      </w:pPr>
      <w:r>
        <w:rPr>
          <w:rFonts w:ascii="Arial" w:cs="Arial" w:eastAsia="Arial" w:hAnsi="Arial"/>
          <w:sz w:val="18"/>
          <w:szCs w:val="18"/>
          <w:color w:val="auto"/>
        </w:rPr>
        <w:t>For instance, our prior efforts have resulted in our decision not to further develop certain product candidates that, at one time, appeared to be promising. We have limited resources to identify and execute the developments of products. Moreover, we may devote resources to potential development that are never completed, or we may fail to realize the anticipated benefits of such efforts. If we do not successfully develop and commercialize product candidates, we may not be able to obtain product revenues in future periods.</w:t>
      </w:r>
    </w:p>
    <w:p>
      <w:pPr>
        <w:spacing w:after="0" w:line="162" w:lineRule="exact"/>
        <w:rPr>
          <w:sz w:val="20"/>
          <w:szCs w:val="20"/>
          <w:color w:val="auto"/>
        </w:rPr>
      </w:pPr>
    </w:p>
    <w:p>
      <w:pPr>
        <w:ind w:right="179"/>
        <w:spacing w:after="0" w:line="249" w:lineRule="auto"/>
        <w:rPr>
          <w:sz w:val="20"/>
          <w:szCs w:val="20"/>
          <w:color w:val="auto"/>
        </w:rPr>
      </w:pPr>
      <w:r>
        <w:rPr>
          <w:rFonts w:ascii="Arial" w:cs="Arial" w:eastAsia="Arial" w:hAnsi="Arial"/>
          <w:sz w:val="16"/>
          <w:szCs w:val="16"/>
          <w:b w:val="1"/>
          <w:bCs w:val="1"/>
          <w:i w:val="1"/>
          <w:iCs w:val="1"/>
          <w:color w:val="auto"/>
        </w:rPr>
        <w:t>If safety and efficacy data for our product candidates, a reference listed drug, or published literature does not satisfactorily demonstrate safety and efficacy to the FDA, or if the FDA and other regulators do not permit us to rely on the data of a reference listed drug or published literature, we may incur additional costs or experience delays in completing, or ultimately be unable to complete, the development and commercialization of our product candidates.</w:t>
      </w:r>
    </w:p>
    <w:p>
      <w:pPr>
        <w:spacing w:after="0" w:line="155" w:lineRule="exact"/>
        <w:rPr>
          <w:sz w:val="20"/>
          <w:szCs w:val="20"/>
          <w:color w:val="auto"/>
        </w:rPr>
      </w:pPr>
    </w:p>
    <w:p>
      <w:pPr>
        <w:ind w:right="79" w:firstLine="648"/>
        <w:spacing w:after="0" w:line="224" w:lineRule="auto"/>
        <w:rPr>
          <w:sz w:val="20"/>
          <w:szCs w:val="20"/>
          <w:color w:val="auto"/>
        </w:rPr>
      </w:pPr>
      <w:r>
        <w:rPr>
          <w:rFonts w:ascii="Arial" w:cs="Arial" w:eastAsia="Arial" w:hAnsi="Arial"/>
          <w:sz w:val="18"/>
          <w:szCs w:val="18"/>
          <w:color w:val="auto"/>
        </w:rPr>
        <w:t>We are not permitted to commercialize, market, promote, or sell any product candidate in the United States without obtaining marketing approval from the FDA. Comparable foreign regulatory authorities, such as the European Medicines Agency, or EMA, impose similar restrictions.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United States, we currently plan to at least initially seek approval of our product candidates using the 505(b)</w:t>
      </w:r>
    </w:p>
    <w:p>
      <w:pPr>
        <w:spacing w:after="0" w:line="8" w:lineRule="exact"/>
        <w:rPr>
          <w:sz w:val="20"/>
          <w:szCs w:val="20"/>
          <w:color w:val="auto"/>
        </w:rPr>
      </w:pPr>
    </w:p>
    <w:p>
      <w:pPr>
        <w:ind w:right="59" w:firstLine="3"/>
        <w:spacing w:after="0" w:line="212"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pathway. The FDA interprets Section 505(b)(2) of the Federal Food, Drug, and Cosmetic Act, or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164" w:lineRule="exact"/>
        <w:rPr>
          <w:sz w:val="20"/>
          <w:szCs w:val="20"/>
          <w:color w:val="auto"/>
        </w:rPr>
      </w:pPr>
    </w:p>
    <w:p>
      <w:pPr>
        <w:jc w:val="both"/>
        <w:ind w:right="79" w:firstLine="648"/>
        <w:spacing w:after="0" w:line="239" w:lineRule="auto"/>
        <w:rPr>
          <w:sz w:val="20"/>
          <w:szCs w:val="20"/>
          <w:color w:val="auto"/>
        </w:rPr>
      </w:pPr>
      <w:r>
        <w:rPr>
          <w:rFonts w:ascii="Arial" w:cs="Arial" w:eastAsia="Arial" w:hAnsi="Arial"/>
          <w:sz w:val="16"/>
          <w:szCs w:val="16"/>
          <w:color w:val="auto"/>
        </w:rPr>
        <w:t>Under the 505(b)(2) pathway, the FDA may approve our product candidates for all or some of the label indications for which the referenced product has been approved, as well as for any new indication sought pursuant to the Section 505(b)</w:t>
      </w:r>
    </w:p>
    <w:p>
      <w:pPr>
        <w:spacing w:after="0" w:line="1" w:lineRule="exact"/>
        <w:rPr>
          <w:sz w:val="20"/>
          <w:szCs w:val="20"/>
          <w:color w:val="auto"/>
        </w:rPr>
      </w:pPr>
    </w:p>
    <w:p>
      <w:pPr>
        <w:ind w:right="99" w:firstLine="3"/>
        <w:spacing w:after="0" w:line="183" w:lineRule="exact"/>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t>
      </w:r>
      <w:r>
        <w:rPr>
          <w:rFonts w:ascii="MS PGothic" w:cs="MS PGothic" w:eastAsia="MS PGothic" w:hAnsi="MS PGothic"/>
          <w:sz w:val="18"/>
          <w:szCs w:val="18"/>
          <w:color w:val="auto"/>
        </w:rPr>
        <w:t>‑</w:t>
      </w:r>
      <w:r>
        <w:rPr>
          <w:rFonts w:ascii="Arial" w:cs="Arial" w:eastAsia="Arial" w:hAnsi="Arial"/>
          <w:sz w:val="18"/>
          <w:szCs w:val="18"/>
          <w:color w:val="auto"/>
        </w:rPr>
        <w:t>wide warnings. For instance, antidepressants, including bupropion, include a class</w:t>
      </w:r>
      <w:r>
        <w:rPr>
          <w:rFonts w:ascii="MS PGothic" w:cs="MS PGothic" w:eastAsia="MS PGothic" w:hAnsi="MS PGothic"/>
          <w:sz w:val="18"/>
          <w:szCs w:val="18"/>
          <w:color w:val="auto"/>
        </w:rPr>
        <w:t>‑</w:t>
      </w:r>
      <w:r>
        <w:rPr>
          <w:rFonts w:ascii="Arial" w:cs="Arial" w:eastAsia="Arial" w:hAnsi="Arial"/>
          <w:sz w:val="18"/>
          <w:szCs w:val="18"/>
          <w:color w:val="auto"/>
        </w:rPr>
        <w:t>wide black box warning regarding the increased risk of suicidal thoughts and behavior.</w:t>
      </w:r>
    </w:p>
    <w:p>
      <w:pPr>
        <w:spacing w:after="0" w:line="164" w:lineRule="exact"/>
        <w:rPr>
          <w:sz w:val="20"/>
          <w:szCs w:val="20"/>
          <w:color w:val="auto"/>
        </w:rPr>
      </w:pPr>
    </w:p>
    <w:p>
      <w:pPr>
        <w:ind w:right="79" w:firstLine="648"/>
        <w:spacing w:after="0" w:line="203" w:lineRule="exact"/>
        <w:rPr>
          <w:sz w:val="20"/>
          <w:szCs w:val="20"/>
          <w:color w:val="auto"/>
        </w:rPr>
      </w:pPr>
      <w:r>
        <w:rPr>
          <w:rFonts w:ascii="Arial" w:cs="Arial" w:eastAsia="Arial" w:hAnsi="Arial"/>
          <w:sz w:val="17"/>
          <w:szCs w:val="17"/>
          <w:color w:val="auto"/>
        </w:rPr>
        <w:t>Based on the side effects disclosed in FDA product labels for marketed drugs that contain the same active molecule as our product candidate, AXS</w:t>
      </w:r>
      <w:r>
        <w:rPr>
          <w:rFonts w:ascii="MS PGothic" w:cs="MS PGothic" w:eastAsia="MS PGothic" w:hAnsi="MS PGothic"/>
          <w:sz w:val="17"/>
          <w:szCs w:val="17"/>
          <w:color w:val="auto"/>
        </w:rPr>
        <w:t>‑</w:t>
      </w:r>
      <w:r>
        <w:rPr>
          <w:rFonts w:ascii="Arial" w:cs="Arial" w:eastAsia="Arial" w:hAnsi="Arial"/>
          <w:sz w:val="17"/>
          <w:szCs w:val="17"/>
          <w:color w:val="auto"/>
        </w:rPr>
        <w:t>02 may result in nausea, fatigue, anemia, bone pain, constipation, fever,</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194" w:lineRule="exact"/>
        <w:rPr>
          <w:sz w:val="20"/>
          <w:szCs w:val="20"/>
          <w:color w:val="auto"/>
        </w:rPr>
      </w:pPr>
      <w:r>
        <w:rPr>
          <w:rFonts w:ascii="Arial" w:cs="Arial" w:eastAsia="Arial" w:hAnsi="Arial"/>
          <w:sz w:val="17"/>
          <w:szCs w:val="17"/>
          <w:color w:val="auto"/>
        </w:rPr>
        <w:t>vomiting, dyspnea, hypersensitivity reactions, osteonecrosis of the jaw, renal toxicity, musculoskeletal pain, atypical fractures, hypocalcemia, bronchoconstriction, or other adverse events or potential adverse events reported or discussed in the product labels for zoledronic acid</w:t>
      </w:r>
      <w:r>
        <w:rPr>
          <w:rFonts w:ascii="MS PGothic" w:cs="MS PGothic" w:eastAsia="MS PGothic" w:hAnsi="MS PGothic"/>
          <w:sz w:val="17"/>
          <w:szCs w:val="17"/>
          <w:color w:val="auto"/>
        </w:rPr>
        <w:t>‑</w:t>
      </w:r>
      <w:r>
        <w:rPr>
          <w:rFonts w:ascii="Arial" w:cs="Arial" w:eastAsia="Arial" w:hAnsi="Arial"/>
          <w:sz w:val="17"/>
          <w:szCs w:val="17"/>
          <w:color w:val="auto"/>
        </w:rPr>
        <w:t>containing products including Zometa, Reclast, and Aclasta.</w:t>
      </w:r>
    </w:p>
    <w:p>
      <w:pPr>
        <w:spacing w:after="0" w:line="161"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Based on the side effects disclosed in FDA product labels for marketed drugs that contain the same active molecules as our product candidate, AXS</w:t>
      </w:r>
      <w:r>
        <w:rPr>
          <w:rFonts w:ascii="MS PGothic" w:cs="MS PGothic" w:eastAsia="MS PGothic" w:hAnsi="MS PGothic"/>
          <w:sz w:val="16"/>
          <w:szCs w:val="16"/>
          <w:color w:val="auto"/>
        </w:rPr>
        <w:t>‑</w:t>
      </w:r>
      <w:r>
        <w:rPr>
          <w:rFonts w:ascii="Arial" w:cs="Arial" w:eastAsia="Arial" w:hAnsi="Arial"/>
          <w:sz w:val="16"/>
          <w:szCs w:val="16"/>
          <w:color w:val="auto"/>
        </w:rPr>
        <w:t>05 may result in dry mouth, nausea, insomnia, dizziness, pharyngitis, abdominal pain, agitation, anxiety, tremor, seizure, increase in blood pressure and heart rate, hepatoxicity, hypoglycemia, thrombocytopenia or other hypersensitivity reactions, QRS prolongation, left ventricular hypertrophy or left ventricular dysfunction, palpitation, sweating, tinnitus, myalgia, anorexia, urinary frequency, rash, seizure, hypertension, activation of mania or hypomania, psychosis and other neuropsychiatric reactions, suicidal ideation, suicide attempt, completed suicide, angle closure glaucoma, allergic or anaphylactoid or anaphylactic reactions, diarrhea, cough, vomiting, asthenia, peripheral edema, urinary tract infection, influenza, increased gamma</w:t>
      </w:r>
      <w:r>
        <w:rPr>
          <w:rFonts w:ascii="MS PGothic" w:cs="MS PGothic" w:eastAsia="MS PGothic" w:hAnsi="MS PGothic"/>
          <w:sz w:val="16"/>
          <w:szCs w:val="16"/>
          <w:color w:val="auto"/>
        </w:rPr>
        <w:t>‑</w:t>
      </w:r>
      <w:r>
        <w:rPr>
          <w:rFonts w:ascii="Arial" w:cs="Arial" w:eastAsia="Arial" w:hAnsi="Arial"/>
          <w:sz w:val="16"/>
          <w:szCs w:val="16"/>
          <w:color w:val="auto"/>
        </w:rPr>
        <w:t>glutamyltransferase, flatulence, or other adverse events or potential adverse events reported or discussed in the product labels for bupropion</w:t>
      </w:r>
      <w:r>
        <w:rPr>
          <w:rFonts w:ascii="MS PGothic" w:cs="MS PGothic" w:eastAsia="MS PGothic" w:hAnsi="MS PGothic"/>
          <w:sz w:val="16"/>
          <w:szCs w:val="16"/>
          <w:color w:val="auto"/>
        </w:rPr>
        <w:t>‑</w:t>
      </w:r>
      <w:r>
        <w:rPr>
          <w:rFonts w:ascii="Arial" w:cs="Arial" w:eastAsia="Arial" w:hAnsi="Arial"/>
          <w:sz w:val="16"/>
          <w:szCs w:val="16"/>
          <w:color w:val="auto"/>
        </w:rPr>
        <w:t>containing products or dextromethorphan</w:t>
      </w:r>
      <w:r>
        <w:rPr>
          <w:rFonts w:ascii="MS PGothic" w:cs="MS PGothic" w:eastAsia="MS PGothic" w:hAnsi="MS PGothic"/>
          <w:sz w:val="16"/>
          <w:szCs w:val="16"/>
          <w:color w:val="auto"/>
        </w:rPr>
        <w:t>‑</w:t>
      </w:r>
      <w:r>
        <w:rPr>
          <w:rFonts w:ascii="Arial" w:cs="Arial" w:eastAsia="Arial" w:hAnsi="Arial"/>
          <w:sz w:val="16"/>
          <w:szCs w:val="16"/>
          <w:color w:val="auto"/>
        </w:rPr>
        <w:t>containing products including Wellbutrin, Wellbutrin SR, Wellbutrin XL, Zyban, Contrave, and Nuedexta.</w:t>
      </w:r>
    </w:p>
    <w:p>
      <w:pPr>
        <w:spacing w:after="0" w:line="163" w:lineRule="exact"/>
        <w:rPr>
          <w:sz w:val="20"/>
          <w:szCs w:val="20"/>
          <w:color w:val="auto"/>
        </w:rPr>
      </w:pPr>
    </w:p>
    <w:p>
      <w:pPr>
        <w:ind w:right="100" w:firstLine="648"/>
        <w:spacing w:after="0" w:line="180" w:lineRule="exact"/>
        <w:rPr>
          <w:sz w:val="20"/>
          <w:szCs w:val="20"/>
          <w:color w:val="auto"/>
        </w:rPr>
      </w:pPr>
      <w:r>
        <w:rPr>
          <w:rFonts w:ascii="Arial" w:cs="Arial" w:eastAsia="Arial" w:hAnsi="Arial"/>
          <w:sz w:val="17"/>
          <w:szCs w:val="17"/>
          <w:color w:val="auto"/>
        </w:rPr>
        <w:t>In addition, because we plan to file our product candidates under an NDA submitted pursuant to 505(b)(2), we will rely, at least in part, upon a reference listed drug and published literature. For example, we intend to rely on data collected in certain investigator</w:t>
      </w:r>
      <w:r>
        <w:rPr>
          <w:rFonts w:ascii="MS PGothic" w:cs="MS PGothic" w:eastAsia="MS PGothic" w:hAnsi="MS PGothic"/>
          <w:sz w:val="17"/>
          <w:szCs w:val="17"/>
          <w:color w:val="auto"/>
        </w:rPr>
        <w:t>‑</w:t>
      </w:r>
      <w:r>
        <w:rPr>
          <w:rFonts w:ascii="Arial" w:cs="Arial" w:eastAsia="Arial" w:hAnsi="Arial"/>
          <w:sz w:val="17"/>
          <w:szCs w:val="17"/>
          <w:color w:val="auto"/>
        </w:rPr>
        <w:t>initiated Phase 2 clinical trials and other third</w:t>
      </w:r>
      <w:r>
        <w:rPr>
          <w:rFonts w:ascii="MS PGothic" w:cs="MS PGothic" w:eastAsia="MS PGothic" w:hAnsi="MS PGothic"/>
          <w:sz w:val="17"/>
          <w:szCs w:val="17"/>
          <w:color w:val="auto"/>
        </w:rPr>
        <w:t>‑</w:t>
      </w:r>
      <w:r>
        <w:rPr>
          <w:rFonts w:ascii="Arial" w:cs="Arial" w:eastAsia="Arial" w:hAnsi="Arial"/>
          <w:sz w:val="17"/>
          <w:szCs w:val="17"/>
          <w:color w:val="auto"/>
        </w:rPr>
        <w:t>party studies in the published literature as well as FDA findings of safety and efficacy for approved drug products containing the same active molecules in AXS</w:t>
      </w:r>
      <w:r>
        <w:rPr>
          <w:rFonts w:ascii="MS PGothic" w:cs="MS PGothic" w:eastAsia="MS PGothic" w:hAnsi="MS PGothic"/>
          <w:sz w:val="17"/>
          <w:szCs w:val="17"/>
          <w:color w:val="auto"/>
        </w:rPr>
        <w:t>‑</w:t>
      </w:r>
      <w:r>
        <w:rPr>
          <w:rFonts w:ascii="Arial" w:cs="Arial" w:eastAsia="Arial" w:hAnsi="Arial"/>
          <w:sz w:val="17"/>
          <w:szCs w:val="17"/>
          <w:color w:val="auto"/>
        </w:rPr>
        <w:t>02 and AXS</w:t>
      </w:r>
      <w:r>
        <w:rPr>
          <w:rFonts w:ascii="MS PGothic" w:cs="MS PGothic" w:eastAsia="MS PGothic" w:hAnsi="MS PGothic"/>
          <w:sz w:val="17"/>
          <w:szCs w:val="17"/>
          <w:color w:val="auto"/>
        </w:rPr>
        <w:t>‑</w:t>
      </w:r>
      <w:r>
        <w:rPr>
          <w:rFonts w:ascii="Arial" w:cs="Arial" w:eastAsia="Arial" w:hAnsi="Arial"/>
          <w:sz w:val="17"/>
          <w:szCs w:val="17"/>
          <w:color w:val="auto"/>
        </w:rPr>
        <w:t>05. If the FDA disagrees with our conclusions regarding the appropriateness of our reliance on a reference listed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w:t>
      </w:r>
      <w:r>
        <w:rPr>
          <w:rFonts w:ascii="MS PGothic" w:cs="MS PGothic" w:eastAsia="MS PGothic" w:hAnsi="MS PGothic"/>
          <w:sz w:val="17"/>
          <w:szCs w:val="17"/>
          <w:color w:val="auto"/>
        </w:rPr>
        <w:t>‑</w:t>
      </w:r>
      <w:r>
        <w:rPr>
          <w:rFonts w:ascii="Arial" w:cs="Arial" w:eastAsia="Arial" w:hAnsi="Arial"/>
          <w:sz w:val="17"/>
          <w:szCs w:val="17"/>
          <w:color w:val="auto"/>
        </w:rPr>
        <w:t>consuming 505(b)(1) approval process, which consists of full reports of investigations of safety and effectiveness conducted by or for the applicant. In addition, because we plan to submit NDAs for AXS</w:t>
      </w:r>
      <w:r>
        <w:rPr>
          <w:rFonts w:ascii="MS PGothic" w:cs="MS PGothic" w:eastAsia="MS PGothic" w:hAnsi="MS PGothic"/>
          <w:sz w:val="17"/>
          <w:szCs w:val="17"/>
          <w:color w:val="auto"/>
        </w:rPr>
        <w:t>‑</w:t>
      </w:r>
      <w:r>
        <w:rPr>
          <w:rFonts w:ascii="Arial" w:cs="Arial" w:eastAsia="Arial" w:hAnsi="Arial"/>
          <w:sz w:val="17"/>
          <w:szCs w:val="17"/>
          <w:color w:val="auto"/>
        </w:rPr>
        <w:t>02 and AXS</w:t>
      </w:r>
      <w:r>
        <w:rPr>
          <w:rFonts w:ascii="MS PGothic" w:cs="MS PGothic" w:eastAsia="MS PGothic" w:hAnsi="MS PGothic"/>
          <w:sz w:val="17"/>
          <w:szCs w:val="17"/>
          <w:color w:val="auto"/>
        </w:rPr>
        <w:t>‑</w:t>
      </w:r>
      <w:r>
        <w:rPr>
          <w:rFonts w:ascii="Arial" w:cs="Arial" w:eastAsia="Arial" w:hAnsi="Arial"/>
          <w:sz w:val="17"/>
          <w:szCs w:val="17"/>
          <w:color w:val="auto"/>
        </w:rPr>
        <w:t>05 pursuant to the 505(b)(2) process, we have not conducted Phase 2 clinical trials for these product candidates and, as such, we will have less experience with actual testing of the product candidate.</w:t>
      </w:r>
    </w:p>
    <w:p>
      <w:pPr>
        <w:spacing w:after="0" w:line="163"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There may also be circumstances under which the FDA would not allow us to pursue a 505(b)(2) application. For instance, should the FDA approve a pharmaceutically equivalent product to our product candidates, we would no longer be able to use the 505(b)(2) pathway. In that case, it is the FDA’s policy that the appropriate submission would be an Abbreviated New Drug Application, or ANDA, for a generic version of the approved product. We may, however, not be able to immediately submit an ANDA or have an ANDA approval made effective, as we could be blocked by others’ periods of patent and regulatory exclusivity protection.</w:t>
      </w:r>
    </w:p>
    <w:p>
      <w:pPr>
        <w:spacing w:after="0" w:line="162"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165"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We may never receive approval for any of our product candidates, and even if our product candidates are approved under 505(b)(2), the approval may be subject to limitations on the indicated uses for which the products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w:t>
      </w:r>
      <w:r>
        <w:rPr>
          <w:rFonts w:ascii="MS PGothic" w:cs="MS PGothic" w:eastAsia="MS PGothic" w:hAnsi="MS PGothic"/>
          <w:sz w:val="17"/>
          <w:szCs w:val="17"/>
          <w:color w:val="auto"/>
        </w:rPr>
        <w:t>‑</w:t>
      </w:r>
      <w:r>
        <w:rPr>
          <w:rFonts w:ascii="Arial" w:cs="Arial" w:eastAsia="Arial" w:hAnsi="Arial"/>
          <w:sz w:val="17"/>
          <w:szCs w:val="17"/>
          <w:color w:val="auto"/>
        </w:rPr>
        <w:t>market testing and surveillance or other requirements, including REMS, to monitor the safety or efficacy of the products. Moreover, any future actions or inquiries by the FDA with respect to the reference listed drug may require that we make changes to our labeling, discontinue development, or, possibly, withdraw the product from the market.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i w:val="1"/>
          <w:iCs w:val="1"/>
          <w:color w:val="auto"/>
        </w:rPr>
        <w:t>An NDA submitted under Section 505(b)(2) subjects us to the risk that we may be subject to a patent infringement lawsuit or regulatory actions that would delay or prevent the review or approval of our product candidate.</w:t>
      </w:r>
    </w:p>
    <w:p>
      <w:pPr>
        <w:spacing w:after="0" w:line="124"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 xml:space="preserve">Applicants submitting NDAs under Section 505(b)(2) of the FDCA must provide a patent certification with the application for all reference listed drugs and for all brand name products identified in published literature upon which the 505(b)(2) application relies. One such certification is known as a paragraph IV certification, which certifies that any patents listed in the FDA’s publication, the </w:t>
      </w:r>
      <w:r>
        <w:rPr>
          <w:rFonts w:ascii="Arial" w:cs="Arial" w:eastAsia="Arial" w:hAnsi="Arial"/>
          <w:sz w:val="18"/>
          <w:szCs w:val="18"/>
          <w:i w:val="1"/>
          <w:iCs w:val="1"/>
          <w:color w:val="auto"/>
        </w:rPr>
        <w:t>Approved Drug Products with Therapeutic Equivalence Evaluations</w:t>
      </w:r>
      <w:r>
        <w:rPr>
          <w:rFonts w:ascii="Arial" w:cs="Arial" w:eastAsia="Arial" w:hAnsi="Arial"/>
          <w:sz w:val="18"/>
          <w:szCs w:val="18"/>
          <w:color w:val="auto"/>
        </w:rPr>
        <w:t>, commonly known as the Orange Book, are invalid, unenforceable, or will not be infringed by the manufacture, use, or sale of the product that is the subject of the 505(b)(2) NDA.</w:t>
      </w:r>
    </w:p>
    <w:p>
      <w:pPr>
        <w:spacing w:after="0" w:line="162" w:lineRule="exact"/>
        <w:rPr>
          <w:sz w:val="20"/>
          <w:szCs w:val="20"/>
          <w:color w:val="auto"/>
        </w:rPr>
      </w:pPr>
    </w:p>
    <w:p>
      <w:pPr>
        <w:ind w:right="80" w:firstLine="648"/>
        <w:spacing w:after="0" w:line="180" w:lineRule="exact"/>
        <w:rPr>
          <w:sz w:val="20"/>
          <w:szCs w:val="20"/>
          <w:color w:val="auto"/>
        </w:rPr>
      </w:pPr>
      <w:r>
        <w:rPr>
          <w:rFonts w:ascii="Arial" w:cs="Arial" w:eastAsia="Arial" w:hAnsi="Arial"/>
          <w:sz w:val="16"/>
          <w:szCs w:val="16"/>
          <w:color w:val="auto"/>
        </w:rPr>
        <w:t>Under the Hatch</w:t>
      </w:r>
      <w:r>
        <w:rPr>
          <w:rFonts w:ascii="MS PGothic" w:cs="MS PGothic" w:eastAsia="MS PGothic" w:hAnsi="MS PGothic"/>
          <w:sz w:val="16"/>
          <w:szCs w:val="16"/>
          <w:color w:val="auto"/>
        </w:rPr>
        <w:t>‑</w:t>
      </w:r>
      <w:r>
        <w:rPr>
          <w:rFonts w:ascii="Arial" w:cs="Arial" w:eastAsia="Arial" w:hAnsi="Arial"/>
          <w:sz w:val="16"/>
          <w:szCs w:val="16"/>
          <w:color w:val="auto"/>
        </w:rPr>
        <w:t>Waxman Act, the holder of patents or NDAs that the 505(b)(2) application references may file a patent infringement lawsuit after receiving notice of the paragraph IV certification. Filing of a patent infringement lawsuit against the filer of the 505(b)(2) applicant within 45 days of the patent or NDA owner’s receipt of notice triggers a one</w:t>
      </w:r>
      <w:r>
        <w:rPr>
          <w:rFonts w:ascii="MS PGothic" w:cs="MS PGothic" w:eastAsia="MS PGothic" w:hAnsi="MS PGothic"/>
          <w:sz w:val="16"/>
          <w:szCs w:val="16"/>
          <w:color w:val="auto"/>
        </w:rPr>
        <w:t>‑</w:t>
      </w:r>
      <w:r>
        <w:rPr>
          <w:rFonts w:ascii="Arial" w:cs="Arial" w:eastAsia="Arial" w:hAnsi="Arial"/>
          <w:sz w:val="16"/>
          <w:szCs w:val="16"/>
          <w:color w:val="auto"/>
        </w:rPr>
        <w:t>time, automatic, 30</w:t>
      </w:r>
      <w:r>
        <w:rPr>
          <w:rFonts w:ascii="MS PGothic" w:cs="MS PGothic" w:eastAsia="MS PGothic" w:hAnsi="MS PGothic"/>
          <w:sz w:val="16"/>
          <w:szCs w:val="16"/>
          <w:color w:val="auto"/>
        </w:rPr>
        <w:t>‑</w:t>
      </w:r>
      <w:r>
        <w:rPr>
          <w:rFonts w:ascii="Arial" w:cs="Arial" w:eastAsia="Arial" w:hAnsi="Arial"/>
          <w:sz w:val="16"/>
          <w:szCs w:val="16"/>
          <w:color w:val="auto"/>
        </w:rPr>
        <w:t>month stay of the FDA’s ability to make the 505(b)(2) NDA approval effective. In such a case, the FDA may not make the 505(b)(2) NDA approval effective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Accordingly, we may invest a significant amount of time and expense in the development of one or more product candidates only to be subject to significant delay and patent litigation before such product candidates may be commercialized, if at all. In addition, a 505(b)(2) application approval will not be made effective until any existing non</w:t>
      </w:r>
      <w:r>
        <w:rPr>
          <w:rFonts w:ascii="MS PGothic" w:cs="MS PGothic" w:eastAsia="MS PGothic" w:hAnsi="MS PGothic"/>
          <w:sz w:val="16"/>
          <w:szCs w:val="16"/>
          <w:color w:val="auto"/>
        </w:rPr>
        <w:t>‑</w:t>
      </w:r>
      <w:r>
        <w:rPr>
          <w:rFonts w:ascii="Arial" w:cs="Arial" w:eastAsia="Arial" w:hAnsi="Arial"/>
          <w:sz w:val="16"/>
          <w:szCs w:val="16"/>
          <w:color w:val="auto"/>
        </w:rPr>
        <w:t>patent exclusivity, such as exclusivity for obtaining approval of a new chemical entity, or NCE, or exclusivities for changes to NCEs listed in the Orange Book for the referenced product have expired or, if possible, are carved out from the label.</w:t>
      </w:r>
    </w:p>
    <w:p>
      <w:pPr>
        <w:spacing w:after="0" w:line="170"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Companies that produce branded reference listed drugs routinely bring litigation against applicants that seek regulatory approval to manufacture and market generic and reformulated forms of their branded products. These companies often allege patent infringement or other violations of intellectual property rights as the basis for filing suit. Likewise, patent holders may bring patent infringement suits against companies that are currently marketing and selling their approved generic or reformulated products. Litigation to enforce or defend intellectual property rights is often complex and often involves significant expense and can delay or prevent introduction or sale of our product candidates. If patents are held to be valid and infringed by our product candidates in a particular jurisdiction, we may be required to cease selling, relinquish or destroy existing stock, or pay monetary damages in that jurisdiction unless we can obtain a license from the patent holder. There may also be situations where we use our business judgment and decide to market and sell our approved products, notwithstanding the fact that allegations of patent infringement(s) have not been finally resolved by the courts, which is known as an “at</w:t>
      </w:r>
      <w:r>
        <w:rPr>
          <w:rFonts w:ascii="MS PGothic" w:cs="MS PGothic" w:eastAsia="MS PGothic" w:hAnsi="MS PGothic"/>
          <w:sz w:val="16"/>
          <w:szCs w:val="16"/>
          <w:color w:val="auto"/>
        </w:rPr>
        <w:t>‑</w:t>
      </w:r>
      <w:r>
        <w:rPr>
          <w:rFonts w:ascii="Arial" w:cs="Arial" w:eastAsia="Arial" w:hAnsi="Arial"/>
          <w:sz w:val="16"/>
          <w:szCs w:val="16"/>
          <w:color w:val="auto"/>
        </w:rPr>
        <w:t>risk launch.” The risk involved in doing so can be substantial because the remedies available to the owner of a patent for infringement may include, among other things, damages measured by the profits lost by the patent owner which may be greater than the profits earned by the infringer. In the case of willful infringement, such damages may be increased up to three times. An adverse decision in patent litigation could have a material adverse effect on our business, financial position, and results of operations and could cause the market value of our common stock to decline. Should we need to file a paragraph IV certification in the future for our product candidates, we may risk patent litigation and substantial delays.</w:t>
      </w:r>
    </w:p>
    <w:p>
      <w:pPr>
        <w:spacing w:after="0" w:line="167"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63"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and may require us to amend our clinical trial protocols or conduct additional studies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that require regulatory or institutional review board, or IRB, approval, or otherwise cause delays in the approval or rejection of an application. We have not obtained regulatory approval for any product candidate and it is possible that none of our existing product candidates, or any product candidates we may seek to develop in the future, will ever obtain regulatory approval. Any delay in obtaining or failure to obtain required approvals could materially adversely affect our ability or that of any of our collaborators to generate revenue from the particular product candidate, which likely would result in significant harm to our financial position and adversely impact our stock price.</w:t>
      </w:r>
    </w:p>
    <w:p>
      <w:pPr>
        <w:spacing w:after="0" w:line="165"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and Europe. Failure to obtain marketing approval for a product candidate will prevent us from commercializing the product candidate. We have no experience in filing and supporting the applications necessary to gain marketing approvals and expect to rely on third</w:t>
      </w:r>
      <w:r>
        <w:rPr>
          <w:rFonts w:ascii="MS PGothic" w:cs="MS PGothic" w:eastAsia="MS PGothic" w:hAnsi="MS PGothic"/>
          <w:sz w:val="17"/>
          <w:szCs w:val="17"/>
          <w:color w:val="auto"/>
        </w:rPr>
        <w:t>‑</w:t>
      </w:r>
      <w:r>
        <w:rPr>
          <w:rFonts w:ascii="Arial" w:cs="Arial" w:eastAsia="Arial" w:hAnsi="Arial"/>
          <w:sz w:val="17"/>
          <w:szCs w:val="17"/>
          <w:color w:val="auto"/>
        </w:rPr>
        <w:t>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Securing marketing approval also requires the submission of information about the product manufacturing process to, and inspection of manufacturing facilities and clinical trial sites by, the regulatory authorities.</w:t>
      </w:r>
    </w:p>
    <w:p>
      <w:pPr>
        <w:spacing w:after="0" w:line="167" w:lineRule="exact"/>
        <w:rPr>
          <w:sz w:val="20"/>
          <w:szCs w:val="20"/>
          <w:color w:val="auto"/>
        </w:rPr>
      </w:pPr>
    </w:p>
    <w:p>
      <w:pPr>
        <w:jc w:val="both"/>
        <w:ind w:right="60" w:firstLine="648"/>
        <w:spacing w:after="0" w:line="180" w:lineRule="exact"/>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w:t>
      </w:r>
      <w:r>
        <w:rPr>
          <w:rFonts w:ascii="MS PGothic" w:cs="MS PGothic" w:eastAsia="MS PGothic" w:hAnsi="MS PGothic"/>
          <w:sz w:val="16"/>
          <w:szCs w:val="16"/>
          <w:color w:val="auto"/>
        </w:rPr>
        <w:t>‑</w:t>
      </w:r>
      <w:r>
        <w:rPr>
          <w:rFonts w:ascii="Arial" w:cs="Arial" w:eastAsia="Arial" w:hAnsi="Arial"/>
          <w:sz w:val="16"/>
          <w:szCs w:val="16"/>
          <w:color w:val="auto"/>
        </w:rPr>
        <w:t>stage clinical trials.</w:t>
      </w:r>
    </w:p>
    <w:p>
      <w:pPr>
        <w:spacing w:after="0" w:line="1" w:lineRule="exact"/>
        <w:rPr>
          <w:sz w:val="20"/>
          <w:szCs w:val="20"/>
          <w:color w:val="auto"/>
        </w:rPr>
      </w:pPr>
    </w:p>
    <w:p>
      <w:pPr>
        <w:ind w:right="220"/>
        <w:spacing w:after="0" w:line="223" w:lineRule="auto"/>
        <w:rPr>
          <w:sz w:val="20"/>
          <w:szCs w:val="20"/>
          <w:color w:val="auto"/>
        </w:rPr>
      </w:pPr>
      <w:r>
        <w:rPr>
          <w:rFonts w:ascii="Arial" w:cs="Arial" w:eastAsia="Arial" w:hAnsi="Arial"/>
          <w:sz w:val="17"/>
          <w:szCs w:val="17"/>
          <w:color w:val="auto"/>
        </w:rPr>
        <w:t>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164" w:lineRule="exact"/>
        <w:rPr>
          <w:sz w:val="20"/>
          <w:szCs w:val="20"/>
          <w:color w:val="auto"/>
        </w:rPr>
      </w:pPr>
    </w:p>
    <w:p>
      <w:pPr>
        <w:ind w:right="440" w:firstLine="648"/>
        <w:spacing w:after="0" w:line="258" w:lineRule="auto"/>
        <w:rPr>
          <w:sz w:val="20"/>
          <w:szCs w:val="20"/>
          <w:color w:val="auto"/>
        </w:rPr>
      </w:pPr>
      <w:r>
        <w:rPr>
          <w:rFonts w:ascii="Arial" w:cs="Arial" w:eastAsia="Arial" w:hAnsi="Arial"/>
          <w:sz w:val="17"/>
          <w:szCs w:val="17"/>
          <w:color w:val="auto"/>
        </w:rPr>
        <w:t>We may also experience numerous unforeseen events during, or as a result of, clinical trials that could delay or prevent our ability to receive marketing approval or commercialize our product candidates, including:</w:t>
      </w:r>
    </w:p>
    <w:p>
      <w:pPr>
        <w:spacing w:after="0" w:line="147" w:lineRule="exact"/>
        <w:rPr>
          <w:sz w:val="20"/>
          <w:szCs w:val="20"/>
          <w:color w:val="auto"/>
        </w:rPr>
      </w:pPr>
    </w:p>
    <w:p>
      <w:pPr>
        <w:ind w:left="980" w:right="260" w:hanging="329"/>
        <w:spacing w:after="0" w:line="235" w:lineRule="auto"/>
        <w:tabs>
          <w:tab w:leader="none" w:pos="9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regulators or IRBs may not authorize us or our investigators to commence a clinical trial or conduct a clinical trial at a prospective trial site or amend trial protocols;</w:t>
      </w:r>
    </w:p>
    <w:p>
      <w:pPr>
        <w:spacing w:after="0" w:line="161" w:lineRule="exact"/>
        <w:rPr>
          <w:rFonts w:ascii="Arial" w:cs="Arial" w:eastAsia="Arial" w:hAnsi="Arial"/>
          <w:sz w:val="18"/>
          <w:szCs w:val="18"/>
          <w:color w:val="auto"/>
        </w:rPr>
      </w:pPr>
    </w:p>
    <w:p>
      <w:pPr>
        <w:ind w:left="980" w:hanging="329"/>
        <w:spacing w:after="0" w:line="235" w:lineRule="auto"/>
        <w:tabs>
          <w:tab w:leader="none" w:pos="9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and our CROs;</w:t>
      </w:r>
    </w:p>
    <w:p>
      <w:pPr>
        <w:spacing w:after="0" w:line="161" w:lineRule="exact"/>
        <w:rPr>
          <w:rFonts w:ascii="Arial" w:cs="Arial" w:eastAsia="Arial" w:hAnsi="Arial"/>
          <w:sz w:val="18"/>
          <w:szCs w:val="18"/>
          <w:color w:val="auto"/>
        </w:rPr>
      </w:pPr>
    </w:p>
    <w:p>
      <w:pPr>
        <w:ind w:left="980" w:right="40" w:hanging="329"/>
        <w:spacing w:after="0" w:line="238" w:lineRule="auto"/>
        <w:tabs>
          <w:tab w:leader="none" w:pos="9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spacing w:after="0" w:line="161" w:lineRule="exact"/>
        <w:rPr>
          <w:rFonts w:ascii="Arial" w:cs="Arial" w:eastAsia="Arial" w:hAnsi="Arial"/>
          <w:sz w:val="17"/>
          <w:szCs w:val="17"/>
          <w:color w:val="auto"/>
        </w:rPr>
      </w:pPr>
    </w:p>
    <w:p>
      <w:pPr>
        <w:ind w:left="980" w:right="80" w:hanging="329"/>
        <w:spacing w:after="0" w:line="224" w:lineRule="auto"/>
        <w:tabs>
          <w:tab w:leader="none" w:pos="9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spacing w:after="0" w:line="163" w:lineRule="exact"/>
        <w:rPr>
          <w:sz w:val="20"/>
          <w:szCs w:val="20"/>
          <w:color w:val="auto"/>
        </w:rPr>
      </w:pPr>
    </w:p>
    <w:p>
      <w:pPr>
        <w:ind w:left="980" w:right="280" w:hanging="329"/>
        <w:spacing w:after="0" w:line="209" w:lineRule="auto"/>
        <w:tabs>
          <w:tab w:leader="none" w:pos="980"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right="40" w:hanging="329"/>
        <w:spacing w:after="0" w:line="194" w:lineRule="exact"/>
        <w:tabs>
          <w:tab w:leader="none" w:pos="9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third</w:t>
      </w:r>
      <w:r>
        <w:rPr>
          <w:rFonts w:ascii="MS PGothic" w:cs="MS PGothic" w:eastAsia="MS PGothic" w:hAnsi="MS PGothic"/>
          <w:sz w:val="18"/>
          <w:szCs w:val="18"/>
          <w:color w:val="auto"/>
        </w:rPr>
        <w:t>‑</w:t>
      </w:r>
      <w:r>
        <w:rPr>
          <w:rFonts w:ascii="Arial" w:cs="Arial" w:eastAsia="Arial" w:hAnsi="Arial"/>
          <w:sz w:val="18"/>
          <w:szCs w:val="18"/>
          <w:color w:val="auto"/>
        </w:rPr>
        <w:t>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163" w:lineRule="exact"/>
        <w:rPr>
          <w:rFonts w:ascii="Arial" w:cs="Arial" w:eastAsia="Arial" w:hAnsi="Arial"/>
          <w:sz w:val="18"/>
          <w:szCs w:val="18"/>
          <w:color w:val="auto"/>
        </w:rPr>
      </w:pPr>
    </w:p>
    <w:p>
      <w:pPr>
        <w:ind w:left="980" w:right="180" w:hanging="329"/>
        <w:spacing w:after="0" w:line="214" w:lineRule="auto"/>
        <w:tabs>
          <w:tab w:leader="none" w:pos="9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spacing w:after="0" w:line="162" w:lineRule="exact"/>
        <w:rPr>
          <w:rFonts w:ascii="Arial" w:cs="Arial" w:eastAsia="Arial" w:hAnsi="Arial"/>
          <w:sz w:val="18"/>
          <w:szCs w:val="18"/>
          <w:color w:val="auto"/>
        </w:rPr>
      </w:pPr>
    </w:p>
    <w:p>
      <w:pPr>
        <w:ind w:left="980" w:right="140" w:hanging="329"/>
        <w:spacing w:after="0" w:line="235" w:lineRule="auto"/>
        <w:tabs>
          <w:tab w:leader="none" w:pos="9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marketing approval policies during the development period rendering our data insufficient to obtain marketing approval;</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or the enactment of additional statutes or regulations;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regulatory review for each submitted product application;</w:t>
      </w:r>
    </w:p>
    <w:p>
      <w:pPr>
        <w:spacing w:after="0" w:line="184" w:lineRule="exact"/>
        <w:rPr>
          <w:rFonts w:ascii="Arial" w:cs="Arial" w:eastAsia="Arial" w:hAnsi="Arial"/>
          <w:sz w:val="18"/>
          <w:szCs w:val="18"/>
          <w:color w:val="auto"/>
        </w:rPr>
      </w:pPr>
    </w:p>
    <w:p>
      <w:pPr>
        <w:ind w:left="980" w:hanging="329"/>
        <w:spacing w:after="0" w:line="289" w:lineRule="auto"/>
        <w:tabs>
          <w:tab w:leader="none" w:pos="93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124" w:lineRule="exact"/>
        <w:rPr>
          <w:rFonts w:ascii="Arial" w:cs="Arial" w:eastAsia="Arial" w:hAnsi="Arial"/>
          <w:sz w:val="16"/>
          <w:szCs w:val="16"/>
          <w:color w:val="auto"/>
        </w:rPr>
      </w:pPr>
    </w:p>
    <w:p>
      <w:pPr>
        <w:ind w:left="980" w:right="440" w:hanging="329"/>
        <w:spacing w:after="0" w:line="235" w:lineRule="auto"/>
        <w:tabs>
          <w:tab w:leader="none" w:pos="9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61" w:lineRule="exact"/>
        <w:rPr>
          <w:rFonts w:ascii="Arial" w:cs="Arial" w:eastAsia="Arial" w:hAnsi="Arial"/>
          <w:sz w:val="18"/>
          <w:szCs w:val="18"/>
          <w:color w:val="auto"/>
        </w:rPr>
      </w:pPr>
    </w:p>
    <w:p>
      <w:pPr>
        <w:ind w:left="980" w:right="60" w:hanging="329"/>
        <w:spacing w:after="0" w:line="181" w:lineRule="exact"/>
        <w:tabs>
          <w:tab w:leader="none" w:pos="935"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decide, or regulators may require us, to conduct additional clinical trials, analyses, reports, data, or preclinical trials than we currently plan, or we may abandon product development programs. For instance, with respect to our ongoing Phase 3 clinical trial with AXS-02 for the treatment of the pain of knee OA associated with BMLs, although we have received a Special Protocol Assessment, or SPA, the FDA stated that if there is a recurrence of knee OA pain, we will need to explore repeat dosing, which would require additional preclinical studies. Further, for AXS</w:t>
      </w:r>
      <w:r>
        <w:rPr>
          <w:rFonts w:ascii="MS PGothic" w:cs="MS PGothic" w:eastAsia="MS PGothic" w:hAnsi="MS PGothic"/>
          <w:sz w:val="16"/>
          <w:szCs w:val="16"/>
          <w:color w:val="auto"/>
        </w:rPr>
        <w:t>‑</w:t>
      </w:r>
      <w:r>
        <w:rPr>
          <w:rFonts w:ascii="Arial" w:cs="Arial" w:eastAsia="Arial" w:hAnsi="Arial"/>
          <w:sz w:val="16"/>
          <w:szCs w:val="16"/>
          <w:color w:val="auto"/>
        </w:rPr>
        <w:t>05, we will need to conduct additional clinical and preclinical studies in addition to our Phase 3 and Phase 2/3 trials in order to file an NDA for this product candidate. Additionally, although we believe that we may be able to rely on a single pivotal study to support our NDA for AXS-07 for the acute treatment of migraine, the FDA may ultimately disagree and require us to conduct additional pivotal studies.The outcome of our studies may further necessitate additional clinical or preclinical work;</w:t>
      </w:r>
    </w:p>
    <w:p>
      <w:pPr>
        <w:spacing w:after="0" w:line="122" w:lineRule="exact"/>
        <w:rPr>
          <w:rFonts w:ascii="Arial" w:cs="Arial" w:eastAsia="Arial" w:hAnsi="Arial"/>
          <w:sz w:val="16"/>
          <w:szCs w:val="16"/>
          <w:color w:val="auto"/>
        </w:rPr>
      </w:pPr>
    </w:p>
    <w:p>
      <w:pPr>
        <w:ind w:left="940" w:hanging="289"/>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fail to reach an agreement with regulators regarding the scope or design of our clinical trials;</w:t>
      </w:r>
    </w:p>
    <w:p>
      <w:pPr>
        <w:spacing w:after="0" w:line="184" w:lineRule="exact"/>
        <w:rPr>
          <w:rFonts w:ascii="Arial" w:cs="Arial" w:eastAsia="Arial" w:hAnsi="Arial"/>
          <w:sz w:val="18"/>
          <w:szCs w:val="18"/>
          <w:color w:val="auto"/>
        </w:rPr>
      </w:pPr>
    </w:p>
    <w:p>
      <w:pPr>
        <w:ind w:left="980" w:right="320" w:hanging="329"/>
        <w:spacing w:after="0" w:line="235" w:lineRule="auto"/>
        <w:tabs>
          <w:tab w:leader="none" w:pos="9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have delays in adding new investigators or clinical trial sites, or we may experience a withdrawal of clinical trial sites;</w:t>
      </w:r>
    </w:p>
    <w:p>
      <w:pPr>
        <w:spacing w:after="0" w:line="161" w:lineRule="exact"/>
        <w:rPr>
          <w:rFonts w:ascii="Arial" w:cs="Arial" w:eastAsia="Arial" w:hAnsi="Arial"/>
          <w:sz w:val="18"/>
          <w:szCs w:val="18"/>
          <w:color w:val="auto"/>
        </w:rPr>
      </w:pPr>
    </w:p>
    <w:p>
      <w:pPr>
        <w:ind w:left="980" w:right="440" w:hanging="329"/>
        <w:spacing w:after="0" w:line="259" w:lineRule="auto"/>
        <w:tabs>
          <w:tab w:leader="none" w:pos="935" w:val="left"/>
        </w:tabs>
        <w:numPr>
          <w:ilvl w:val="0"/>
          <w:numId w:val="27"/>
        </w:numPr>
        <w:rPr>
          <w:rFonts w:ascii="Arial" w:cs="Arial" w:eastAsia="Arial" w:hAnsi="Arial"/>
          <w:sz w:val="16"/>
          <w:szCs w:val="16"/>
          <w:color w:val="auto"/>
        </w:rPr>
      </w:pPr>
      <w:r>
        <w:rPr>
          <w:rFonts w:ascii="Arial" w:cs="Arial" w:eastAsia="Arial" w:hAnsi="Arial"/>
          <w:sz w:val="16"/>
          <w:szCs w:val="16"/>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147" w:lineRule="exact"/>
        <w:rPr>
          <w:rFonts w:ascii="Arial" w:cs="Arial" w:eastAsia="Arial" w:hAnsi="Arial"/>
          <w:sz w:val="16"/>
          <w:szCs w:val="16"/>
          <w:color w:val="auto"/>
        </w:rPr>
      </w:pPr>
    </w:p>
    <w:p>
      <w:pPr>
        <w:ind w:left="980" w:right="100" w:hanging="329"/>
        <w:spacing w:after="0" w:line="235" w:lineRule="auto"/>
        <w:tabs>
          <w:tab w:leader="none" w:pos="9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may be regulatory questions regarding interpretations of data and results, or new information may emerge regarding our product candidates;</w:t>
      </w:r>
    </w:p>
    <w:p>
      <w:pPr>
        <w:spacing w:after="0" w:line="161" w:lineRule="exact"/>
        <w:rPr>
          <w:rFonts w:ascii="Arial" w:cs="Arial" w:eastAsia="Arial" w:hAnsi="Arial"/>
          <w:sz w:val="18"/>
          <w:szCs w:val="18"/>
          <w:color w:val="auto"/>
        </w:rPr>
      </w:pPr>
    </w:p>
    <w:p>
      <w:pPr>
        <w:ind w:left="980" w:right="100" w:hanging="329"/>
        <w:spacing w:after="0" w:line="238" w:lineRule="auto"/>
        <w:tabs>
          <w:tab w:leader="none" w:pos="9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right="280"/>
        <w:spacing w:after="0" w:line="189" w:lineRule="exact"/>
        <w:rPr>
          <w:sz w:val="20"/>
          <w:szCs w:val="20"/>
          <w:color w:val="auto"/>
        </w:rPr>
      </w:pPr>
      <w:r>
        <w:rPr>
          <w:rFonts w:ascii="Arial" w:cs="Arial" w:eastAsia="Arial" w:hAnsi="Arial"/>
          <w:sz w:val="16"/>
          <w:szCs w:val="16"/>
          <w:color w:val="auto"/>
        </w:rPr>
        <w:t>questions and had comments regarding our preclinical studies and clinical trials, such as comments on the acceptability of the proposed trial designs for our product candidates, the number of patients planned for our studies, our data analysis plans, the applicability of the serum biomarkers studied in our Phase 1 study of AXS</w:t>
      </w:r>
      <w:r>
        <w:rPr>
          <w:rFonts w:ascii="MS PGothic" w:cs="MS PGothic" w:eastAsia="MS PGothic" w:hAnsi="MS PGothic"/>
          <w:sz w:val="16"/>
          <w:szCs w:val="16"/>
          <w:color w:val="auto"/>
        </w:rPr>
        <w:t>‑</w:t>
      </w:r>
      <w:r>
        <w:rPr>
          <w:rFonts w:ascii="Arial" w:cs="Arial" w:eastAsia="Arial" w:hAnsi="Arial"/>
          <w:sz w:val="16"/>
          <w:szCs w:val="16"/>
          <w:color w:val="auto"/>
        </w:rPr>
        <w:t>02, the species and doses used in our preclinical studies, and the results of our preclinical studies;</w:t>
      </w:r>
    </w:p>
    <w:p>
      <w:pPr>
        <w:spacing w:after="0" w:line="164" w:lineRule="exact"/>
        <w:rPr>
          <w:sz w:val="20"/>
          <w:szCs w:val="20"/>
          <w:color w:val="auto"/>
        </w:rPr>
      </w:pPr>
    </w:p>
    <w:p>
      <w:pPr>
        <w:ind w:left="980" w:hanging="329"/>
        <w:spacing w:after="0" w:line="232" w:lineRule="auto"/>
        <w:tabs>
          <w:tab w:leader="none" w:pos="93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belief that certain product attributes are advantageous or may require further study of product attributes that are different than our reference listed drugs. For instance, while we believe that certain of the pharmacokinetic results for AXS-06 are favorable, the FDA may disagree, refuse labeling claims based upon these results, or determine that additional studies are necessary to substantiate the benefits. Pharmacokinetic differences between our product candidates and the reference listed drugs, may also make bridging studies more difficult or may prevent us from using the 505(b)</w:t>
      </w:r>
    </w:p>
    <w:p>
      <w:pPr>
        <w:spacing w:after="0" w:line="2" w:lineRule="exact"/>
        <w:rPr>
          <w:rFonts w:ascii="Arial" w:cs="Arial" w:eastAsia="Arial" w:hAnsi="Arial"/>
          <w:sz w:val="16"/>
          <w:szCs w:val="16"/>
          <w:color w:val="auto"/>
        </w:rPr>
      </w:pPr>
    </w:p>
    <w:p>
      <w:pPr>
        <w:ind w:left="980" w:right="760"/>
        <w:spacing w:after="0" w:line="226" w:lineRule="auto"/>
        <w:rPr>
          <w:rFonts w:ascii="Arial" w:cs="Arial" w:eastAsia="Arial" w:hAnsi="Arial"/>
          <w:sz w:val="16"/>
          <w:szCs w:val="16"/>
          <w:color w:val="auto"/>
        </w:rPr>
      </w:pPr>
      <w:r>
        <w:rPr>
          <w:rFonts w:ascii="Arial" w:cs="Arial" w:eastAsia="Arial" w:hAnsi="Arial"/>
          <w:sz w:val="18"/>
          <w:szCs w:val="18"/>
          <w:color w:val="auto"/>
        </w:rPr>
        <w:t>(2) pathway. If we are prevented from using the 505(b)(2) pathway, we will need to use the more time consuming and expensive NDA pathway to receive product approval;</w:t>
      </w:r>
    </w:p>
    <w:p>
      <w:pPr>
        <w:spacing w:after="0" w:line="121" w:lineRule="exact"/>
        <w:rPr>
          <w:sz w:val="20"/>
          <w:szCs w:val="20"/>
          <w:color w:val="auto"/>
        </w:rPr>
      </w:pPr>
    </w:p>
    <w:p>
      <w:pPr>
        <w:ind w:left="980" w:right="160" w:hanging="329"/>
        <w:spacing w:after="0" w:line="211" w:lineRule="auto"/>
        <w:tabs>
          <w:tab w:leader="none" w:pos="980" w:val="left"/>
        </w:tabs>
        <w:numPr>
          <w:ilvl w:val="0"/>
          <w:numId w:val="29"/>
        </w:numPr>
        <w:rPr>
          <w:rFonts w:ascii="Arial" w:cs="Arial" w:eastAsia="Arial" w:hAnsi="Arial"/>
          <w:sz w:val="22"/>
          <w:szCs w:val="22"/>
          <w:color w:val="auto"/>
          <w:vertAlign w:val="superscript"/>
        </w:rPr>
      </w:pPr>
      <w:r>
        <w:rPr>
          <w:rFonts w:ascii="Arial" w:cs="Arial" w:eastAsia="Arial" w:hAnsi="Arial"/>
          <w:sz w:val="18"/>
          <w:szCs w:val="18"/>
          <w:color w:val="auto"/>
        </w:rPr>
        <w:t>the FDA or comparable foreign regulatory authorities may not accept data from studies with clinical trial sites in foreign countries;</w:t>
      </w:r>
    </w:p>
    <w:p>
      <w:pPr>
        <w:spacing w:after="0" w:line="163" w:lineRule="exact"/>
        <w:rPr>
          <w:sz w:val="20"/>
          <w:szCs w:val="20"/>
          <w:color w:val="auto"/>
        </w:rPr>
      </w:pPr>
    </w:p>
    <w:p>
      <w:pPr>
        <w:ind w:left="940" w:hanging="289"/>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intended indications;</w:t>
      </w:r>
    </w:p>
    <w:p>
      <w:pPr>
        <w:spacing w:after="0" w:line="184" w:lineRule="exact"/>
        <w:rPr>
          <w:rFonts w:ascii="Arial" w:cs="Arial" w:eastAsia="Arial" w:hAnsi="Arial"/>
          <w:sz w:val="18"/>
          <w:szCs w:val="18"/>
          <w:color w:val="auto"/>
        </w:rPr>
      </w:pPr>
    </w:p>
    <w:p>
      <w:pPr>
        <w:ind w:left="980" w:right="300" w:hanging="329"/>
        <w:spacing w:after="0" w:line="258" w:lineRule="auto"/>
        <w:tabs>
          <w:tab w:leader="none" w:pos="9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or subsequently find fault with the manufacturing processes or our manufacturing facilities for clinical and future commercial supplies;</w:t>
      </w:r>
    </w:p>
    <w:p>
      <w:pPr>
        <w:spacing w:after="0" w:line="146" w:lineRule="exact"/>
        <w:rPr>
          <w:rFonts w:ascii="Arial" w:cs="Arial" w:eastAsia="Arial" w:hAnsi="Arial"/>
          <w:sz w:val="17"/>
          <w:szCs w:val="17"/>
          <w:color w:val="auto"/>
        </w:rPr>
      </w:pPr>
    </w:p>
    <w:p>
      <w:pPr>
        <w:ind w:left="980" w:right="100" w:hanging="329"/>
        <w:spacing w:after="0" w:line="235" w:lineRule="auto"/>
        <w:tabs>
          <w:tab w:leader="none" w:pos="9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take longer than we anticipate to make a decision on our product candidates; and</w:t>
      </w:r>
    </w:p>
    <w:p>
      <w:pPr>
        <w:spacing w:after="0" w:line="161" w:lineRule="exact"/>
        <w:rPr>
          <w:rFonts w:ascii="Arial" w:cs="Arial" w:eastAsia="Arial" w:hAnsi="Arial"/>
          <w:sz w:val="18"/>
          <w:szCs w:val="18"/>
          <w:color w:val="auto"/>
        </w:rPr>
      </w:pPr>
    </w:p>
    <w:p>
      <w:pPr>
        <w:ind w:left="980" w:right="20" w:hanging="329"/>
        <w:spacing w:after="0" w:line="235" w:lineRule="auto"/>
        <w:tabs>
          <w:tab w:leader="none" w:pos="9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spacing w:after="0" w:line="162" w:lineRule="exact"/>
        <w:rPr>
          <w:sz w:val="20"/>
          <w:szCs w:val="20"/>
          <w:color w:val="auto"/>
        </w:rPr>
      </w:pPr>
    </w:p>
    <w:p>
      <w:pPr>
        <w:jc w:val="both"/>
        <w:ind w:right="180" w:firstLine="648"/>
        <w:spacing w:after="0" w:line="219" w:lineRule="auto"/>
        <w:rPr>
          <w:sz w:val="20"/>
          <w:szCs w:val="20"/>
          <w:color w:val="auto"/>
        </w:rPr>
      </w:pPr>
      <w:r>
        <w:rPr>
          <w:rFonts w:ascii="Arial" w:cs="Arial" w:eastAsia="Arial" w:hAnsi="Arial"/>
          <w:sz w:val="18"/>
          <w:szCs w:val="18"/>
          <w:color w:val="auto"/>
        </w:rPr>
        <w:t>Moreover, if we are required to conduct additional clinical trials or other testing of our product candidates beyond those that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63" w:lineRule="exact"/>
        <w:rPr>
          <w:sz w:val="20"/>
          <w:szCs w:val="20"/>
          <w:color w:val="auto"/>
        </w:rPr>
      </w:pPr>
    </w:p>
    <w:p>
      <w:pPr>
        <w:ind w:left="940" w:hanging="289"/>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84" w:lineRule="exact"/>
        <w:rPr>
          <w:rFonts w:ascii="Arial" w:cs="Arial" w:eastAsia="Arial" w:hAnsi="Arial"/>
          <w:sz w:val="18"/>
          <w:szCs w:val="18"/>
          <w:color w:val="auto"/>
        </w:rPr>
      </w:pPr>
    </w:p>
    <w:p>
      <w:pPr>
        <w:ind w:left="980" w:right="440" w:hanging="329"/>
        <w:spacing w:after="0" w:line="235" w:lineRule="auto"/>
        <w:tabs>
          <w:tab w:leader="none" w:pos="9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 or are not covered by our intellectual property;</w:t>
      </w:r>
    </w:p>
    <w:p>
      <w:pPr>
        <w:spacing w:after="0" w:line="161" w:lineRule="exact"/>
        <w:rPr>
          <w:rFonts w:ascii="Arial" w:cs="Arial" w:eastAsia="Arial" w:hAnsi="Arial"/>
          <w:sz w:val="18"/>
          <w:szCs w:val="18"/>
          <w:color w:val="auto"/>
        </w:rPr>
      </w:pPr>
    </w:p>
    <w:p>
      <w:pPr>
        <w:ind w:left="980" w:right="220" w:hanging="329"/>
        <w:spacing w:after="0" w:line="259" w:lineRule="auto"/>
        <w:tabs>
          <w:tab w:leader="none" w:pos="935" w:val="left"/>
        </w:tabs>
        <w:numPr>
          <w:ilvl w:val="0"/>
          <w:numId w:val="31"/>
        </w:numPr>
        <w:rPr>
          <w:rFonts w:ascii="Arial" w:cs="Arial" w:eastAsia="Arial" w:hAnsi="Arial"/>
          <w:sz w:val="16"/>
          <w:szCs w:val="16"/>
          <w:color w:val="auto"/>
        </w:rPr>
      </w:pPr>
      <w:r>
        <w:rPr>
          <w:rFonts w:ascii="Arial" w:cs="Arial" w:eastAsia="Arial" w:hAnsi="Arial"/>
          <w:sz w:val="16"/>
          <w:szCs w:val="16"/>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147" w:lineRule="exact"/>
        <w:rPr>
          <w:rFonts w:ascii="Arial" w:cs="Arial" w:eastAsia="Arial" w:hAnsi="Arial"/>
          <w:sz w:val="16"/>
          <w:szCs w:val="16"/>
          <w:color w:val="auto"/>
        </w:rPr>
      </w:pPr>
    </w:p>
    <w:p>
      <w:pPr>
        <w:ind w:left="940" w:hanging="289"/>
        <w:spacing w:after="0" w:line="207" w:lineRule="exact"/>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subject to additional post</w:t>
      </w:r>
      <w:r>
        <w:rPr>
          <w:rFonts w:ascii="MS PGothic" w:cs="MS PGothic" w:eastAsia="MS PGothic" w:hAnsi="MS PGothic"/>
          <w:sz w:val="18"/>
          <w:szCs w:val="18"/>
          <w:color w:val="auto"/>
        </w:rPr>
        <w:t>‑</w:t>
      </w:r>
      <w:r>
        <w:rPr>
          <w:rFonts w:ascii="Arial" w:cs="Arial" w:eastAsia="Arial" w:hAnsi="Arial"/>
          <w:sz w:val="18"/>
          <w:szCs w:val="18"/>
          <w:color w:val="auto"/>
        </w:rPr>
        <w:t>marketing testing and surveillance requirements, including REMS; or</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185" w:lineRule="exact"/>
        <w:rPr>
          <w:sz w:val="20"/>
          <w:szCs w:val="20"/>
          <w:color w:val="auto"/>
        </w:rPr>
      </w:pPr>
    </w:p>
    <w:p>
      <w:pPr>
        <w:ind w:right="180" w:firstLine="648"/>
        <w:spacing w:after="0" w:line="249" w:lineRule="auto"/>
        <w:rPr>
          <w:sz w:val="20"/>
          <w:szCs w:val="20"/>
          <w:color w:val="auto"/>
        </w:rPr>
      </w:pPr>
      <w:r>
        <w:rPr>
          <w:rFonts w:ascii="Arial" w:cs="Arial" w:eastAsia="Arial" w:hAnsi="Arial"/>
          <w:sz w:val="16"/>
          <w:szCs w:val="16"/>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25" w:lineRule="auto"/>
        <w:rPr>
          <w:sz w:val="20"/>
          <w:szCs w:val="20"/>
          <w:color w:val="auto"/>
        </w:rPr>
      </w:pPr>
      <w:r>
        <w:rPr>
          <w:rFonts w:ascii="Arial" w:cs="Arial" w:eastAsia="Arial" w:hAnsi="Arial"/>
          <w:sz w:val="17"/>
          <w:szCs w:val="17"/>
          <w:color w:val="auto"/>
        </w:rPr>
        <w:t>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will be materially harmed.</w:t>
      </w:r>
    </w:p>
    <w:p>
      <w:pPr>
        <w:spacing w:after="0" w:line="162" w:lineRule="exact"/>
        <w:rPr>
          <w:sz w:val="20"/>
          <w:szCs w:val="20"/>
          <w:color w:val="auto"/>
        </w:rPr>
      </w:pPr>
    </w:p>
    <w:p>
      <w:pPr>
        <w:ind w:right="120" w:firstLine="648"/>
        <w:spacing w:after="0" w:line="212" w:lineRule="auto"/>
        <w:rPr>
          <w:sz w:val="20"/>
          <w:szCs w:val="20"/>
          <w:color w:val="auto"/>
        </w:rPr>
      </w:pPr>
      <w:r>
        <w:rPr>
          <w:rFonts w:ascii="Arial" w:cs="Arial" w:eastAsia="Arial" w:hAnsi="Arial"/>
          <w:sz w:val="18"/>
          <w:szCs w:val="18"/>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Furthermore, there is the possibility that the FDA or comparable foreign regulatory authorities have not previously reviewed product candidates for the indications we are pursuing, such as bisphosphonates for the treatment of pain. As a result, we may experience delays in regulatory approval due to uncertainties in the approval process.</w:t>
      </w:r>
    </w:p>
    <w:p>
      <w:pPr>
        <w:spacing w:after="0" w:line="165" w:lineRule="exact"/>
        <w:rPr>
          <w:sz w:val="20"/>
          <w:szCs w:val="20"/>
          <w:color w:val="auto"/>
        </w:rPr>
      </w:pPr>
    </w:p>
    <w:p>
      <w:pPr>
        <w:ind w:right="220" w:firstLine="648"/>
        <w:spacing w:after="0" w:line="183" w:lineRule="exact"/>
        <w:rPr>
          <w:sz w:val="20"/>
          <w:szCs w:val="20"/>
          <w:color w:val="auto"/>
        </w:rPr>
      </w:pPr>
      <w:r>
        <w:rPr>
          <w:rFonts w:ascii="Arial" w:cs="Arial" w:eastAsia="Arial" w:hAnsi="Arial"/>
          <w:sz w:val="18"/>
          <w:szCs w:val="18"/>
          <w:color w:val="auto"/>
        </w:rPr>
        <w:t>Finally, even if we were to obtain approval, regulatory authorities may approve any of our product candidates for fewer or more limited indications or uses than we request, may contain significant safety warnings, including black box warnings, contraindications, and precautions, may grant approval contingent on the performance of costly post</w:t>
      </w:r>
      <w:r>
        <w:rPr>
          <w:rFonts w:ascii="MS PGothic" w:cs="MS PGothic" w:eastAsia="MS PGothic" w:hAnsi="MS PGothic"/>
          <w:sz w:val="18"/>
          <w:szCs w:val="18"/>
          <w:color w:val="auto"/>
        </w:rPr>
        <w:t>‑</w:t>
      </w:r>
      <w:r>
        <w:rPr>
          <w:rFonts w:ascii="Arial" w:cs="Arial" w:eastAsia="Arial" w:hAnsi="Arial"/>
          <w:sz w:val="18"/>
          <w:szCs w:val="18"/>
          <w:color w:val="auto"/>
        </w:rPr>
        <w:t>marketing clinical trials, surveillance, or other requirements, including REMS to monitor the safety or efficacy of the product, or may approve a product candidate with a label that does not include the labeling claims necessary or desirable for the successful commercialization of that product candidate. Any of these scenarios could compromise the commercial prospects for our product candidates.</w:t>
      </w:r>
    </w:p>
    <w:p>
      <w:pPr>
        <w:spacing w:after="0" w:line="165" w:lineRule="exact"/>
        <w:rPr>
          <w:sz w:val="20"/>
          <w:szCs w:val="20"/>
          <w:color w:val="auto"/>
        </w:rPr>
      </w:pPr>
    </w:p>
    <w:p>
      <w:pPr>
        <w:jc w:val="both"/>
        <w:ind w:right="120" w:firstLine="648"/>
        <w:spacing w:after="0" w:line="219" w:lineRule="auto"/>
        <w:rPr>
          <w:sz w:val="20"/>
          <w:szCs w:val="20"/>
          <w:color w:val="auto"/>
        </w:rPr>
      </w:pPr>
      <w:r>
        <w:rPr>
          <w:rFonts w:ascii="Arial" w:cs="Arial" w:eastAsia="Arial" w:hAnsi="Arial"/>
          <w:sz w:val="18"/>
          <w:szCs w:val="18"/>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w:t>
      </w:r>
    </w:p>
    <w:p>
      <w:pPr>
        <w:spacing w:after="0" w:line="163"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b w:val="1"/>
          <w:bCs w:val="1"/>
          <w:i w:val="1"/>
          <w:iCs w:val="1"/>
          <w:color w:val="auto"/>
        </w:rPr>
        <w:t>The FDA may determine that any of our current or future product candidates have undesirable side effects that could delay or prevent their regulatory approval or commercialization.</w:t>
      </w:r>
    </w:p>
    <w:p>
      <w:pPr>
        <w:spacing w:after="0" w:line="162"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165"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r>
      <w:r>
        <w:rPr>
          <w:rFonts w:ascii="MS PGothic" w:cs="MS PGothic" w:eastAsia="MS PGothic" w:hAnsi="MS PGothic"/>
          <w:sz w:val="16"/>
          <w:szCs w:val="16"/>
          <w:color w:val="auto"/>
        </w:rPr>
        <w:t>‑</w:t>
      </w:r>
      <w:r>
        <w:rPr>
          <w:rFonts w:ascii="Arial" w:cs="Arial" w:eastAsia="Arial" w:hAnsi="Arial"/>
          <w:sz w:val="16"/>
          <w:szCs w:val="16"/>
          <w:color w:val="auto"/>
        </w:rPr>
        <w:t>marketing testing and surveillance, or other requirements, including REMS, to monitor the safety or efficacy of the products, and in turn prevent us from commercializing and generating revenues from the sale of any of our current or future product candidates.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firstLine="648"/>
        <w:spacing w:after="0" w:line="194" w:lineRule="exact"/>
        <w:rPr>
          <w:sz w:val="20"/>
          <w:szCs w:val="20"/>
          <w:color w:val="auto"/>
        </w:rPr>
      </w:pPr>
      <w:r>
        <w:rPr>
          <w:rFonts w:ascii="Arial" w:cs="Arial" w:eastAsia="Arial" w:hAnsi="Arial"/>
          <w:sz w:val="17"/>
          <w:szCs w:val="17"/>
          <w:color w:val="auto"/>
        </w:rPr>
        <w:t>To date, the most commonly reported adverse events observed in the completed clinical trial of AXS</w:t>
      </w:r>
      <w:r>
        <w:rPr>
          <w:rFonts w:ascii="MS PGothic" w:cs="MS PGothic" w:eastAsia="MS PGothic" w:hAnsi="MS PGothic"/>
          <w:sz w:val="17"/>
          <w:szCs w:val="17"/>
          <w:color w:val="auto"/>
        </w:rPr>
        <w:t>‑</w:t>
      </w:r>
      <w:r>
        <w:rPr>
          <w:rFonts w:ascii="Arial" w:cs="Arial" w:eastAsia="Arial" w:hAnsi="Arial"/>
          <w:sz w:val="17"/>
          <w:szCs w:val="17"/>
          <w:color w:val="auto"/>
        </w:rPr>
        <w:t>02 include headache, fever, musculoskeletal pain, diarrhea, abdominal pain, nausea, myalgia, and chills. Some reported adverse events led to discontinuation from our trial of AXS</w:t>
      </w:r>
      <w:r>
        <w:rPr>
          <w:rFonts w:ascii="MS PGothic" w:cs="MS PGothic" w:eastAsia="MS PGothic" w:hAnsi="MS PGothic"/>
          <w:sz w:val="17"/>
          <w:szCs w:val="17"/>
          <w:color w:val="auto"/>
        </w:rPr>
        <w:t>‑</w:t>
      </w:r>
      <w:r>
        <w:rPr>
          <w:rFonts w:ascii="Arial" w:cs="Arial" w:eastAsia="Arial" w:hAnsi="Arial"/>
          <w:sz w:val="17"/>
          <w:szCs w:val="17"/>
          <w:color w:val="auto"/>
        </w:rPr>
        <w:t>02. These adverse events included abdominal pain.</w:t>
      </w:r>
    </w:p>
    <w:p>
      <w:pPr>
        <w:spacing w:after="0" w:line="161" w:lineRule="exact"/>
        <w:rPr>
          <w:sz w:val="20"/>
          <w:szCs w:val="20"/>
          <w:color w:val="auto"/>
        </w:rPr>
      </w:pPr>
    </w:p>
    <w:p>
      <w:pPr>
        <w:ind w:right="80" w:firstLine="648"/>
        <w:spacing w:after="0" w:line="194" w:lineRule="exact"/>
        <w:rPr>
          <w:sz w:val="20"/>
          <w:szCs w:val="20"/>
          <w:color w:val="auto"/>
        </w:rPr>
      </w:pPr>
      <w:r>
        <w:rPr>
          <w:rFonts w:ascii="Arial" w:cs="Arial" w:eastAsia="Arial" w:hAnsi="Arial"/>
          <w:sz w:val="18"/>
          <w:szCs w:val="18"/>
          <w:color w:val="auto"/>
        </w:rPr>
        <w:t>To date, the most commonly reported adverse events observed in a completed clinical trial with zoledronic acid, the active molecule in AXS</w:t>
      </w:r>
      <w:r>
        <w:rPr>
          <w:rFonts w:ascii="MS PGothic" w:cs="MS PGothic" w:eastAsia="MS PGothic" w:hAnsi="MS PGothic"/>
          <w:sz w:val="18"/>
          <w:szCs w:val="18"/>
          <w:color w:val="auto"/>
        </w:rPr>
        <w:t>‑</w:t>
      </w:r>
      <w:r>
        <w:rPr>
          <w:rFonts w:ascii="Arial" w:cs="Arial" w:eastAsia="Arial" w:hAnsi="Arial"/>
          <w:sz w:val="18"/>
          <w:szCs w:val="18"/>
          <w:color w:val="auto"/>
        </w:rPr>
        <w:t>02, for the treatment of the pain of knee OA associated with BMLs include acute phase reactions, primarily cold or flu</w:t>
      </w:r>
      <w:r>
        <w:rPr>
          <w:rFonts w:ascii="MS PGothic" w:cs="MS PGothic" w:eastAsia="MS PGothic" w:hAnsi="MS PGothic"/>
          <w:sz w:val="18"/>
          <w:szCs w:val="18"/>
          <w:color w:val="auto"/>
        </w:rPr>
        <w:t>‑</w:t>
      </w:r>
      <w:r>
        <w:rPr>
          <w:rFonts w:ascii="Arial" w:cs="Arial" w:eastAsia="Arial" w:hAnsi="Arial"/>
          <w:sz w:val="18"/>
          <w:szCs w:val="18"/>
          <w:color w:val="auto"/>
        </w:rPr>
        <w:t>like symptoms and headaches.</w:t>
      </w:r>
    </w:p>
    <w:p>
      <w:pPr>
        <w:spacing w:after="0" w:line="163" w:lineRule="exact"/>
        <w:rPr>
          <w:sz w:val="20"/>
          <w:szCs w:val="20"/>
          <w:color w:val="auto"/>
        </w:rPr>
      </w:pPr>
    </w:p>
    <w:p>
      <w:pPr>
        <w:ind w:right="80" w:firstLine="648"/>
        <w:spacing w:after="0" w:line="189" w:lineRule="exact"/>
        <w:rPr>
          <w:sz w:val="20"/>
          <w:szCs w:val="20"/>
          <w:color w:val="auto"/>
        </w:rPr>
      </w:pPr>
      <w:r>
        <w:rPr>
          <w:rFonts w:ascii="Arial" w:cs="Arial" w:eastAsia="Arial" w:hAnsi="Arial"/>
          <w:sz w:val="17"/>
          <w:szCs w:val="17"/>
          <w:color w:val="auto"/>
        </w:rPr>
        <w:t>To date, the most commonly reported adverse events observed in a completed clinical trial with zoledronic acid, the active molecule in AXS</w:t>
      </w:r>
      <w:r>
        <w:rPr>
          <w:rFonts w:ascii="MS PGothic" w:cs="MS PGothic" w:eastAsia="MS PGothic" w:hAnsi="MS PGothic"/>
          <w:sz w:val="17"/>
          <w:szCs w:val="17"/>
          <w:color w:val="auto"/>
        </w:rPr>
        <w:t>‑</w:t>
      </w:r>
      <w:r>
        <w:rPr>
          <w:rFonts w:ascii="Arial" w:cs="Arial" w:eastAsia="Arial" w:hAnsi="Arial"/>
          <w:sz w:val="17"/>
          <w:szCs w:val="17"/>
          <w:color w:val="auto"/>
        </w:rPr>
        <w:t>02, for the treatment of CLBP associated with MCs include fever, headache, myalgia, arthralgia, pain, nausea, and flu</w:t>
      </w:r>
      <w:r>
        <w:rPr>
          <w:rFonts w:ascii="MS PGothic" w:cs="MS PGothic" w:eastAsia="MS PGothic" w:hAnsi="MS PGothic"/>
          <w:sz w:val="17"/>
          <w:szCs w:val="17"/>
          <w:color w:val="auto"/>
        </w:rPr>
        <w:t>‑</w:t>
      </w:r>
      <w:r>
        <w:rPr>
          <w:rFonts w:ascii="Arial" w:cs="Arial" w:eastAsia="Arial" w:hAnsi="Arial"/>
          <w:sz w:val="17"/>
          <w:szCs w:val="17"/>
          <w:color w:val="auto"/>
        </w:rPr>
        <w:t>like symptoms. Sinusitis requiring temporary hospitalization following zoledronic acid infusion was reported in one patient and was therefore classified as a serious adverse event.</w:t>
      </w:r>
    </w:p>
    <w:p>
      <w:pPr>
        <w:spacing w:after="0" w:line="163" w:lineRule="exact"/>
        <w:rPr>
          <w:sz w:val="20"/>
          <w:szCs w:val="20"/>
          <w:color w:val="auto"/>
        </w:rPr>
      </w:pPr>
    </w:p>
    <w:p>
      <w:pPr>
        <w:jc w:val="both"/>
        <w:ind w:right="100" w:firstLine="648"/>
        <w:spacing w:after="0" w:line="194" w:lineRule="exact"/>
        <w:rPr>
          <w:sz w:val="20"/>
          <w:szCs w:val="20"/>
          <w:color w:val="auto"/>
        </w:rPr>
      </w:pPr>
      <w:r>
        <w:rPr>
          <w:rFonts w:ascii="Arial" w:cs="Arial" w:eastAsia="Arial" w:hAnsi="Arial"/>
          <w:sz w:val="17"/>
          <w:szCs w:val="17"/>
          <w:color w:val="auto"/>
        </w:rPr>
        <w:t>To date, the most commonly reported adverse events observed in the completed clinical trials of the combination of DM, one of the active molecules in AXS</w:t>
      </w:r>
      <w:r>
        <w:rPr>
          <w:rFonts w:ascii="MS PGothic" w:cs="MS PGothic" w:eastAsia="MS PGothic" w:hAnsi="MS PGothic"/>
          <w:sz w:val="17"/>
          <w:szCs w:val="17"/>
          <w:color w:val="auto"/>
        </w:rPr>
        <w:t>‑</w:t>
      </w:r>
      <w:r>
        <w:rPr>
          <w:rFonts w:ascii="Arial" w:cs="Arial" w:eastAsia="Arial" w:hAnsi="Arial"/>
          <w:sz w:val="17"/>
          <w:szCs w:val="17"/>
          <w:color w:val="auto"/>
        </w:rPr>
        <w:t>05, and quinidine for the treatment of pseudobulbar affect and agitation in patients with probable AD include falls, dizziness, headache, nausea, diarrhea, and urinary tract infection.</w:t>
      </w:r>
    </w:p>
    <w:p>
      <w:pPr>
        <w:spacing w:after="0" w:line="161" w:lineRule="exact"/>
        <w:rPr>
          <w:sz w:val="20"/>
          <w:szCs w:val="20"/>
          <w:color w:val="auto"/>
        </w:rPr>
      </w:pPr>
    </w:p>
    <w:p>
      <w:pPr>
        <w:ind w:firstLine="648"/>
        <w:spacing w:after="0" w:line="182" w:lineRule="exact"/>
        <w:rPr>
          <w:sz w:val="20"/>
          <w:szCs w:val="20"/>
          <w:color w:val="auto"/>
        </w:rPr>
      </w:pPr>
      <w:r>
        <w:rPr>
          <w:rFonts w:ascii="Arial" w:cs="Arial" w:eastAsia="Arial" w:hAnsi="Arial"/>
          <w:sz w:val="18"/>
          <w:szCs w:val="18"/>
          <w:color w:val="auto"/>
        </w:rPr>
        <w:t>To date, the most commonly reported adverse events observed in the completed clinical trials of AXS</w:t>
      </w:r>
      <w:r>
        <w:rPr>
          <w:rFonts w:ascii="MS PGothic" w:cs="MS PGothic" w:eastAsia="MS PGothic" w:hAnsi="MS PGothic"/>
          <w:sz w:val="18"/>
          <w:szCs w:val="18"/>
          <w:color w:val="auto"/>
        </w:rPr>
        <w:t>‑</w:t>
      </w:r>
      <w:r>
        <w:rPr>
          <w:rFonts w:ascii="Arial" w:cs="Arial" w:eastAsia="Arial" w:hAnsi="Arial"/>
          <w:sz w:val="18"/>
          <w:szCs w:val="18"/>
          <w:color w:val="auto"/>
        </w:rPr>
        <w:t>05 include headache, nausea, dizziness, insomnia, dry mouth, fatigue, hypoesthesia, disturbance in attention, hyperhidrosis, increased heart rate, palpitation, constipation, diarrhea, increased blood pressure, and tremor. Some reported adverse events resulted in discontinuations from our trials of AXS</w:t>
      </w:r>
      <w:r>
        <w:rPr>
          <w:rFonts w:ascii="MS PGothic" w:cs="MS PGothic" w:eastAsia="MS PGothic" w:hAnsi="MS PGothic"/>
          <w:sz w:val="18"/>
          <w:szCs w:val="18"/>
          <w:color w:val="auto"/>
        </w:rPr>
        <w:t>‑</w:t>
      </w:r>
      <w:r>
        <w:rPr>
          <w:rFonts w:ascii="Arial" w:cs="Arial" w:eastAsia="Arial" w:hAnsi="Arial"/>
          <w:sz w:val="18"/>
          <w:szCs w:val="18"/>
          <w:color w:val="auto"/>
        </w:rPr>
        <w:t>05. These adverse events included chest pain, headache, abdominal pain, diarrhea, signs of potential allergic reactions, atrial tachycardia, disturbance in attention, metamorphosia, tremor, feeling hot, dizziness, dyspnea, and increased respiratory rate. AXS-05 is a combination of DM and bupropion, and this combination may exacerbate any known adverse events for each individual component, or may result in new toxicities as compared to those of the individual components.</w:t>
      </w:r>
    </w:p>
    <w:p>
      <w:pPr>
        <w:spacing w:after="0" w:line="165"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If any of our other product candidates is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r>
      <w:r>
        <w:rPr>
          <w:rFonts w:ascii="MS PGothic" w:cs="MS PGothic" w:eastAsia="MS PGothic" w:hAnsi="MS PGothic"/>
          <w:sz w:val="17"/>
          <w:szCs w:val="17"/>
          <w:color w:val="auto"/>
        </w:rPr>
        <w:t>‑</w:t>
      </w:r>
      <w:r>
        <w:rPr>
          <w:rFonts w:ascii="Arial" w:cs="Arial" w:eastAsia="Arial" w:hAnsi="Arial"/>
          <w:sz w:val="17"/>
          <w:szCs w:val="17"/>
          <w:color w:val="auto"/>
        </w:rPr>
        <w:t>benefit perspective. The drug</w:t>
      </w:r>
      <w:r>
        <w:rPr>
          <w:rFonts w:ascii="MS PGothic" w:cs="MS PGothic" w:eastAsia="MS PGothic" w:hAnsi="MS PGothic"/>
          <w:sz w:val="17"/>
          <w:szCs w:val="17"/>
          <w:color w:val="auto"/>
        </w:rPr>
        <w:t>‑</w:t>
      </w:r>
      <w:r>
        <w:rPr>
          <w:rFonts w:ascii="Arial" w:cs="Arial" w:eastAsia="Arial" w:hAnsi="Arial"/>
          <w:sz w:val="17"/>
          <w:szCs w:val="17"/>
          <w:color w:val="auto"/>
        </w:rPr>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165"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62" w:lineRule="exact"/>
        <w:rPr>
          <w:sz w:val="20"/>
          <w:szCs w:val="20"/>
          <w:color w:val="auto"/>
        </w:rPr>
      </w:pPr>
    </w:p>
    <w:p>
      <w:pPr>
        <w:ind w:right="140" w:firstLine="648"/>
        <w:spacing w:after="0" w:line="214" w:lineRule="auto"/>
        <w:rPr>
          <w:sz w:val="20"/>
          <w:szCs w:val="20"/>
          <w:color w:val="auto"/>
        </w:rPr>
      </w:pPr>
      <w:r>
        <w:rPr>
          <w:rFonts w:ascii="Arial" w:cs="Arial" w:eastAsia="Arial" w:hAnsi="Arial"/>
          <w:sz w:val="18"/>
          <w:szCs w:val="18"/>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62" w:lineRule="exact"/>
        <w:rPr>
          <w:sz w:val="20"/>
          <w:szCs w:val="20"/>
          <w:color w:val="auto"/>
        </w:rPr>
      </w:pPr>
    </w:p>
    <w:p>
      <w:pPr>
        <w:ind w:left="940" w:hanging="289"/>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84" w:lineRule="exact"/>
        <w:rPr>
          <w:rFonts w:ascii="Arial" w:cs="Arial" w:eastAsia="Arial" w:hAnsi="Arial"/>
          <w:sz w:val="18"/>
          <w:szCs w:val="18"/>
          <w:color w:val="auto"/>
        </w:rPr>
      </w:pPr>
    </w:p>
    <w:p>
      <w:pPr>
        <w:ind w:left="980" w:right="400" w:hanging="329"/>
        <w:spacing w:after="0" w:line="235" w:lineRule="auto"/>
        <w:tabs>
          <w:tab w:leader="none" w:pos="9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eligibility criteria for, and design of, the clinical trial in question, including factors such as frequency of required assessments, length of the study, and ongoing monitoring requirements;</w:t>
      </w:r>
    </w:p>
    <w:p>
      <w:pPr>
        <w:spacing w:after="0" w:line="161" w:lineRule="exact"/>
        <w:rPr>
          <w:rFonts w:ascii="Arial" w:cs="Arial" w:eastAsia="Arial" w:hAnsi="Arial"/>
          <w:sz w:val="18"/>
          <w:szCs w:val="18"/>
          <w:color w:val="auto"/>
        </w:rPr>
      </w:pPr>
    </w:p>
    <w:p>
      <w:pPr>
        <w:ind w:left="980" w:right="440" w:hanging="329"/>
        <w:spacing w:after="0" w:line="289" w:lineRule="auto"/>
        <w:tabs>
          <w:tab w:leader="none" w:pos="93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perceived risks and benefits of the product candidate under study, including the potential advantages or disadvantages of the product candidate being studied in relation to other available therapies;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40" w:hanging="289"/>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competition in recruiting and enrolling patients in clinical trials;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effectiveness of publicity created by clinical trial sites regarding the trial;</w:t>
      </w:r>
    </w:p>
    <w:p>
      <w:pPr>
        <w:spacing w:after="0" w:line="184" w:lineRule="exact"/>
        <w:rPr>
          <w:rFonts w:ascii="Arial" w:cs="Arial" w:eastAsia="Arial" w:hAnsi="Arial"/>
          <w:sz w:val="18"/>
          <w:szCs w:val="18"/>
          <w:color w:val="auto"/>
        </w:rPr>
      </w:pPr>
    </w:p>
    <w:p>
      <w:pPr>
        <w:ind w:left="980" w:right="120" w:hanging="329"/>
        <w:spacing w:after="0" w:line="235" w:lineRule="auto"/>
        <w:tabs>
          <w:tab w:leader="none" w:pos="9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patients’ ability to comply with the specific instructions related to the trial protocol, proper documentation, and use of the drug product;</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inability to obtain or maintain patient informed consents;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85" w:lineRule="exact"/>
        <w:rPr>
          <w:sz w:val="20"/>
          <w:szCs w:val="20"/>
          <w:color w:val="auto"/>
        </w:rPr>
      </w:pPr>
    </w:p>
    <w:p>
      <w:pPr>
        <w:ind w:firstLine="648"/>
        <w:spacing w:after="0" w:line="219" w:lineRule="auto"/>
        <w:rPr>
          <w:sz w:val="20"/>
          <w:szCs w:val="20"/>
          <w:color w:val="auto"/>
        </w:rPr>
      </w:pPr>
      <w:r>
        <w:rPr>
          <w:rFonts w:ascii="Arial" w:cs="Arial" w:eastAsia="Arial" w:hAnsi="Arial"/>
          <w:sz w:val="17"/>
          <w:szCs w:val="17"/>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For our initiated Phase 3 clinical trial with AXS-02 for the treatment of the pain of knee OA associated with BMLs and our planned Phase 3 clinical trial in CLBP associated with type 1 or mixed type 1 and type 2 MCs, enrollment will require the existence of radiographic biomarkers, we may require patients to discontinue use of their existing medication before participating in our clinical trials, and we may exclude patients with advanced disease. In addition, for our planned Phase 3 clinical trial with AXS-02 in CLBP associated with type 1 or mixed type 1 and type 2 MCs, we will exclude women of childbearing potential from our potential patient population. We may also exclude patients who have been treated with opioids or other classes of medications. For our Phase 3 clinical trial with AXS-05 for the treatment of TRD, we are requiring patients to have previously failed one or two antidepressant treatments, which further limits our potential patient population. For our Phase 2/3 clinical trial with AXS-05 for the treatement of agitation associated with AD, we exclude patients who have been treated with certain classes of medications. As a result, these and other entry criteria may make it difficult for us to enroll patients in any of our clinical trials. We may be required by the FDA to modify the entry criteria for our ongoing or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163" w:lineRule="exact"/>
        <w:rPr>
          <w:sz w:val="20"/>
          <w:szCs w:val="20"/>
          <w:color w:val="auto"/>
        </w:rPr>
      </w:pPr>
    </w:p>
    <w:p>
      <w:pPr>
        <w:jc w:val="both"/>
        <w:ind w:right="120" w:firstLine="648"/>
        <w:spacing w:after="0" w:line="238" w:lineRule="auto"/>
        <w:rPr>
          <w:sz w:val="20"/>
          <w:szCs w:val="20"/>
          <w:color w:val="auto"/>
        </w:rPr>
      </w:pPr>
      <w:r>
        <w:rPr>
          <w:rFonts w:ascii="Arial" w:cs="Arial" w:eastAsia="Arial" w:hAnsi="Arial"/>
          <w:sz w:val="17"/>
          <w:szCs w:val="17"/>
          <w:color w:val="auto"/>
        </w:rPr>
        <w:t>Enrollment delays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161"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b w:val="1"/>
          <w:bCs w:val="1"/>
          <w:i w:val="1"/>
          <w:iCs w:val="1"/>
          <w:color w:val="auto"/>
        </w:rPr>
        <w:t>Our product candidates, if approved, will compete in the marketplace with other bupropion products that are subject to restrictive marketing and distribution regulations, which if applied to our product candidates would restrict their use and harm our ability to generate profits.</w:t>
      </w:r>
    </w:p>
    <w:p>
      <w:pPr>
        <w:spacing w:after="0" w:line="163" w:lineRule="exact"/>
        <w:rPr>
          <w:sz w:val="20"/>
          <w:szCs w:val="20"/>
          <w:color w:val="auto"/>
        </w:rPr>
      </w:pPr>
    </w:p>
    <w:p>
      <w:pPr>
        <w:ind w:right="220" w:firstLine="648"/>
        <w:spacing w:after="0" w:line="244" w:lineRule="auto"/>
        <w:rPr>
          <w:sz w:val="20"/>
          <w:szCs w:val="20"/>
          <w:color w:val="auto"/>
        </w:rPr>
      </w:pPr>
      <w:r>
        <w:rPr>
          <w:rFonts w:ascii="Arial" w:cs="Arial" w:eastAsia="Arial" w:hAnsi="Arial"/>
          <w:sz w:val="16"/>
          <w:szCs w:val="16"/>
          <w:color w:val="auto"/>
        </w:rPr>
        <w:t>Some of the currently approved products containing the same active ingredients as our product candidates require medication guides. Medication guides can be required independently or as part of REMS programs. REMS programs, in addition to medication guides, may require special communication plans to healthcare professionals, or elements to assure safe use, such as restricted distribution methods, distribution only to certain medical professionals, training for medical professionals prescribing our product candidates, patient registries, or other risk minimization tools.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The FDA may determine that our product candidates will require a REMS program or medication guide. We cannot predict whether either will be required as part of the FDA’s approval of our product candidates and, if required, what those requirements might be. Any limitations on approval or marketing could restrict the commercial promotion, distribution, prescription, or dispensing of our product candidates, if approved. If a REMS program is required, depending on the extent of the REMS requirements, the program might significantly increase our costs to commercialize these product candidates or could place a substantial burden on medical professionals, discouraging their use of our product candidates, if approved. Furthermore, risks of our product candidates that are not adequately addressed through proposed REMS or medication guides for such product candidates may also prevent or delay their approval for commercialization.</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Development of fixed-dose combination product candidates may present more or different challenges than development of a single agent product candidate.</w:t>
      </w:r>
    </w:p>
    <w:p>
      <w:pPr>
        <w:spacing w:after="0" w:line="17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Certain of our product candidates, including AXS-05, AXS-06, AXS-07, and AXS-09 are fixed-dose combination therapies. A fixed-dose combination therapy is a single drug product composed of two or more active ingredients, with each component making a contribution to the claimed effect of the drug. The development of fixed-dose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fixed-dose combinations. Finally, the FDA’s requirements concerning fixed-dose combination products may change in the future.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product candidate manufacturing or formulation may result in additional costs or delay.</w:t>
      </w:r>
    </w:p>
    <w:p>
      <w:pPr>
        <w:spacing w:after="0" w:line="212"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As product candidates are developed through preclinical studies to late</w:t>
      </w:r>
      <w:r>
        <w:rPr>
          <w:rFonts w:ascii="MS PGothic" w:cs="MS PGothic" w:eastAsia="MS PGothic" w:hAnsi="MS PGothic"/>
          <w:sz w:val="16"/>
          <w:szCs w:val="16"/>
          <w:color w:val="auto"/>
        </w:rPr>
        <w:t>‑</w:t>
      </w:r>
      <w:r>
        <w:rPr>
          <w:rFonts w:ascii="Arial" w:cs="Arial" w:eastAsia="Arial" w:hAnsi="Arial"/>
          <w:sz w:val="16"/>
          <w:szCs w:val="16"/>
          <w:color w:val="auto"/>
        </w:rPr>
        <w:t>stage clinical trials towards approval and commercialization, it is common that various aspects of the development program, such as manufacturing methods and formulation, are altered along the way in an effort to optimize processes and results. For instance, two of our initial studies in AXS</w:t>
      </w:r>
      <w:r>
        <w:rPr>
          <w:rFonts w:ascii="MS PGothic" w:cs="MS PGothic" w:eastAsia="MS PGothic" w:hAnsi="MS PGothic"/>
          <w:sz w:val="16"/>
          <w:szCs w:val="16"/>
          <w:color w:val="auto"/>
        </w:rPr>
        <w:t>‑</w:t>
      </w:r>
      <w:r>
        <w:rPr>
          <w:rFonts w:ascii="Arial" w:cs="Arial" w:eastAsia="Arial" w:hAnsi="Arial"/>
          <w:sz w:val="16"/>
          <w:szCs w:val="16"/>
          <w:color w:val="auto"/>
        </w:rPr>
        <w:t>05 were completed with two separate tablets containing DM and bupropion. Our Phase 3 studies, however, are being conducted using a single tablet containing both active ingredients.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163"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b w:val="1"/>
          <w:bCs w:val="1"/>
          <w:i w:val="1"/>
          <w:iCs w:val="1"/>
          <w:color w:val="auto"/>
        </w:rPr>
        <w:t>Failure to obtain marketing approval in international jurisdictions would prevent our product candidates from being marketed abroad.</w:t>
      </w:r>
    </w:p>
    <w:p>
      <w:pPr>
        <w:spacing w:after="0" w:line="162"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In order to market and sell our products in the European Union and many other jurisdictions, we or our third</w:t>
      </w:r>
      <w:r>
        <w:rPr>
          <w:rFonts w:ascii="MS PGothic" w:cs="MS PGothic" w:eastAsia="MS PGothic" w:hAnsi="MS PGothic"/>
          <w:sz w:val="17"/>
          <w:szCs w:val="17"/>
          <w:color w:val="auto"/>
        </w:rPr>
        <w:t>‑</w:t>
      </w:r>
      <w:r>
        <w:rPr>
          <w:rFonts w:ascii="Arial" w:cs="Arial" w:eastAsia="Arial" w:hAnsi="Arial"/>
          <w:sz w:val="17"/>
          <w:szCs w:val="17"/>
          <w:color w:val="auto"/>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100"/>
        <w:spacing w:after="0" w:line="224" w:lineRule="auto"/>
        <w:rPr>
          <w:sz w:val="20"/>
          <w:szCs w:val="20"/>
          <w:color w:val="auto"/>
        </w:rPr>
      </w:pPr>
      <w:r>
        <w:rPr>
          <w:rFonts w:ascii="Arial" w:cs="Arial" w:eastAsia="Arial" w:hAnsi="Arial"/>
          <w:sz w:val="18"/>
          <w:szCs w:val="18"/>
          <w:b w:val="1"/>
          <w:bCs w:val="1"/>
          <w:i w:val="1"/>
          <w:iCs w:val="1"/>
          <w:color w:val="auto"/>
        </w:rPr>
        <w:t>A Fast Track product designation or other designation to facilitate product candidate development may not lead to faster development or regulatory review or approval process, and it does not increase the likelihood that our product candidates will receive marketing approval.</w:t>
      </w:r>
    </w:p>
    <w:p>
      <w:pPr>
        <w:spacing w:after="0" w:line="163" w:lineRule="exact"/>
        <w:rPr>
          <w:sz w:val="20"/>
          <w:szCs w:val="20"/>
          <w:color w:val="auto"/>
        </w:rPr>
      </w:pPr>
    </w:p>
    <w:p>
      <w:pPr>
        <w:ind w:right="60" w:firstLine="648"/>
        <w:spacing w:after="0" w:line="237" w:lineRule="auto"/>
        <w:rPr>
          <w:sz w:val="20"/>
          <w:szCs w:val="20"/>
          <w:color w:val="auto"/>
        </w:rPr>
      </w:pPr>
      <w:r>
        <w:rPr>
          <w:rFonts w:ascii="Arial" w:cs="Arial" w:eastAsia="Arial" w:hAnsi="Arial"/>
          <w:sz w:val="16"/>
          <w:szCs w:val="16"/>
          <w:color w:val="auto"/>
        </w:rPr>
        <w:t>We have received a Fast Track product designation for AXS-02 for the treatment of the pain of knee OA associated with BMLs, and for AXS-05 for both the treatment of TRD as well as for the treatment of agitation associated with AD, and we may seek Fast Track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drugs considered for approval under conventional FDA procedures and does not assure ultimate marketing approval by the FDA. In addition, the FDA may later decide that the products no longer meet the designation conditions.</w:t>
      </w:r>
    </w:p>
    <w:p>
      <w:pPr>
        <w:spacing w:after="0" w:line="167" w:lineRule="exact"/>
        <w:rPr>
          <w:sz w:val="20"/>
          <w:szCs w:val="20"/>
          <w:color w:val="auto"/>
        </w:rPr>
      </w:pPr>
    </w:p>
    <w:p>
      <w:pPr>
        <w:ind w:right="60"/>
        <w:spacing w:after="0" w:line="189" w:lineRule="exact"/>
        <w:rPr>
          <w:sz w:val="20"/>
          <w:szCs w:val="20"/>
          <w:color w:val="auto"/>
        </w:rPr>
      </w:pPr>
      <w:r>
        <w:rPr>
          <w:rFonts w:ascii="Arial" w:cs="Arial" w:eastAsia="Arial" w:hAnsi="Arial"/>
          <w:sz w:val="17"/>
          <w:szCs w:val="17"/>
          <w:b w:val="1"/>
          <w:bCs w:val="1"/>
          <w:i w:val="1"/>
          <w:iCs w:val="1"/>
          <w:color w:val="auto"/>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label” uses, resulting in damage to our reputation and business.</w:t>
      </w:r>
    </w:p>
    <w:p>
      <w:pPr>
        <w:spacing w:after="0" w:line="163" w:lineRule="exact"/>
        <w:rPr>
          <w:sz w:val="20"/>
          <w:szCs w:val="20"/>
          <w:color w:val="auto"/>
        </w:rPr>
      </w:pPr>
    </w:p>
    <w:p>
      <w:pPr>
        <w:ind w:right="20" w:firstLine="648"/>
        <w:spacing w:after="0" w:line="181" w:lineRule="exact"/>
        <w:rPr>
          <w:sz w:val="20"/>
          <w:szCs w:val="20"/>
          <w:color w:val="auto"/>
        </w:rPr>
      </w:pPr>
      <w:r>
        <w:rPr>
          <w:rFonts w:ascii="Arial" w:cs="Arial" w:eastAsia="Arial" w:hAnsi="Arial"/>
          <w:sz w:val="17"/>
          <w:szCs w:val="17"/>
          <w:color w:val="auto"/>
        </w:rPr>
        <w:t>We, and any of our collaborators, must comply with requirements concerning advertising and promotion for any of our product candidates for which we or they obtain marketing approval. Promotional communications with respect to prescription drugs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any desired uses or indications for our products and product candidates, we may not market or promote our products for those indications and uses, referred to as off</w:t>
      </w:r>
      <w:r>
        <w:rPr>
          <w:rFonts w:ascii="MS PGothic" w:cs="MS PGothic" w:eastAsia="MS PGothic" w:hAnsi="MS PGothic"/>
          <w:sz w:val="17"/>
          <w:szCs w:val="17"/>
          <w:color w:val="auto"/>
        </w:rPr>
        <w:t>‑</w:t>
      </w:r>
      <w:r>
        <w:rPr>
          <w:rFonts w:ascii="Arial" w:cs="Arial" w:eastAsia="Arial" w:hAnsi="Arial"/>
          <w:sz w:val="17"/>
          <w:szCs w:val="17"/>
          <w:color w:val="auto"/>
        </w:rPr>
        <w:t>label uses, and our business may be adversely affected. We further must be able to sufficiently substantiate any claims that we make for our products including claims comparing our products to other companies’ products.</w:t>
      </w:r>
    </w:p>
    <w:p>
      <w:pPr>
        <w:spacing w:after="0" w:line="164" w:lineRule="exact"/>
        <w:rPr>
          <w:sz w:val="20"/>
          <w:szCs w:val="20"/>
          <w:color w:val="auto"/>
        </w:rPr>
      </w:pPr>
    </w:p>
    <w:p>
      <w:pPr>
        <w:ind w:right="20" w:firstLine="648"/>
        <w:spacing w:after="0" w:line="182" w:lineRule="exact"/>
        <w:rPr>
          <w:sz w:val="20"/>
          <w:szCs w:val="20"/>
          <w:color w:val="auto"/>
        </w:rPr>
      </w:pPr>
      <w:r>
        <w:rPr>
          <w:rFonts w:ascii="Arial" w:cs="Arial" w:eastAsia="Arial" w:hAnsi="Arial"/>
          <w:sz w:val="18"/>
          <w:szCs w:val="18"/>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w:t>
      </w:r>
      <w:r>
        <w:rPr>
          <w:rFonts w:ascii="MS PGothic" w:cs="MS PGothic" w:eastAsia="MS PGothic" w:hAnsi="MS PGothic"/>
          <w:sz w:val="18"/>
          <w:szCs w:val="18"/>
          <w:color w:val="auto"/>
        </w:rPr>
        <w:t>‑</w:t>
      </w:r>
      <w:r>
        <w:rPr>
          <w:rFonts w:ascii="Arial" w:cs="Arial" w:eastAsia="Arial" w:hAnsi="Arial"/>
          <w:sz w:val="18"/>
          <w:szCs w:val="18"/>
          <w:color w:val="auto"/>
        </w:rPr>
        <w:t>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w:t>
      </w:r>
      <w:r>
        <w:rPr>
          <w:rFonts w:ascii="MS PGothic" w:cs="MS PGothic" w:eastAsia="MS PGothic" w:hAnsi="MS PGothic"/>
          <w:sz w:val="18"/>
          <w:szCs w:val="18"/>
          <w:color w:val="auto"/>
        </w:rPr>
        <w:t>‑</w:t>
      </w:r>
      <w:r>
        <w:rPr>
          <w:rFonts w:ascii="Arial" w:cs="Arial" w:eastAsia="Arial" w:hAnsi="Arial"/>
          <w:sz w:val="18"/>
          <w:szCs w:val="18"/>
          <w:color w:val="auto"/>
        </w:rPr>
        <w:t>label use.</w:t>
      </w:r>
    </w:p>
    <w:p>
      <w:pPr>
        <w:spacing w:after="0" w:line="165" w:lineRule="exact"/>
        <w:rPr>
          <w:sz w:val="20"/>
          <w:szCs w:val="20"/>
          <w:color w:val="auto"/>
        </w:rPr>
      </w:pPr>
    </w:p>
    <w:p>
      <w:pPr>
        <w:ind w:right="180" w:firstLine="648"/>
        <w:spacing w:after="0" w:line="182" w:lineRule="exact"/>
        <w:rPr>
          <w:sz w:val="20"/>
          <w:szCs w:val="20"/>
          <w:color w:val="auto"/>
        </w:rPr>
      </w:pPr>
      <w:r>
        <w:rPr>
          <w:rFonts w:ascii="Arial" w:cs="Arial" w:eastAsia="Arial" w:hAnsi="Arial"/>
          <w:sz w:val="16"/>
          <w:szCs w:val="16"/>
          <w:color w:val="auto"/>
        </w:rPr>
        <w:t>If we are found to have impermissibly promoted any of our product candidates, we may become subject to significant liability and government fines. The FDA and other agencies actively enforce the laws and regulations regarding product promotion, particularly those prohibiting the promotion of off</w:t>
      </w:r>
      <w:r>
        <w:rPr>
          <w:rFonts w:ascii="MS PGothic" w:cs="MS PGothic" w:eastAsia="MS PGothic" w:hAnsi="MS PGothic"/>
          <w:sz w:val="16"/>
          <w:szCs w:val="16"/>
          <w:color w:val="auto"/>
        </w:rPr>
        <w:t>‑</w:t>
      </w:r>
      <w:r>
        <w:rPr>
          <w:rFonts w:ascii="Arial" w:cs="Arial" w:eastAsia="Arial" w:hAnsi="Arial"/>
          <w:sz w:val="16"/>
          <w:szCs w:val="16"/>
          <w:color w:val="auto"/>
        </w:rPr>
        <w:t>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w:t>
      </w:r>
      <w:r>
        <w:rPr>
          <w:rFonts w:ascii="MS PGothic" w:cs="MS PGothic" w:eastAsia="MS PGothic" w:hAnsi="MS PGothic"/>
          <w:sz w:val="16"/>
          <w:szCs w:val="16"/>
          <w:color w:val="auto"/>
        </w:rPr>
        <w:t>‑</w:t>
      </w:r>
      <w:r>
        <w:rPr>
          <w:rFonts w:ascii="Arial" w:cs="Arial" w:eastAsia="Arial" w:hAnsi="Arial"/>
          <w:sz w:val="16"/>
          <w:szCs w:val="16"/>
          <w:color w:val="auto"/>
        </w:rPr>
        <w:t>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167" w:lineRule="exact"/>
        <w:rPr>
          <w:sz w:val="20"/>
          <w:szCs w:val="20"/>
          <w:color w:val="auto"/>
        </w:rPr>
      </w:pPr>
    </w:p>
    <w:p>
      <w:pPr>
        <w:ind w:firstLine="648"/>
        <w:spacing w:after="0" w:line="187" w:lineRule="exact"/>
        <w:rPr>
          <w:sz w:val="20"/>
          <w:szCs w:val="20"/>
          <w:color w:val="auto"/>
        </w:rPr>
      </w:pPr>
      <w:r>
        <w:rPr>
          <w:rFonts w:ascii="Arial" w:cs="Arial" w:eastAsia="Arial" w:hAnsi="Arial"/>
          <w:sz w:val="17"/>
          <w:szCs w:val="17"/>
          <w:color w:val="auto"/>
        </w:rPr>
        <w:t>In the United States, engaging in the impermissible promotion of our products, following approval, for off</w:t>
      </w:r>
      <w:r>
        <w:rPr>
          <w:rFonts w:ascii="MS PGothic" w:cs="MS PGothic" w:eastAsia="MS PGothic" w:hAnsi="MS PGothic"/>
          <w:sz w:val="17"/>
          <w:szCs w:val="17"/>
          <w:color w:val="auto"/>
        </w:rPr>
        <w:t>‑</w:t>
      </w:r>
      <w:r>
        <w:rPr>
          <w:rFonts w:ascii="Arial" w:cs="Arial" w:eastAsia="Arial" w:hAnsi="Arial"/>
          <w:sz w:val="17"/>
          <w:szCs w:val="17"/>
          <w:color w:val="auto"/>
        </w:rPr>
        <w:t>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drug products and do business through, for example, corporate integrity agreements, suspension or exclusion from participation in federal and state healthcare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179" w:lineRule="exact"/>
        <w:rPr>
          <w:sz w:val="20"/>
          <w:szCs w:val="20"/>
          <w:color w:val="auto"/>
        </w:rPr>
      </w:pPr>
      <w:r>
        <w:rPr>
          <w:rFonts w:ascii="Arial" w:cs="Arial" w:eastAsia="Arial" w:hAnsi="Arial"/>
          <w:sz w:val="16"/>
          <w:szCs w:val="16"/>
          <w:color w:val="auto"/>
        </w:rPr>
        <w:t>programs, and debarment from government contracts and refusal of future orders under existing contracts. These false claims statutes include the federal civil False Claims Act, which allows any individual to bring a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qui tam lawsuit, the individual will share in the proceeds from any fines or settlement funds. If the government declines to intervene, the individual may pursue the case alone. Under the False Claims Act, a penalty may be imposed for each false claim, for example, a claim for payment for each prescription for the product, and, when aggregated, these penalties often total millions of dollars and incentivize qui tam lawsuits. These False Claims Act lawsuits against pharmaceutical companies have increased significantly in volume and breadth, leading to several substantial civil and criminal settlements, up to $3.0 billion, pertaining to certain sales practices and promoting off</w:t>
      </w:r>
      <w:r>
        <w:rPr>
          <w:rFonts w:ascii="MS PGothic" w:cs="MS PGothic" w:eastAsia="MS PGothic" w:hAnsi="MS PGothic"/>
          <w:sz w:val="16"/>
          <w:szCs w:val="16"/>
          <w:color w:val="auto"/>
        </w:rPr>
        <w:t>‑</w:t>
      </w:r>
      <w:r>
        <w:rPr>
          <w:rFonts w:ascii="Arial" w:cs="Arial" w:eastAsia="Arial" w:hAnsi="Arial"/>
          <w:sz w:val="16"/>
          <w:szCs w:val="16"/>
          <w:color w:val="auto"/>
        </w:rPr>
        <w:t>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167"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In the United States, the distribution of product samples to physicians must further comply with the requirements of the U.S. Prescription Drug Marketing Act. If the FDA determines that our promotional activities violate its regulations and policies pertaining to product promotion, it could request that we modify our promotional materials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162"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b w:val="1"/>
          <w:bCs w:val="1"/>
          <w:i w:val="1"/>
          <w:iCs w:val="1"/>
          <w:color w:val="auto"/>
        </w:rPr>
        <w:t>We are, and if any of our product candidates receive regulatory approval, will continue to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62"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Any product candidate for which we obtain marketing approval will be subject to extensive and ongoing requirements of and review by the FDA and other regulatory authorities, including requirements related to the manufacturing processes, post</w:t>
      </w:r>
      <w:r>
        <w:rPr>
          <w:rFonts w:ascii="MS PGothic" w:cs="MS PGothic" w:eastAsia="MS PGothic" w:hAnsi="MS PGothic"/>
          <w:sz w:val="17"/>
          <w:szCs w:val="17"/>
          <w:color w:val="auto"/>
        </w:rPr>
        <w:t>‑</w:t>
      </w:r>
      <w:r>
        <w:rPr>
          <w:rFonts w:ascii="Arial" w:cs="Arial" w:eastAsia="Arial" w:hAnsi="Arial"/>
          <w:sz w:val="17"/>
          <w:szCs w:val="17"/>
          <w:color w:val="auto"/>
        </w:rPr>
        <w:t>approval clinical data, labeling, packaging, distribution, adverse event reporting, storage, recordkeeping, export, import, advertising, marketing, and promotional activities for such product. These requirements further include submissions of safety and other post</w:t>
      </w:r>
      <w:r>
        <w:rPr>
          <w:rFonts w:ascii="MS PGothic" w:cs="MS PGothic" w:eastAsia="MS PGothic" w:hAnsi="MS PGothic"/>
          <w:sz w:val="17"/>
          <w:szCs w:val="17"/>
          <w:color w:val="auto"/>
        </w:rPr>
        <w:t>‑</w:t>
      </w:r>
      <w:r>
        <w:rPr>
          <w:rFonts w:ascii="Arial" w:cs="Arial" w:eastAsia="Arial" w:hAnsi="Arial"/>
          <w:sz w:val="17"/>
          <w:szCs w:val="17"/>
          <w:color w:val="auto"/>
        </w:rPr>
        <w:t>marketing information, including manufacturing deviations and reports; registration and listing requirements; the payment of annual program fees for our product candidates, if approved; continued compliance with cGMP requirements relating to manufacturing, quality control, quality assurance, and corresponding maintenance of records and documents; requirements regarding the distribution of samples to physicians and recordkeeping; and good clinical practices, or GCPs, for any clinical trials that we conduct post</w:t>
      </w:r>
      <w:r>
        <w:rPr>
          <w:rFonts w:ascii="MS PGothic" w:cs="MS PGothic" w:eastAsia="MS PGothic" w:hAnsi="MS PGothic"/>
          <w:sz w:val="17"/>
          <w:szCs w:val="17"/>
          <w:color w:val="auto"/>
        </w:rPr>
        <w:t>‑</w:t>
      </w:r>
      <w:r>
        <w:rPr>
          <w:rFonts w:ascii="Arial" w:cs="Arial" w:eastAsia="Arial" w:hAnsi="Arial"/>
          <w:sz w:val="17"/>
          <w:szCs w:val="17"/>
          <w:color w:val="auto"/>
        </w:rPr>
        <w:t>approval. Even if marketing approval of a product candidate is granted, the approval may be subject to limitations on the indicated uses and populations for which the product may be marketed or to the conditions of approval, including significant safety warnings, including boxed warnings, contraindications, and precautions that are not desirable for successful commercialization and any requirement to implement a REMS that render the approved product not commercially viable or other post</w:t>
      </w:r>
      <w:r>
        <w:rPr>
          <w:rFonts w:ascii="MS PGothic" w:cs="MS PGothic" w:eastAsia="MS PGothic" w:hAnsi="MS PGothic"/>
          <w:sz w:val="17"/>
          <w:szCs w:val="17"/>
          <w:color w:val="auto"/>
        </w:rPr>
        <w:t>‑</w:t>
      </w:r>
      <w:r>
        <w:rPr>
          <w:rFonts w:ascii="Arial" w:cs="Arial" w:eastAsia="Arial" w:hAnsi="Arial"/>
          <w:sz w:val="17"/>
          <w:szCs w:val="17"/>
          <w:color w:val="auto"/>
        </w:rPr>
        <w:t>market requirements or restrictions. Any such restrictions could limit sales of the product.</w:t>
      </w:r>
    </w:p>
    <w:p>
      <w:pPr>
        <w:spacing w:after="0" w:line="165" w:lineRule="exact"/>
        <w:rPr>
          <w:sz w:val="20"/>
          <w:szCs w:val="20"/>
          <w:color w:val="auto"/>
        </w:rPr>
      </w:pPr>
    </w:p>
    <w:p>
      <w:pPr>
        <w:jc w:val="both"/>
        <w:ind w:right="240" w:firstLine="648"/>
        <w:spacing w:after="0" w:line="189" w:lineRule="exact"/>
        <w:rPr>
          <w:sz w:val="20"/>
          <w:szCs w:val="20"/>
          <w:color w:val="auto"/>
        </w:rPr>
      </w:pPr>
      <w:r>
        <w:rPr>
          <w:rFonts w:ascii="Arial" w:cs="Arial" w:eastAsia="Arial" w:hAnsi="Arial"/>
          <w:sz w:val="18"/>
          <w:szCs w:val="18"/>
          <w:color w:val="auto"/>
        </w:rPr>
        <w:t>We and any of our collaborators, including our contract manufacturers, could be subject to periodic unannounced inspections by the FDA to monitor and ensure compliance with cGMPs. Application holders must further notify the FDA, and depending on the nature of the change, obtain FDA pre</w:t>
      </w:r>
      <w:r>
        <w:rPr>
          <w:rFonts w:ascii="MS PGothic" w:cs="MS PGothic" w:eastAsia="MS PGothic" w:hAnsi="MS PGothic"/>
          <w:sz w:val="18"/>
          <w:szCs w:val="18"/>
          <w:color w:val="auto"/>
        </w:rPr>
        <w:t>‑</w:t>
      </w:r>
      <w:r>
        <w:rPr>
          <w:rFonts w:ascii="Arial" w:cs="Arial" w:eastAsia="Arial" w:hAnsi="Arial"/>
          <w:sz w:val="18"/>
          <w:szCs w:val="18"/>
          <w:color w:val="auto"/>
        </w:rPr>
        <w:t>approval for product and manufacturing changes. Application fees may apply to certain changes.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63" w:lineRule="exact"/>
        <w:rPr>
          <w:sz w:val="20"/>
          <w:szCs w:val="20"/>
          <w:color w:val="auto"/>
        </w:rPr>
      </w:pPr>
    </w:p>
    <w:p>
      <w:pPr>
        <w:ind w:left="940" w:hanging="289"/>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manufacturing or distribution, or marketing of such products;</w:t>
      </w:r>
    </w:p>
    <w:p>
      <w:pPr>
        <w:spacing w:after="0" w:line="184" w:lineRule="exact"/>
        <w:rPr>
          <w:rFonts w:ascii="Arial" w:cs="Arial" w:eastAsia="Arial" w:hAnsi="Arial"/>
          <w:sz w:val="18"/>
          <w:szCs w:val="18"/>
          <w:color w:val="auto"/>
        </w:rPr>
      </w:pPr>
    </w:p>
    <w:p>
      <w:pPr>
        <w:ind w:left="980" w:right="1220" w:hanging="329"/>
        <w:spacing w:after="0" w:line="289" w:lineRule="auto"/>
        <w:tabs>
          <w:tab w:leader="none" w:pos="935"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restrictions on the labeling, including required additional warnings, such as black box warnings, contraindications, precautions, and restrictions on the approved indication or use;</w:t>
      </w:r>
    </w:p>
    <w:p>
      <w:pPr>
        <w:spacing w:after="0" w:line="124" w:lineRule="exact"/>
        <w:rPr>
          <w:rFonts w:ascii="Arial" w:cs="Arial" w:eastAsia="Arial" w:hAnsi="Arial"/>
          <w:sz w:val="16"/>
          <w:szCs w:val="16"/>
          <w:color w:val="auto"/>
        </w:rPr>
      </w:pPr>
    </w:p>
    <w:p>
      <w:pPr>
        <w:ind w:left="940" w:hanging="289"/>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184" w:lineRule="exact"/>
        <w:rPr>
          <w:rFonts w:ascii="Arial" w:cs="Arial" w:eastAsia="Arial" w:hAnsi="Arial"/>
          <w:sz w:val="18"/>
          <w:szCs w:val="18"/>
          <w:color w:val="auto"/>
        </w:rPr>
      </w:pPr>
    </w:p>
    <w:p>
      <w:pPr>
        <w:ind w:left="940" w:hanging="289"/>
        <w:spacing w:after="0" w:line="207" w:lineRule="exact"/>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requirements to conduct post</w:t>
      </w:r>
      <w:r>
        <w:rPr>
          <w:rFonts w:ascii="MS PGothic" w:cs="MS PGothic" w:eastAsia="MS PGothic" w:hAnsi="MS PGothic"/>
          <w:sz w:val="18"/>
          <w:szCs w:val="18"/>
          <w:color w:val="auto"/>
        </w:rPr>
        <w:t>‑</w:t>
      </w:r>
      <w:r>
        <w:rPr>
          <w:rFonts w:ascii="Arial" w:cs="Arial" w:eastAsia="Arial" w:hAnsi="Arial"/>
          <w:sz w:val="18"/>
          <w:szCs w:val="18"/>
          <w:color w:val="auto"/>
        </w:rPr>
        <w:t>marketing studies or clinical trials;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clinical holds or termination of clinical trials;</w:t>
      </w:r>
    </w:p>
    <w:p>
      <w:pPr>
        <w:spacing w:after="0" w:line="184" w:lineRule="exact"/>
        <w:rPr>
          <w:rFonts w:ascii="Arial" w:cs="Arial" w:eastAsia="Arial" w:hAnsi="Arial"/>
          <w:sz w:val="18"/>
          <w:szCs w:val="18"/>
          <w:color w:val="auto"/>
        </w:rPr>
      </w:pPr>
    </w:p>
    <w:p>
      <w:pPr>
        <w:ind w:left="980" w:right="100" w:hanging="329"/>
        <w:spacing w:after="0" w:line="249" w:lineRule="auto"/>
        <w:tabs>
          <w:tab w:leader="none" w:pos="935"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requirements to establish or modify a REMS or a comparable foreign authority may require that we establish or modify a similar strategy, that may, for instance, require us to create a Medication Guide outlining the risks of the previously unidentified side effects for distribution to patients, or restrict distribution of the product, if and when approved, and impose burdensome implementation requirements on us;</w:t>
      </w:r>
    </w:p>
    <w:p>
      <w:pPr>
        <w:spacing w:after="0" w:line="154" w:lineRule="exact"/>
        <w:rPr>
          <w:rFonts w:ascii="Arial" w:cs="Arial" w:eastAsia="Arial" w:hAnsi="Arial"/>
          <w:sz w:val="16"/>
          <w:szCs w:val="16"/>
          <w:color w:val="auto"/>
        </w:rPr>
      </w:pPr>
    </w:p>
    <w:p>
      <w:pPr>
        <w:ind w:left="940" w:hanging="289"/>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to the way the drug is administered;</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reputational harm;</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drug becoming less competitive;</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warning, untitled, or cyber letters;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suspension of marketing or withdrawal of the products from the market;</w:t>
      </w:r>
    </w:p>
    <w:p>
      <w:pPr>
        <w:spacing w:after="0" w:line="184" w:lineRule="exact"/>
        <w:rPr>
          <w:rFonts w:ascii="Arial" w:cs="Arial" w:eastAsia="Arial" w:hAnsi="Arial"/>
          <w:sz w:val="18"/>
          <w:szCs w:val="18"/>
          <w:color w:val="auto"/>
        </w:rPr>
      </w:pPr>
    </w:p>
    <w:p>
      <w:pPr>
        <w:ind w:left="980" w:right="800" w:hanging="329"/>
        <w:spacing w:after="0" w:line="258" w:lineRule="auto"/>
        <w:tabs>
          <w:tab w:leader="none" w:pos="935"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regulatory authority issuance of safety alerts, Dear Healthcare Provider letters, press releases, or other communications containing warnings or other safety information about the drug;</w:t>
      </w:r>
    </w:p>
    <w:p>
      <w:pPr>
        <w:spacing w:after="0" w:line="146" w:lineRule="exact"/>
        <w:rPr>
          <w:rFonts w:ascii="Arial" w:cs="Arial" w:eastAsia="Arial" w:hAnsi="Arial"/>
          <w:sz w:val="17"/>
          <w:szCs w:val="17"/>
          <w:color w:val="auto"/>
        </w:rPr>
      </w:pPr>
    </w:p>
    <w:p>
      <w:pPr>
        <w:ind w:left="940" w:hanging="289"/>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damages, restitution, or disgorgement of profits or revenues;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84" w:lineRule="exact"/>
        <w:rPr>
          <w:rFonts w:ascii="Arial" w:cs="Arial" w:eastAsia="Arial" w:hAnsi="Arial"/>
          <w:sz w:val="18"/>
          <w:szCs w:val="18"/>
          <w:color w:val="auto"/>
        </w:rPr>
      </w:pPr>
    </w:p>
    <w:p>
      <w:pPr>
        <w:ind w:left="980" w:right="260" w:hanging="329"/>
        <w:spacing w:after="0" w:line="289" w:lineRule="auto"/>
        <w:tabs>
          <w:tab w:leader="none" w:pos="935" w:val="left"/>
        </w:tabs>
        <w:numPr>
          <w:ilvl w:val="0"/>
          <w:numId w:val="34"/>
        </w:numPr>
        <w:rPr>
          <w:rFonts w:ascii="Arial" w:cs="Arial" w:eastAsia="Arial" w:hAnsi="Arial"/>
          <w:sz w:val="16"/>
          <w:szCs w:val="16"/>
          <w:color w:val="auto"/>
        </w:rPr>
      </w:pPr>
      <w:r>
        <w:rPr>
          <w:rFonts w:ascii="Arial" w:cs="Arial" w:eastAsia="Arial" w:hAnsi="Arial"/>
          <w:sz w:val="16"/>
          <w:szCs w:val="16"/>
          <w:color w:val="auto"/>
        </w:rPr>
        <w:t>FDA debarment, debarment from government contracts, and refusal of future orders under existing contracts, exclusion from federal healthcare programs, consent decrees, or corporate integrity agreements; or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40" w:hanging="289"/>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185"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Any of these events could prevent us from achieving or maintaining market acceptance of the particular product candidate, if approved,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61"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limit, or delay regulatory approval of our product candidates or that could impose additional regulatory obligations on us if our product candidates are approved.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61" w:lineRule="exact"/>
        <w:rPr>
          <w:sz w:val="20"/>
          <w:szCs w:val="20"/>
          <w:color w:val="auto"/>
        </w:rPr>
      </w:pPr>
    </w:p>
    <w:p>
      <w:pPr>
        <w:ind w:right="60" w:firstLine="648"/>
        <w:spacing w:after="0" w:line="194" w:lineRule="exact"/>
        <w:rPr>
          <w:sz w:val="20"/>
          <w:szCs w:val="20"/>
          <w:color w:val="auto"/>
        </w:rPr>
      </w:pPr>
      <w:r>
        <w:rPr>
          <w:rFonts w:ascii="Arial" w:cs="Arial" w:eastAsia="Arial" w:hAnsi="Arial"/>
          <w:sz w:val="18"/>
          <w:szCs w:val="18"/>
          <w:color w:val="auto"/>
        </w:rPr>
        <w:t>Should any of the above actions take place, they could adversely affect our ability to achieve or sustain profitability. Further, the cost of compliance with post</w:t>
      </w:r>
      <w:r>
        <w:rPr>
          <w:rFonts w:ascii="MS PGothic" w:cs="MS PGothic" w:eastAsia="MS PGothic" w:hAnsi="MS PGothic"/>
          <w:sz w:val="18"/>
          <w:szCs w:val="18"/>
          <w:color w:val="auto"/>
        </w:rPr>
        <w:t>‑</w:t>
      </w:r>
      <w:r>
        <w:rPr>
          <w:rFonts w:ascii="Arial" w:cs="Arial" w:eastAsia="Arial" w:hAnsi="Arial"/>
          <w:sz w:val="18"/>
          <w:szCs w:val="18"/>
          <w:color w:val="auto"/>
        </w:rPr>
        <w:t>approval regulations may have a negative effect on our operating results and financial condition.</w:t>
      </w:r>
    </w:p>
    <w:p>
      <w:pPr>
        <w:spacing w:after="0" w:line="163"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162" w:lineRule="exact"/>
        <w:rPr>
          <w:sz w:val="20"/>
          <w:szCs w:val="20"/>
          <w:color w:val="auto"/>
        </w:rPr>
      </w:pPr>
    </w:p>
    <w:p>
      <w:pPr>
        <w:ind w:right="280" w:firstLine="648"/>
        <w:spacing w:after="0" w:line="224" w:lineRule="auto"/>
        <w:rPr>
          <w:sz w:val="20"/>
          <w:szCs w:val="20"/>
          <w:color w:val="auto"/>
        </w:rPr>
      </w:pPr>
      <w:r>
        <w:rPr>
          <w:rFonts w:ascii="Arial" w:cs="Arial" w:eastAsia="Arial" w:hAnsi="Arial"/>
          <w:sz w:val="18"/>
          <w:szCs w:val="18"/>
          <w:color w:val="auto"/>
        </w:rPr>
        <w:t>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163" w:lineRule="exact"/>
        <w:rPr>
          <w:sz w:val="20"/>
          <w:szCs w:val="20"/>
          <w:color w:val="auto"/>
        </w:rPr>
      </w:pPr>
    </w:p>
    <w:p>
      <w:pPr>
        <w:ind w:left="940" w:hanging="289"/>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in foreign countries;</w:t>
      </w:r>
    </w:p>
    <w:p>
      <w:pPr>
        <w:spacing w:after="0" w:line="184" w:lineRule="exact"/>
        <w:rPr>
          <w:rFonts w:ascii="Arial" w:cs="Arial" w:eastAsia="Arial" w:hAnsi="Arial"/>
          <w:sz w:val="18"/>
          <w:szCs w:val="18"/>
          <w:color w:val="auto"/>
        </w:rPr>
      </w:pPr>
    </w:p>
    <w:p>
      <w:pPr>
        <w:ind w:left="980" w:right="20" w:hanging="329"/>
        <w:spacing w:after="0" w:line="194" w:lineRule="exact"/>
        <w:tabs>
          <w:tab w:leader="none" w:pos="935"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potential for so</w:t>
      </w:r>
      <w:r>
        <w:rPr>
          <w:rFonts w:ascii="MS PGothic" w:cs="MS PGothic" w:eastAsia="MS PGothic" w:hAnsi="MS PGothic"/>
          <w:sz w:val="16"/>
          <w:szCs w:val="16"/>
          <w:color w:val="auto"/>
        </w:rPr>
        <w:t>‑</w:t>
      </w:r>
      <w:r>
        <w:rPr>
          <w:rFonts w:ascii="Arial" w:cs="Arial" w:eastAsia="Arial" w:hAnsi="Arial"/>
          <w:sz w:val="16"/>
          <w:szCs w:val="16"/>
          <w:color w:val="auto"/>
        </w:rPr>
        <w:t>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spacing w:after="0" w:line="163" w:lineRule="exact"/>
        <w:rPr>
          <w:rFonts w:ascii="Arial" w:cs="Arial" w:eastAsia="Arial" w:hAnsi="Arial"/>
          <w:sz w:val="16"/>
          <w:szCs w:val="16"/>
          <w:color w:val="auto"/>
        </w:rPr>
      </w:pPr>
    </w:p>
    <w:p>
      <w:pPr>
        <w:ind w:left="980" w:right="120" w:hanging="329"/>
        <w:spacing w:after="0" w:line="289" w:lineRule="auto"/>
        <w:tabs>
          <w:tab w:leader="none" w:pos="935" w:val="left"/>
        </w:tabs>
        <w:numPr>
          <w:ilvl w:val="0"/>
          <w:numId w:val="36"/>
        </w:numPr>
        <w:rPr>
          <w:rFonts w:ascii="Arial" w:cs="Arial" w:eastAsia="Arial" w:hAnsi="Arial"/>
          <w:sz w:val="16"/>
          <w:szCs w:val="16"/>
          <w:color w:val="auto"/>
        </w:rPr>
      </w:pPr>
      <w:r>
        <w:rPr>
          <w:rFonts w:ascii="Arial" w:cs="Arial" w:eastAsia="Arial" w:hAnsi="Arial"/>
          <w:sz w:val="16"/>
          <w:szCs w:val="16"/>
          <w:color w:val="auto"/>
        </w:rPr>
        <w:t>stricter harmonised EU rules on data privacy particularly in relation to health data than is the case in the United States which are being further toughened with a new regulation coming into force on May 25, 2018;</w:t>
      </w:r>
    </w:p>
    <w:p>
      <w:pPr>
        <w:spacing w:after="0" w:line="124" w:lineRule="exact"/>
        <w:rPr>
          <w:sz w:val="20"/>
          <w:szCs w:val="20"/>
          <w:color w:val="auto"/>
        </w:rPr>
      </w:pPr>
    </w:p>
    <w:p>
      <w:pPr>
        <w:ind w:left="980" w:right="200" w:hanging="329"/>
        <w:spacing w:after="0" w:line="222" w:lineRule="auto"/>
        <w:tabs>
          <w:tab w:leader="none" w:pos="980" w:val="left"/>
        </w:tabs>
        <w:numPr>
          <w:ilvl w:val="0"/>
          <w:numId w:val="37"/>
        </w:numPr>
        <w:rPr>
          <w:rFonts w:ascii="Arial" w:cs="Arial" w:eastAsia="Arial" w:hAnsi="Arial"/>
          <w:sz w:val="21"/>
          <w:szCs w:val="21"/>
          <w:color w:val="auto"/>
          <w:vertAlign w:val="superscript"/>
        </w:rPr>
      </w:pPr>
      <w:r>
        <w:rPr>
          <w:rFonts w:ascii="Arial" w:cs="Arial" w:eastAsia="Arial" w:hAnsi="Arial"/>
          <w:sz w:val="17"/>
          <w:szCs w:val="17"/>
          <w:color w:val="auto"/>
        </w:rPr>
        <w:t>challenges enforcing our contractual and intellectual property rights, especially in those foreign countries that do not respect and protect intellectual property rights to the same extent as the United States;</w:t>
      </w:r>
    </w:p>
    <w:p>
      <w:pPr>
        <w:spacing w:after="0" w:line="163" w:lineRule="exact"/>
        <w:rPr>
          <w:sz w:val="20"/>
          <w:szCs w:val="20"/>
          <w:color w:val="auto"/>
        </w:rPr>
      </w:pPr>
    </w:p>
    <w:p>
      <w:pPr>
        <w:ind w:left="980" w:right="480" w:hanging="329"/>
        <w:spacing w:after="0" w:line="235" w:lineRule="auto"/>
        <w:tabs>
          <w:tab w:leader="none" w:pos="9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 and in the health care policies of foreign jurisdictions;</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196" w:lineRule="exact"/>
        <w:rPr>
          <w:rFonts w:ascii="Arial" w:cs="Arial" w:eastAsia="Arial" w:hAnsi="Arial"/>
          <w:sz w:val="17"/>
          <w:szCs w:val="17"/>
          <w:color w:val="auto"/>
        </w:rPr>
      </w:pPr>
    </w:p>
    <w:p>
      <w:pPr>
        <w:ind w:left="940" w:hanging="289"/>
        <w:spacing w:after="0"/>
        <w:tabs>
          <w:tab w:leader="none" w:pos="9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196" w:lineRule="exact"/>
        <w:rPr>
          <w:rFonts w:ascii="Arial" w:cs="Arial" w:eastAsia="Arial" w:hAnsi="Arial"/>
          <w:sz w:val="17"/>
          <w:szCs w:val="17"/>
          <w:color w:val="auto"/>
        </w:rPr>
      </w:pPr>
    </w:p>
    <w:p>
      <w:pPr>
        <w:ind w:left="940" w:hanging="289"/>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84" w:lineRule="exact"/>
        <w:rPr>
          <w:rFonts w:ascii="Arial" w:cs="Arial" w:eastAsia="Arial" w:hAnsi="Arial"/>
          <w:sz w:val="18"/>
          <w:szCs w:val="18"/>
          <w:color w:val="auto"/>
        </w:rPr>
      </w:pPr>
    </w:p>
    <w:p>
      <w:pPr>
        <w:ind w:left="980" w:right="340" w:hanging="329"/>
        <w:spacing w:after="0" w:line="235" w:lineRule="auto"/>
        <w:tabs>
          <w:tab w:leader="none" w:pos="9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right="319" w:hanging="329"/>
        <w:spacing w:after="0" w:line="235" w:lineRule="auto"/>
        <w:tabs>
          <w:tab w:leader="none" w:pos="9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 and worker rights tend to be stronger;</w:t>
      </w:r>
    </w:p>
    <w:p>
      <w:pPr>
        <w:spacing w:after="0" w:line="161" w:lineRule="exact"/>
        <w:rPr>
          <w:rFonts w:ascii="Arial" w:cs="Arial" w:eastAsia="Arial" w:hAnsi="Arial"/>
          <w:sz w:val="18"/>
          <w:szCs w:val="18"/>
          <w:color w:val="auto"/>
        </w:rPr>
      </w:pPr>
    </w:p>
    <w:p>
      <w:pPr>
        <w:ind w:left="980" w:right="559" w:hanging="329"/>
        <w:spacing w:after="0" w:line="258" w:lineRule="auto"/>
        <w:tabs>
          <w:tab w:leader="none" w:pos="935"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costs of compliance with U.S. laws and regulations for foreign operations, including the Foreign Corrupt Practices Act or comparable foreign regulations, and the risks and costs of noncompliance;</w:t>
      </w:r>
    </w:p>
    <w:p>
      <w:pPr>
        <w:spacing w:after="0" w:line="146" w:lineRule="exact"/>
        <w:rPr>
          <w:rFonts w:ascii="Arial" w:cs="Arial" w:eastAsia="Arial" w:hAnsi="Arial"/>
          <w:sz w:val="17"/>
          <w:szCs w:val="17"/>
          <w:color w:val="auto"/>
        </w:rPr>
      </w:pPr>
    </w:p>
    <w:p>
      <w:pPr>
        <w:ind w:left="980" w:right="419" w:hanging="329"/>
        <w:spacing w:after="0" w:line="235" w:lineRule="auto"/>
        <w:tabs>
          <w:tab w:leader="none" w:pos="9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61" w:lineRule="exact"/>
        <w:rPr>
          <w:rFonts w:ascii="Arial" w:cs="Arial" w:eastAsia="Arial" w:hAnsi="Arial"/>
          <w:sz w:val="18"/>
          <w:szCs w:val="18"/>
          <w:color w:val="auto"/>
        </w:rPr>
      </w:pPr>
    </w:p>
    <w:p>
      <w:pPr>
        <w:ind w:left="980" w:right="479" w:hanging="329"/>
        <w:spacing w:after="0" w:line="235" w:lineRule="auto"/>
        <w:tabs>
          <w:tab w:leader="none" w:pos="9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62" w:lineRule="exact"/>
        <w:rPr>
          <w:sz w:val="20"/>
          <w:szCs w:val="20"/>
          <w:color w:val="auto"/>
        </w:rPr>
      </w:pPr>
    </w:p>
    <w:p>
      <w:pPr>
        <w:ind w:right="379" w:firstLine="648"/>
        <w:spacing w:after="0" w:line="235"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ability to attain or maintain profitable operations.</w:t>
      </w:r>
    </w:p>
    <w:p>
      <w:pPr>
        <w:spacing w:after="0" w:line="162" w:lineRule="exact"/>
        <w:rPr>
          <w:sz w:val="20"/>
          <w:szCs w:val="20"/>
          <w:color w:val="auto"/>
        </w:rPr>
      </w:pPr>
    </w:p>
    <w:p>
      <w:pPr>
        <w:ind w:right="319"/>
        <w:spacing w:after="0" w:line="289" w:lineRule="auto"/>
        <w:rPr>
          <w:sz w:val="20"/>
          <w:szCs w:val="20"/>
          <w:color w:val="auto"/>
        </w:rPr>
      </w:pPr>
      <w:r>
        <w:rPr>
          <w:rFonts w:ascii="Arial" w:cs="Arial" w:eastAsia="Arial" w:hAnsi="Arial"/>
          <w:sz w:val="16"/>
          <w:szCs w:val="16"/>
          <w:b w:val="1"/>
          <w:bCs w:val="1"/>
          <w:i w:val="1"/>
          <w:iCs w:val="1"/>
          <w:color w:val="auto"/>
        </w:rPr>
        <w:t>We will need to obtain FDA approval (and that of comparable foreign regulatory authorities) of any proposed product names, and any failure or delay associated with such approval may adversely affect our business.</w:t>
      </w:r>
    </w:p>
    <w:p>
      <w:pPr>
        <w:spacing w:after="0" w:line="124" w:lineRule="exact"/>
        <w:rPr>
          <w:sz w:val="20"/>
          <w:szCs w:val="20"/>
          <w:color w:val="auto"/>
        </w:rPr>
      </w:pPr>
    </w:p>
    <w:p>
      <w:pPr>
        <w:ind w:right="19" w:firstLine="648"/>
        <w:spacing w:after="0" w:line="236" w:lineRule="auto"/>
        <w:rPr>
          <w:sz w:val="20"/>
          <w:szCs w:val="20"/>
          <w:color w:val="auto"/>
        </w:rPr>
      </w:pPr>
      <w:r>
        <w:rPr>
          <w:rFonts w:ascii="Arial" w:cs="Arial" w:eastAsia="Arial" w:hAnsi="Arial"/>
          <w:sz w:val="16"/>
          <w:szCs w:val="16"/>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89" w:lineRule="exact"/>
        <w:rPr>
          <w:sz w:val="20"/>
          <w:szCs w:val="20"/>
          <w:color w:val="auto"/>
        </w:rPr>
      </w:pPr>
    </w:p>
    <w:p>
      <w:pPr>
        <w:ind w:right="79"/>
        <w:spacing w:after="0" w:line="324" w:lineRule="auto"/>
        <w:rPr>
          <w:sz w:val="20"/>
          <w:szCs w:val="20"/>
          <w:color w:val="auto"/>
        </w:rPr>
      </w:pPr>
      <w:r>
        <w:rPr>
          <w:rFonts w:ascii="Arial" w:cs="Arial" w:eastAsia="Arial" w:hAnsi="Arial"/>
          <w:sz w:val="15"/>
          <w:szCs w:val="15"/>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02" w:lineRule="exact"/>
        <w:rPr>
          <w:sz w:val="20"/>
          <w:szCs w:val="20"/>
          <w:color w:val="auto"/>
        </w:rPr>
      </w:pPr>
    </w:p>
    <w:p>
      <w:pPr>
        <w:ind w:right="79" w:firstLine="648"/>
        <w:spacing w:after="0" w:line="223"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pain and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8" w:lineRule="exact"/>
        <w:rPr>
          <w:sz w:val="20"/>
          <w:szCs w:val="20"/>
          <w:color w:val="auto"/>
        </w:rPr>
      </w:pPr>
    </w:p>
    <w:p>
      <w:pPr>
        <w:ind w:right="19" w:firstLine="648"/>
        <w:spacing w:after="0" w:line="226" w:lineRule="auto"/>
        <w:rPr>
          <w:sz w:val="20"/>
          <w:szCs w:val="20"/>
          <w:color w:val="auto"/>
        </w:rPr>
      </w:pPr>
      <w:r>
        <w:rPr>
          <w:rFonts w:ascii="Arial" w:cs="Arial" w:eastAsia="Arial" w:hAnsi="Arial"/>
          <w:sz w:val="17"/>
          <w:szCs w:val="17"/>
          <w:color w:val="auto"/>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Alder Biopharmaceuticals, Inc.; Alkermes plc; Allergan plc; Amgen Inc.; Carbylan Therapeutics, Inc.; Eli Lilly and Company; Flexion Therapeutics, Inc.; Grunenthal GmbH; Janssen Research &amp; Development, LLC; Levolta Pharmaceuticals, Inc.; Otsuka Pharmaceutical Co. Ltd.; OPKO Health, Inc.; Acadia Pharmaceuticals, Inc.; and Intra-Cellular Therapies, Inc.</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Our commercial opportunities could be reduced or eliminated if our competitors develop and commercialize products that are safer,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w:t>
      </w:r>
      <w:r>
        <w:rPr>
          <w:rFonts w:ascii="MS PGothic" w:cs="MS PGothic" w:eastAsia="MS PGothic" w:hAnsi="MS PGothic"/>
          <w:sz w:val="17"/>
          <w:szCs w:val="17"/>
          <w:color w:val="auto"/>
        </w:rPr>
        <w:t>‑</w:t>
      </w:r>
      <w:r>
        <w:rPr>
          <w:rFonts w:ascii="Arial" w:cs="Arial" w:eastAsia="Arial" w:hAnsi="Arial"/>
          <w:sz w:val="17"/>
          <w:szCs w:val="17"/>
          <w:color w:val="auto"/>
        </w:rPr>
        <w:t>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168" w:lineRule="exact"/>
        <w:rPr>
          <w:sz w:val="20"/>
          <w:szCs w:val="20"/>
          <w:color w:val="auto"/>
        </w:rPr>
      </w:pPr>
    </w:p>
    <w:p>
      <w:pPr>
        <w:ind w:right="60" w:firstLine="648"/>
        <w:spacing w:after="0" w:line="184" w:lineRule="exact"/>
        <w:rPr>
          <w:sz w:val="20"/>
          <w:szCs w:val="20"/>
          <w:color w:val="auto"/>
        </w:rPr>
      </w:pPr>
      <w:r>
        <w:rPr>
          <w:rFonts w:ascii="Arial" w:cs="Arial" w:eastAsia="Arial" w:hAnsi="Arial"/>
          <w:sz w:val="16"/>
          <w:szCs w:val="16"/>
          <w:color w:val="auto"/>
        </w:rPr>
        <w:t>We are not aware of any generic products currently available on the market that are approved for the specific indications that we are pursuing; however, generic forms of the active ingredients of our product candidates, including zoledronic acid, DM, and bupropion, are available and could be used off</w:t>
      </w:r>
      <w:r>
        <w:rPr>
          <w:rFonts w:ascii="MS PGothic" w:cs="MS PGothic" w:eastAsia="MS PGothic" w:hAnsi="MS PGothic"/>
          <w:sz w:val="16"/>
          <w:szCs w:val="16"/>
          <w:color w:val="auto"/>
        </w:rPr>
        <w:t>‑</w:t>
      </w:r>
      <w:r>
        <w:rPr>
          <w:rFonts w:ascii="Arial" w:cs="Arial" w:eastAsia="Arial" w:hAnsi="Arial"/>
          <w:sz w:val="16"/>
          <w:szCs w:val="16"/>
          <w:color w:val="auto"/>
        </w:rPr>
        <w:t>label. Any such off</w:t>
      </w:r>
      <w:r>
        <w:rPr>
          <w:rFonts w:ascii="MS PGothic" w:cs="MS PGothic" w:eastAsia="MS PGothic" w:hAnsi="MS PGothic"/>
          <w:sz w:val="16"/>
          <w:szCs w:val="16"/>
          <w:color w:val="auto"/>
        </w:rPr>
        <w:t>‑</w:t>
      </w:r>
      <w:r>
        <w:rPr>
          <w:rFonts w:ascii="Arial" w:cs="Arial" w:eastAsia="Arial" w:hAnsi="Arial"/>
          <w:sz w:val="16"/>
          <w:szCs w:val="16"/>
          <w:color w:val="auto"/>
        </w:rPr>
        <w:t>label use could adversely affect our profitability and have a negative effect on our operating results and financial condition. For example, even though zoledronic acid is not currently approved for the treatment of pain, we would not be able to prevent a physician from prescribing zoledronic acid in intravenous form for such treatment. Nor could we prevent a payor from offering favorable coverage for such product and disadvantaging our product candidates, even if the generics would be used off-label.</w:t>
      </w:r>
    </w:p>
    <w:p>
      <w:pPr>
        <w:spacing w:after="0" w:line="163"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 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67" w:lineRule="exact"/>
        <w:rPr>
          <w:sz w:val="20"/>
          <w:szCs w:val="20"/>
          <w:color w:val="auto"/>
        </w:rPr>
      </w:pPr>
    </w:p>
    <w:p>
      <w:pPr>
        <w:jc w:val="both"/>
        <w:ind w:right="160"/>
        <w:spacing w:after="0" w:line="284" w:lineRule="auto"/>
        <w:rPr>
          <w:sz w:val="20"/>
          <w:szCs w:val="20"/>
          <w:color w:val="auto"/>
        </w:rPr>
      </w:pPr>
      <w:r>
        <w:rPr>
          <w:rFonts w:ascii="Arial" w:cs="Arial" w:eastAsia="Arial" w:hAnsi="Arial"/>
          <w:sz w:val="15"/>
          <w:szCs w:val="15"/>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data exclusivity before approving generic or similar versions of our products, the sales of our products could be adversely affected.</w:t>
      </w:r>
    </w:p>
    <w:p>
      <w:pPr>
        <w:spacing w:after="0" w:line="130"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w:t>
      </w:r>
      <w:r>
        <w:rPr>
          <w:rFonts w:ascii="MS PGothic" w:cs="MS PGothic" w:eastAsia="MS PGothic" w:hAnsi="MS PGothic"/>
          <w:sz w:val="17"/>
          <w:szCs w:val="17"/>
          <w:color w:val="auto"/>
        </w:rPr>
        <w:t>‑</w:t>
      </w:r>
      <w:r>
        <w:rPr>
          <w:rFonts w:ascii="Arial" w:cs="Arial" w:eastAsia="Arial" w:hAnsi="Arial"/>
          <w:sz w:val="17"/>
          <w:szCs w:val="17"/>
          <w:color w:val="auto"/>
        </w:rPr>
        <w:t>party payors. Thus, following the introduction of a generic drug, a significant percentage of the sales of any branded product or reference listed drug is typically lost to the generic product.</w:t>
      </w:r>
    </w:p>
    <w:p>
      <w:pPr>
        <w:spacing w:after="0" w:line="167" w:lineRule="exact"/>
        <w:rPr>
          <w:sz w:val="20"/>
          <w:szCs w:val="20"/>
          <w:color w:val="auto"/>
        </w:rPr>
      </w:pPr>
    </w:p>
    <w:p>
      <w:pPr>
        <w:ind w:right="80" w:firstLine="648"/>
        <w:spacing w:after="0" w:line="249" w:lineRule="auto"/>
        <w:rPr>
          <w:sz w:val="20"/>
          <w:szCs w:val="20"/>
          <w:color w:val="auto"/>
        </w:rPr>
      </w:pPr>
      <w:r>
        <w:rPr>
          <w:rFonts w:ascii="Arial" w:cs="Arial" w:eastAsia="Arial" w:hAnsi="Arial"/>
          <w:sz w:val="16"/>
          <w:szCs w:val="16"/>
          <w:color w:val="auto"/>
        </w:rPr>
        <w:t>Moreover, in addition to generic competition, we could face competition from other companies seeking approval of drug products that are similar to ours using the 505(b)(2) pathway. Such applicants may be able to rely on our product candidates, if approved, or other approved drug products or published literature to develop drug products that are similar to ours. The introduction of a drug product similar to our product candidates could expose us to increased competition.</w:t>
      </w:r>
    </w:p>
    <w:p>
      <w:pPr>
        <w:spacing w:after="0" w:line="155" w:lineRule="exact"/>
        <w:rPr>
          <w:sz w:val="20"/>
          <w:szCs w:val="20"/>
          <w:color w:val="auto"/>
        </w:rPr>
      </w:pPr>
    </w:p>
    <w:p>
      <w:pPr>
        <w:ind w:right="200" w:firstLine="648"/>
        <w:spacing w:after="0" w:line="203" w:lineRule="exact"/>
        <w:rPr>
          <w:sz w:val="20"/>
          <w:szCs w:val="20"/>
          <w:color w:val="auto"/>
        </w:rPr>
      </w:pPr>
      <w:r>
        <w:rPr>
          <w:rFonts w:ascii="Arial" w:cs="Arial" w:eastAsia="Arial" w:hAnsi="Arial"/>
          <w:sz w:val="17"/>
          <w:szCs w:val="17"/>
          <w:color w:val="auto"/>
        </w:rPr>
        <w:t>Further, if we do not file a patent infringement lawsuit against a generic manufacturer within 45 days of receiving notice of its paragraph IV certification, the ANDA or 505(b)(2) applicant would not be subject to a 30</w:t>
      </w:r>
      <w:r>
        <w:rPr>
          <w:rFonts w:ascii="MS PGothic" w:cs="MS PGothic" w:eastAsia="MS PGothic" w:hAnsi="MS PGothic"/>
          <w:sz w:val="17"/>
          <w:szCs w:val="17"/>
          <w:color w:val="auto"/>
        </w:rPr>
        <w:t>‑</w:t>
      </w:r>
      <w:r>
        <w:rPr>
          <w:rFonts w:ascii="Arial" w:cs="Arial" w:eastAsia="Arial" w:hAnsi="Arial"/>
          <w:sz w:val="17"/>
          <w:szCs w:val="17"/>
          <w:color w:val="auto"/>
        </w:rPr>
        <w:t>month</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upon approval of our product candidates we may be subject to generic competition or competition from similar products, or may need to commence patent infringement proceedings, which would divert our resources.</w:t>
      </w:r>
    </w:p>
    <w:p>
      <w:pPr>
        <w:spacing w:after="0" w:line="161" w:lineRule="exact"/>
        <w:rPr>
          <w:sz w:val="20"/>
          <w:szCs w:val="20"/>
          <w:color w:val="auto"/>
        </w:rPr>
      </w:pPr>
    </w:p>
    <w:p>
      <w:pPr>
        <w:ind w:firstLine="648"/>
        <w:spacing w:after="0" w:line="183" w:lineRule="exact"/>
        <w:rPr>
          <w:sz w:val="20"/>
          <w:szCs w:val="20"/>
          <w:color w:val="auto"/>
        </w:rPr>
      </w:pPr>
      <w:r>
        <w:rPr>
          <w:rFonts w:ascii="Arial" w:cs="Arial" w:eastAsia="Arial" w:hAnsi="Arial"/>
          <w:sz w:val="18"/>
          <w:szCs w:val="18"/>
          <w:color w:val="auto"/>
        </w:rPr>
        <w:t>We currently anticipate that we may be eligible for three years of non</w:t>
      </w:r>
      <w:r>
        <w:rPr>
          <w:rFonts w:ascii="MS PGothic" w:cs="MS PGothic" w:eastAsia="MS PGothic" w:hAnsi="MS PGothic"/>
          <w:sz w:val="18"/>
          <w:szCs w:val="18"/>
          <w:color w:val="auto"/>
        </w:rPr>
        <w:t>‑</w:t>
      </w:r>
      <w:r>
        <w:rPr>
          <w:rFonts w:ascii="Arial" w:cs="Arial" w:eastAsia="Arial" w:hAnsi="Arial"/>
          <w:sz w:val="18"/>
          <w:szCs w:val="18"/>
          <w:color w:val="auto"/>
        </w:rPr>
        <w:t>patent marketing exclusivity in the United States for our product candidates if they are approved. These three years, however, would only protect our modifications in formulation or approved uses in comparison to the reference listed drug and would not prevent other companies from submitting full NDAs, and would not prevent physicians from prescribing other products off-label or third party payors from reimbursing for them. Moreover, a 505(b)(2) applicant could rely on a reference listed drug that is not one of our product candidates, or published literature, in which case any periods of patent or non</w:t>
      </w:r>
      <w:r>
        <w:rPr>
          <w:rFonts w:ascii="MS PGothic" w:cs="MS PGothic" w:eastAsia="MS PGothic" w:hAnsi="MS PGothic"/>
          <w:sz w:val="18"/>
          <w:szCs w:val="18"/>
          <w:color w:val="auto"/>
        </w:rPr>
        <w:t>‑</w:t>
      </w:r>
      <w:r>
        <w:rPr>
          <w:rFonts w:ascii="Arial" w:cs="Arial" w:eastAsia="Arial" w:hAnsi="Arial"/>
          <w:sz w:val="18"/>
          <w:szCs w:val="18"/>
          <w:color w:val="auto"/>
        </w:rPr>
        <w:t>patent protection may not prevent FDA making an approval effective.</w:t>
      </w:r>
    </w:p>
    <w:p>
      <w:pPr>
        <w:spacing w:after="0" w:line="165" w:lineRule="exact"/>
        <w:rPr>
          <w:sz w:val="20"/>
          <w:szCs w:val="20"/>
          <w:color w:val="auto"/>
        </w:rPr>
      </w:pPr>
    </w:p>
    <w:p>
      <w:pPr>
        <w:ind w:right="160" w:firstLine="648"/>
        <w:spacing w:after="0" w:line="224" w:lineRule="auto"/>
        <w:rPr>
          <w:sz w:val="20"/>
          <w:szCs w:val="20"/>
          <w:color w:val="auto"/>
        </w:rPr>
      </w:pPr>
      <w:r>
        <w:rPr>
          <w:rFonts w:ascii="Arial" w:cs="Arial" w:eastAsia="Arial" w:hAnsi="Arial"/>
          <w:sz w:val="18"/>
          <w:szCs w:val="18"/>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those product candidates.</w:t>
      </w:r>
    </w:p>
    <w:p>
      <w:pPr>
        <w:spacing w:after="0" w:line="163" w:lineRule="exact"/>
        <w:rPr>
          <w:sz w:val="20"/>
          <w:szCs w:val="20"/>
          <w:color w:val="auto"/>
        </w:rPr>
      </w:pPr>
    </w:p>
    <w:p>
      <w:pPr>
        <w:ind w:right="360"/>
        <w:spacing w:after="0" w:line="194" w:lineRule="exact"/>
        <w:rPr>
          <w:sz w:val="20"/>
          <w:szCs w:val="20"/>
          <w:color w:val="auto"/>
        </w:rPr>
      </w:pPr>
      <w:r>
        <w:rPr>
          <w:rFonts w:ascii="Arial" w:cs="Arial" w:eastAsia="Arial" w:hAnsi="Arial"/>
          <w:sz w:val="15"/>
          <w:szCs w:val="15"/>
          <w:b w:val="1"/>
          <w:bCs w:val="1"/>
          <w:i w:val="1"/>
          <w:iCs w:val="1"/>
          <w:color w:val="auto"/>
        </w:rPr>
        <w:t>AXS</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02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spacing w:after="0" w:line="163" w:lineRule="exact"/>
        <w:rPr>
          <w:sz w:val="20"/>
          <w:szCs w:val="20"/>
          <w:color w:val="auto"/>
        </w:rPr>
      </w:pPr>
    </w:p>
    <w:p>
      <w:pPr>
        <w:ind w:right="240" w:firstLine="648"/>
        <w:spacing w:after="0" w:line="203" w:lineRule="exact"/>
        <w:rPr>
          <w:sz w:val="20"/>
          <w:szCs w:val="20"/>
          <w:color w:val="auto"/>
        </w:rPr>
      </w:pPr>
      <w:r>
        <w:rPr>
          <w:rFonts w:ascii="Arial" w:cs="Arial" w:eastAsia="Arial" w:hAnsi="Arial"/>
          <w:sz w:val="17"/>
          <w:szCs w:val="17"/>
          <w:color w:val="auto"/>
        </w:rPr>
        <w:t>AXS</w:t>
      </w:r>
      <w:r>
        <w:rPr>
          <w:rFonts w:ascii="MS PGothic" w:cs="MS PGothic" w:eastAsia="MS PGothic" w:hAnsi="MS PGothic"/>
          <w:sz w:val="17"/>
          <w:szCs w:val="17"/>
          <w:color w:val="auto"/>
        </w:rPr>
        <w:t>‑</w:t>
      </w:r>
      <w:r>
        <w:rPr>
          <w:rFonts w:ascii="Arial" w:cs="Arial" w:eastAsia="Arial" w:hAnsi="Arial"/>
          <w:sz w:val="17"/>
          <w:szCs w:val="17"/>
          <w:color w:val="auto"/>
        </w:rPr>
        <w:t>02 received Orphan Drug Designation from the FDA for the treatment of CRPS. Although we are no longer pursuing CRPS, we may also seek Orphan Drug Designation for our other product candidates, as appropriate.</w:t>
      </w:r>
    </w:p>
    <w:p>
      <w:pPr>
        <w:spacing w:after="0" w:line="162"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color w:val="auto"/>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62" w:lineRule="exact"/>
        <w:rPr>
          <w:sz w:val="20"/>
          <w:szCs w:val="20"/>
          <w:color w:val="auto"/>
        </w:rPr>
      </w:pPr>
    </w:p>
    <w:p>
      <w:pPr>
        <w:ind w:right="60" w:firstLine="648"/>
        <w:spacing w:after="0" w:line="181" w:lineRule="exact"/>
        <w:rPr>
          <w:sz w:val="20"/>
          <w:szCs w:val="20"/>
          <w:color w:val="auto"/>
        </w:rPr>
      </w:pPr>
      <w:r>
        <w:rPr>
          <w:rFonts w:ascii="Arial" w:cs="Arial" w:eastAsia="Arial" w:hAnsi="Arial"/>
          <w:sz w:val="16"/>
          <w:szCs w:val="16"/>
          <w:color w:val="auto"/>
        </w:rPr>
        <w:t>The FDA or the EMA may grant orphan exclusivity to two different sponsors for the same compound or active molecule and for the same indication. For example, subsequent to our Orphan Drug Designation, the FDA granted Orphan Drug Designation to Thar Pharmaceuticals, Inc. for a zoledronic acid</w:t>
      </w:r>
      <w:r>
        <w:rPr>
          <w:rFonts w:ascii="MS PGothic" w:cs="MS PGothic" w:eastAsia="MS PGothic" w:hAnsi="MS PGothic"/>
          <w:sz w:val="16"/>
          <w:szCs w:val="16"/>
          <w:color w:val="auto"/>
        </w:rPr>
        <w:t>‑</w:t>
      </w:r>
      <w:r>
        <w:rPr>
          <w:rFonts w:ascii="Arial" w:cs="Arial" w:eastAsia="Arial" w:hAnsi="Arial"/>
          <w:sz w:val="16"/>
          <w:szCs w:val="16"/>
          <w:color w:val="auto"/>
        </w:rPr>
        <w:t>containing product for the treatment of CRPS. Thar Pharmaceuticals was subsequently acquired by Grunenthal GmbH. Although we are no longer pursuing CRPS, if Grunenthal GmbH or another sponsor had received FDA approval for a zoledronic acid</w:t>
      </w:r>
      <w:r>
        <w:rPr>
          <w:rFonts w:ascii="MS PGothic" w:cs="MS PGothic" w:eastAsia="MS PGothic" w:hAnsi="MS PGothic"/>
          <w:sz w:val="16"/>
          <w:szCs w:val="16"/>
          <w:color w:val="auto"/>
        </w:rPr>
        <w:t>‑</w:t>
      </w:r>
      <w:r>
        <w:rPr>
          <w:rFonts w:ascii="Arial" w:cs="Arial" w:eastAsia="Arial" w:hAnsi="Arial"/>
          <w:sz w:val="16"/>
          <w:szCs w:val="16"/>
          <w:color w:val="auto"/>
        </w:rPr>
        <w:t>containing product for the treatment of CRPS before we had obtained FDA approval for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pain associated with CRPS, we would have been prevented from launching our product in the United States for this indication for a period of at least 7 years. If another sponsor had received EMA approval for a zoledronic acid</w:t>
      </w:r>
      <w:r>
        <w:rPr>
          <w:rFonts w:ascii="MS PGothic" w:cs="MS PGothic" w:eastAsia="MS PGothic" w:hAnsi="MS PGothic"/>
          <w:sz w:val="16"/>
          <w:szCs w:val="16"/>
          <w:color w:val="auto"/>
        </w:rPr>
        <w:t>‑</w:t>
      </w:r>
      <w:r>
        <w:rPr>
          <w:rFonts w:ascii="Arial" w:cs="Arial" w:eastAsia="Arial" w:hAnsi="Arial"/>
          <w:sz w:val="16"/>
          <w:szCs w:val="16"/>
          <w:color w:val="auto"/>
        </w:rPr>
        <w:t>containing product for the treatment of CRPS before we had obtained EMA approval for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pain associated with CRPS, we would have been prevented from launching our product in the European Union for this indication for a period of at least 10 to 12 years.</w:t>
      </w:r>
    </w:p>
    <w:p>
      <w:pPr>
        <w:spacing w:after="0" w:line="163" w:lineRule="exact"/>
        <w:rPr>
          <w:sz w:val="20"/>
          <w:szCs w:val="20"/>
          <w:color w:val="auto"/>
        </w:rPr>
      </w:pPr>
    </w:p>
    <w:p>
      <w:pPr>
        <w:jc w:val="both"/>
        <w:ind w:right="80" w:firstLine="648"/>
        <w:spacing w:after="0" w:line="229" w:lineRule="auto"/>
        <w:rPr>
          <w:sz w:val="20"/>
          <w:szCs w:val="20"/>
          <w:color w:val="auto"/>
        </w:rPr>
      </w:pPr>
      <w:r>
        <w:rPr>
          <w:rFonts w:ascii="Arial" w:cs="Arial" w:eastAsia="Arial" w:hAnsi="Arial"/>
          <w:sz w:val="17"/>
          <w:szCs w:val="17"/>
          <w:color w:val="auto"/>
        </w:rPr>
        <w:t>In response to a recent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99"/>
        <w:spacing w:after="0" w:line="324" w:lineRule="auto"/>
        <w:rPr>
          <w:sz w:val="20"/>
          <w:szCs w:val="20"/>
          <w:color w:val="auto"/>
        </w:rPr>
      </w:pPr>
      <w:r>
        <w:rPr>
          <w:rFonts w:ascii="Arial" w:cs="Arial" w:eastAsia="Arial" w:hAnsi="Arial"/>
          <w:sz w:val="15"/>
          <w:szCs w:val="15"/>
          <w:b w:val="1"/>
          <w:bCs w:val="1"/>
          <w:i w:val="1"/>
          <w:iCs w:val="1"/>
          <w:color w:val="auto"/>
        </w:rPr>
        <w:t>If we are unable to establish effective marketing and sales capabilities or enter into agreements with third parties to market and sell our product candidates, if they are approved, we may be unable to generate product revenues.</w:t>
      </w:r>
    </w:p>
    <w:p>
      <w:pPr>
        <w:spacing w:after="0" w:line="102" w:lineRule="exact"/>
        <w:rPr>
          <w:sz w:val="20"/>
          <w:szCs w:val="20"/>
          <w:color w:val="auto"/>
        </w:rPr>
      </w:pPr>
    </w:p>
    <w:p>
      <w:pPr>
        <w:ind w:right="39" w:firstLine="648"/>
        <w:spacing w:after="0" w:line="182" w:lineRule="exact"/>
        <w:rPr>
          <w:sz w:val="20"/>
          <w:szCs w:val="20"/>
          <w:color w:val="auto"/>
        </w:rPr>
      </w:pPr>
      <w:r>
        <w:rPr>
          <w:rFonts w:ascii="Arial" w:cs="Arial" w:eastAsia="Arial" w:hAnsi="Arial"/>
          <w:sz w:val="17"/>
          <w:szCs w:val="17"/>
          <w:color w:val="auto"/>
        </w:rPr>
        <w:t>We currently do not have a commercial infrastructure for the marketing, sale, and distribution of pharmaceutical products. If approved, in order to commercialize our products, we must build our marketing, sales, and distribution capabilities or make arrangements with third parties to perform these services. We may not be successful in doing so. If one of our product candidates is approved by the FDA, we plan to build a commercial infrastructure, including the creation of a specialty sales force to launch that product candidate throughout the United States. In the future, we may seek to further penetrate the U.S. market by expanding our sales force or through collaborations with other pharmaceutical or biotechnology companies or third</w:t>
      </w:r>
      <w:r>
        <w:rPr>
          <w:rFonts w:ascii="MS PGothic" w:cs="MS PGothic" w:eastAsia="MS PGothic" w:hAnsi="MS PGothic"/>
          <w:sz w:val="17"/>
          <w:szCs w:val="17"/>
          <w:color w:val="auto"/>
        </w:rPr>
        <w:t>‑</w:t>
      </w:r>
      <w:r>
        <w:rPr>
          <w:rFonts w:ascii="Arial" w:cs="Arial" w:eastAsia="Arial" w:hAnsi="Arial"/>
          <w:sz w:val="17"/>
          <w:szCs w:val="17"/>
          <w:color w:val="auto"/>
        </w:rPr>
        <w:t>party manufacturing and sales organizations. If approved for marketing outside the United States, we intend to commercialize our product candidates outside the United States with a marketing and sales collaborator or collaborators, rather than with our own sales force.</w:t>
      </w:r>
    </w:p>
    <w:p>
      <w:pPr>
        <w:spacing w:after="0" w:line="162" w:lineRule="exact"/>
        <w:rPr>
          <w:sz w:val="20"/>
          <w:szCs w:val="20"/>
          <w:color w:val="auto"/>
        </w:rPr>
      </w:pPr>
    </w:p>
    <w:p>
      <w:pPr>
        <w:ind w:right="19" w:firstLine="648"/>
        <w:spacing w:after="0" w:line="223" w:lineRule="auto"/>
        <w:rPr>
          <w:sz w:val="20"/>
          <w:szCs w:val="20"/>
          <w:color w:val="auto"/>
        </w:rPr>
      </w:pPr>
      <w:r>
        <w:rPr>
          <w:rFonts w:ascii="Arial" w:cs="Arial" w:eastAsia="Arial" w:hAnsi="Arial"/>
          <w:sz w:val="17"/>
          <w:szCs w:val="17"/>
          <w:color w:val="auto"/>
        </w:rPr>
        <w:t>We have no prior experience in the marketing, sale, and distribution of pharmaceutical products, and there are significant risks involved in the building and managing of a commercial infrastructure. The establishment and development of our own sales force and related compliance plans to market any products we may develop will be expensive and time consuming and could delay any product launch, and we may not be able to successfully develop this capability. We, or our future collaborators, will have to compete with other pharmaceutical and biotechnology companies to recruit, hire, train, manage, and retain marketing and sales personnel. In the event we are unable to develop a marketing and sales infrastructure, we may not be able to commercialize any of our current or future product candidates, which would limit our ability to generate product revenues. Factors that may inhibit our efforts to commercialize any of our current or future product candidates on our own include:</w:t>
      </w:r>
    </w:p>
    <w:p>
      <w:pPr>
        <w:spacing w:after="0" w:line="162" w:lineRule="exact"/>
        <w:rPr>
          <w:sz w:val="20"/>
          <w:szCs w:val="20"/>
          <w:color w:val="auto"/>
        </w:rPr>
      </w:pPr>
    </w:p>
    <w:p>
      <w:pPr>
        <w:ind w:left="940" w:hanging="289"/>
        <w:spacing w:after="0"/>
        <w:tabs>
          <w:tab w:leader="none" w:pos="9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inability to recruit, train, manage, and retain adequate numbers of effective sales and marketing personnel;</w:t>
      </w:r>
    </w:p>
    <w:p>
      <w:pPr>
        <w:spacing w:after="0" w:line="207" w:lineRule="exact"/>
        <w:rPr>
          <w:rFonts w:ascii="Arial" w:cs="Arial" w:eastAsia="Arial" w:hAnsi="Arial"/>
          <w:sz w:val="16"/>
          <w:szCs w:val="16"/>
          <w:color w:val="auto"/>
        </w:rPr>
      </w:pPr>
    </w:p>
    <w:p>
      <w:pPr>
        <w:ind w:left="980" w:right="319" w:hanging="329"/>
        <w:spacing w:after="0" w:line="235" w:lineRule="auto"/>
        <w:tabs>
          <w:tab w:leader="none" w:pos="9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of our current or future product candidates;</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inability to effectively oversee a geographically dispersed sales and marketing team;</w:t>
      </w:r>
    </w:p>
    <w:p>
      <w:pPr>
        <w:spacing w:after="0" w:line="184" w:lineRule="exact"/>
        <w:rPr>
          <w:rFonts w:ascii="Arial" w:cs="Arial" w:eastAsia="Arial" w:hAnsi="Arial"/>
          <w:sz w:val="18"/>
          <w:szCs w:val="18"/>
          <w:color w:val="auto"/>
        </w:rPr>
      </w:pPr>
    </w:p>
    <w:p>
      <w:pPr>
        <w:ind w:left="980" w:right="39" w:hanging="329"/>
        <w:spacing w:after="0" w:line="235" w:lineRule="auto"/>
        <w:tabs>
          <w:tab w:leader="none" w:pos="9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costs associated with training sales and marketing personnel on legal and regulatory compliance matters and monitoring their actions;</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inability to secure adequate coverage and reimbursement by government and private health plans;</w:t>
      </w:r>
    </w:p>
    <w:p>
      <w:pPr>
        <w:spacing w:after="0" w:line="196" w:lineRule="exact"/>
        <w:rPr>
          <w:rFonts w:ascii="Arial" w:cs="Arial" w:eastAsia="Arial" w:hAnsi="Arial"/>
          <w:sz w:val="17"/>
          <w:szCs w:val="17"/>
          <w:color w:val="auto"/>
        </w:rPr>
      </w:pPr>
    </w:p>
    <w:p>
      <w:pPr>
        <w:ind w:left="940" w:hanging="289"/>
        <w:spacing w:after="0"/>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clinical indications and labeled claims for which the product is approved;</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limitations or warnings, including distribution or use restrictions, contained in the product’s approved labeling;</w:t>
      </w:r>
    </w:p>
    <w:p>
      <w:pPr>
        <w:spacing w:after="0" w:line="207" w:lineRule="exact"/>
        <w:rPr>
          <w:rFonts w:ascii="Arial" w:cs="Arial" w:eastAsia="Arial" w:hAnsi="Arial"/>
          <w:sz w:val="16"/>
          <w:szCs w:val="16"/>
          <w:color w:val="auto"/>
        </w:rPr>
      </w:pPr>
    </w:p>
    <w:p>
      <w:pPr>
        <w:ind w:left="980" w:right="59" w:hanging="329"/>
        <w:spacing w:after="0" w:line="235" w:lineRule="auto"/>
        <w:tabs>
          <w:tab w:leader="none" w:pos="9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distribution and use restrictions imposed by the FDA or to which we agree as part of a mandatory REMS or voluntary risk management plan;</w:t>
      </w:r>
    </w:p>
    <w:p>
      <w:pPr>
        <w:spacing w:after="0" w:line="161" w:lineRule="exact"/>
        <w:rPr>
          <w:rFonts w:ascii="Arial" w:cs="Arial" w:eastAsia="Arial" w:hAnsi="Arial"/>
          <w:sz w:val="18"/>
          <w:szCs w:val="18"/>
          <w:color w:val="auto"/>
        </w:rPr>
      </w:pPr>
    </w:p>
    <w:p>
      <w:pPr>
        <w:ind w:left="980" w:right="879" w:hanging="329"/>
        <w:spacing w:after="0" w:line="235" w:lineRule="auto"/>
        <w:tabs>
          <w:tab w:leader="none" w:pos="9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liability for sales or marketing personnel who fail to comply with the applicable legal and regulatory requirements;</w:t>
      </w:r>
    </w:p>
    <w:p>
      <w:pPr>
        <w:spacing w:after="0" w:line="161" w:lineRule="exact"/>
        <w:rPr>
          <w:rFonts w:ascii="Arial" w:cs="Arial" w:eastAsia="Arial" w:hAnsi="Arial"/>
          <w:sz w:val="18"/>
          <w:szCs w:val="18"/>
          <w:color w:val="auto"/>
        </w:rPr>
      </w:pPr>
    </w:p>
    <w:p>
      <w:pPr>
        <w:ind w:left="980" w:right="639" w:hanging="329"/>
        <w:spacing w:after="0" w:line="235" w:lineRule="auto"/>
        <w:tabs>
          <w:tab w:leader="none" w:pos="9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161" w:lineRule="exact"/>
        <w:rPr>
          <w:rFonts w:ascii="Arial" w:cs="Arial" w:eastAsia="Arial" w:hAnsi="Arial"/>
          <w:sz w:val="18"/>
          <w:szCs w:val="18"/>
          <w:color w:val="auto"/>
        </w:rPr>
      </w:pPr>
    </w:p>
    <w:p>
      <w:pPr>
        <w:ind w:left="980" w:right="399" w:hanging="329"/>
        <w:spacing w:after="0" w:line="235" w:lineRule="auto"/>
        <w:tabs>
          <w:tab w:leader="none" w:pos="9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or engaging a contract sales organization.</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40" w:firstLine="648"/>
        <w:spacing w:after="0" w:line="241" w:lineRule="auto"/>
        <w:rPr>
          <w:sz w:val="20"/>
          <w:szCs w:val="20"/>
          <w:color w:val="auto"/>
        </w:rPr>
      </w:pPr>
      <w:r>
        <w:rPr>
          <w:rFonts w:ascii="Arial" w:cs="Arial" w:eastAsia="Arial" w:hAnsi="Arial"/>
          <w:sz w:val="16"/>
          <w:szCs w:val="16"/>
          <w:color w:val="auto"/>
        </w:rPr>
        <w:t>Although our current plan is to hire most of our sales and marketing personnel only if a product candidate is approved by the FDA, we will incur expenses prior to product launch in recruiting this sales force and developing a marketing and sales infrastructure. If a commercial launch is delayed as a result of FDA requirements or other reasons, we would incur these expenses prior to being able to realize any revenue from sales of our product candidates. Even if we are able to effectively hire a sales force and develop a marketing and sales infrastructure, our sales force and marketing teams may not be successful in commercializing any of our current or future product candidates.</w:t>
      </w:r>
    </w:p>
    <w:p>
      <w:pPr>
        <w:spacing w:after="0" w:line="161"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In the event we are unable to collaborate with a third</w:t>
      </w:r>
      <w:r>
        <w:rPr>
          <w:rFonts w:ascii="MS PGothic" w:cs="MS PGothic" w:eastAsia="MS PGothic" w:hAnsi="MS PGothic"/>
          <w:sz w:val="17"/>
          <w:szCs w:val="17"/>
          <w:color w:val="auto"/>
        </w:rPr>
        <w:t>‑</w:t>
      </w:r>
      <w:r>
        <w:rPr>
          <w:rFonts w:ascii="Arial" w:cs="Arial" w:eastAsia="Arial" w:hAnsi="Arial"/>
          <w:sz w:val="17"/>
          <w:szCs w:val="17"/>
          <w:color w:val="auto"/>
        </w:rPr>
        <w:t>party marketing and sales organization to commercialize any approved product candidates outside the United States, our ability to generate product revenues may be limited. To the extent we rely on third parties to commercialize any products for which we obtain regulatory approval, we may receive less revenues than if we commercialized these products ourselves. In addition, we would have less control over the sales efforts of any other third parties involved in our commercialization efforts, and could be held liable if they failed to comply with applicable legal or regulatory requirements.</w:t>
      </w:r>
    </w:p>
    <w:p>
      <w:pPr>
        <w:spacing w:after="0" w:line="16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If any of our current or future product candidates do not achieve broad market acceptance, the revenues that we generate from their sales will be limited.</w:t>
      </w:r>
    </w:p>
    <w:p>
      <w:pPr>
        <w:spacing w:after="0" w:line="162" w:lineRule="exact"/>
        <w:rPr>
          <w:sz w:val="20"/>
          <w:szCs w:val="20"/>
          <w:color w:val="auto"/>
        </w:rPr>
      </w:pPr>
    </w:p>
    <w:p>
      <w:pPr>
        <w:ind w:right="60" w:firstLine="648"/>
        <w:spacing w:after="0" w:line="235" w:lineRule="auto"/>
        <w:rPr>
          <w:sz w:val="20"/>
          <w:szCs w:val="20"/>
          <w:color w:val="auto"/>
        </w:rPr>
      </w:pPr>
      <w:r>
        <w:rPr>
          <w:rFonts w:ascii="Arial" w:cs="Arial" w:eastAsia="Arial" w:hAnsi="Arial"/>
          <w:sz w:val="16"/>
          <w:szCs w:val="16"/>
          <w:color w:val="auto"/>
        </w:rPr>
        <w:t>We have never commercialized a product candidate for any indication. Even if any of our current or future product candidates are approved by the appropriate regulatory authorities for marketing and sale, it may not gain acceptance among physicians, patients, third-party payors, and others in the medical community. If any product candidates for which we obtain regulatory approval do not gain an adequate level of market acceptance, we may not generate significant product revenues or become profitable. Market acceptance of any of our current or future product candidates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Even if physicians prescribe our products, third party payors may not consider them cost effective without a significant price concession, which could negatively impact our revenue.</w:t>
      </w:r>
    </w:p>
    <w:p>
      <w:pPr>
        <w:spacing w:after="0" w:line="166" w:lineRule="exact"/>
        <w:rPr>
          <w:sz w:val="20"/>
          <w:szCs w:val="20"/>
          <w:color w:val="auto"/>
        </w:rPr>
      </w:pPr>
    </w:p>
    <w:p>
      <w:pPr>
        <w:ind w:right="80" w:firstLine="648"/>
        <w:spacing w:after="0" w:line="249" w:lineRule="auto"/>
        <w:rPr>
          <w:sz w:val="20"/>
          <w:szCs w:val="20"/>
          <w:color w:val="auto"/>
        </w:rPr>
      </w:pPr>
      <w:r>
        <w:rPr>
          <w:rFonts w:ascii="Arial" w:cs="Arial" w:eastAsia="Arial" w:hAnsi="Arial"/>
          <w:sz w:val="16"/>
          <w:szCs w:val="16"/>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55" w:lineRule="exact"/>
        <w:rPr>
          <w:sz w:val="20"/>
          <w:szCs w:val="20"/>
          <w:color w:val="auto"/>
        </w:rPr>
      </w:pPr>
    </w:p>
    <w:p>
      <w:pPr>
        <w:ind w:left="940" w:hanging="289"/>
        <w:spacing w:after="0"/>
        <w:tabs>
          <w:tab w:leader="none" w:pos="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efficacy of our product candidates;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such product candidate;</w:t>
      </w:r>
    </w:p>
    <w:p>
      <w:pPr>
        <w:spacing w:after="0" w:line="184" w:lineRule="exact"/>
        <w:rPr>
          <w:rFonts w:ascii="Arial" w:cs="Arial" w:eastAsia="Arial" w:hAnsi="Arial"/>
          <w:sz w:val="18"/>
          <w:szCs w:val="18"/>
          <w:color w:val="auto"/>
        </w:rPr>
      </w:pPr>
    </w:p>
    <w:p>
      <w:pPr>
        <w:ind w:left="980" w:right="340" w:hanging="329"/>
        <w:spacing w:after="0" w:line="235" w:lineRule="auto"/>
        <w:tabs>
          <w:tab w:leader="none" w:pos="9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approved claims that we may make for the product;</w:t>
      </w:r>
    </w:p>
    <w:p>
      <w:pPr>
        <w:spacing w:after="0" w:line="161" w:lineRule="exact"/>
        <w:rPr>
          <w:rFonts w:ascii="Arial" w:cs="Arial" w:eastAsia="Arial" w:hAnsi="Arial"/>
          <w:sz w:val="18"/>
          <w:szCs w:val="18"/>
          <w:color w:val="auto"/>
        </w:rPr>
      </w:pPr>
    </w:p>
    <w:p>
      <w:pPr>
        <w:ind w:left="980" w:right="340" w:hanging="329"/>
        <w:spacing w:after="0" w:line="203" w:lineRule="exact"/>
        <w:tabs>
          <w:tab w:leader="none" w:pos="935" w:val="left"/>
        </w:tabs>
        <w:numPr>
          <w:ilvl w:val="0"/>
          <w:numId w:val="41"/>
        </w:numPr>
        <w:rPr>
          <w:rFonts w:ascii="Arial" w:cs="Arial" w:eastAsia="Arial" w:hAnsi="Arial"/>
          <w:sz w:val="17"/>
          <w:szCs w:val="17"/>
          <w:color w:val="auto"/>
        </w:rPr>
      </w:pPr>
      <w:r>
        <w:rPr>
          <w:rFonts w:ascii="Arial" w:cs="Arial" w:eastAsia="Arial" w:hAnsi="Arial"/>
          <w:sz w:val="17"/>
          <w:szCs w:val="17"/>
          <w:color w:val="auto"/>
        </w:rPr>
        <w:t>limitations or warnings contained in the product’s FDA</w:t>
      </w:r>
      <w:r>
        <w:rPr>
          <w:rFonts w:ascii="MS PGothic" w:cs="MS PGothic" w:eastAsia="MS PGothic" w:hAnsi="MS PGothic"/>
          <w:sz w:val="17"/>
          <w:szCs w:val="17"/>
          <w:color w:val="auto"/>
        </w:rPr>
        <w:t>‑</w:t>
      </w:r>
      <w:r>
        <w:rPr>
          <w:rFonts w:ascii="Arial" w:cs="Arial" w:eastAsia="Arial" w:hAnsi="Arial"/>
          <w:sz w:val="17"/>
          <w:szCs w:val="17"/>
          <w:color w:val="auto"/>
        </w:rPr>
        <w:t>approved labeling, including potential limitations or warnings for such product candidate, that may be more restrictive than other competitive products;</w:t>
      </w:r>
    </w:p>
    <w:p>
      <w:pPr>
        <w:spacing w:after="0" w:line="161" w:lineRule="exact"/>
        <w:rPr>
          <w:rFonts w:ascii="Arial" w:cs="Arial" w:eastAsia="Arial" w:hAnsi="Arial"/>
          <w:sz w:val="17"/>
          <w:szCs w:val="17"/>
          <w:color w:val="auto"/>
        </w:rPr>
      </w:pPr>
    </w:p>
    <w:p>
      <w:pPr>
        <w:ind w:left="980" w:right="200" w:hanging="329"/>
        <w:spacing w:after="0" w:line="235" w:lineRule="auto"/>
        <w:tabs>
          <w:tab w:leader="none" w:pos="9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such product candidate, which could reduce the marketing impact of any claims that we could make following FDA approval, if obtained;</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such product candidate;</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cost of treatment versus economic and clinical benefit in relation to alternative treatments or therapies;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right="140" w:hanging="329"/>
        <w:spacing w:after="0" w:line="258" w:lineRule="auto"/>
        <w:tabs>
          <w:tab w:leader="none" w:pos="935"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availability of adequate coverage or reimbursement by third parties, such as insurance companies and other healthcare payors, and by government healthcare programs, including Medicare and Medicaid;</w:t>
      </w:r>
    </w:p>
    <w:p>
      <w:pPr>
        <w:spacing w:after="0" w:line="146" w:lineRule="exact"/>
        <w:rPr>
          <w:rFonts w:ascii="Arial" w:cs="Arial" w:eastAsia="Arial" w:hAnsi="Arial"/>
          <w:sz w:val="17"/>
          <w:szCs w:val="17"/>
          <w:color w:val="auto"/>
        </w:rPr>
      </w:pPr>
    </w:p>
    <w:p>
      <w:pPr>
        <w:ind w:left="980" w:right="240" w:hanging="329"/>
        <w:spacing w:after="0" w:line="235" w:lineRule="auto"/>
        <w:tabs>
          <w:tab w:leader="none" w:pos="9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willingness of third party payors to prefer similar but less expensive products even if not approved for our product’s indication;</w:t>
      </w:r>
    </w:p>
    <w:p>
      <w:pPr>
        <w:spacing w:after="0" w:line="139" w:lineRule="exact"/>
        <w:rPr>
          <w:sz w:val="20"/>
          <w:szCs w:val="20"/>
          <w:color w:val="auto"/>
        </w:rPr>
      </w:pPr>
    </w:p>
    <w:p>
      <w:pPr>
        <w:ind w:left="980" w:hanging="329"/>
        <w:spacing w:after="0"/>
        <w:tabs>
          <w:tab w:leader="none" w:pos="980" w:val="left"/>
        </w:tabs>
        <w:numPr>
          <w:ilvl w:val="0"/>
          <w:numId w:val="43"/>
        </w:numPr>
        <w:rPr>
          <w:rFonts w:ascii="Arial" w:cs="Arial" w:eastAsia="Arial" w:hAnsi="Arial"/>
          <w:sz w:val="22"/>
          <w:szCs w:val="22"/>
          <w:color w:val="auto"/>
          <w:vertAlign w:val="superscript"/>
        </w:rPr>
      </w:pPr>
      <w:r>
        <w:rPr>
          <w:rFonts w:ascii="Arial" w:cs="Arial" w:eastAsia="Arial" w:hAnsi="Arial"/>
          <w:sz w:val="18"/>
          <w:szCs w:val="18"/>
          <w:color w:val="auto"/>
        </w:rPr>
        <w:t>the extent and strength of our marketing and distribution of such product candidate;</w:t>
      </w:r>
    </w:p>
    <w:p>
      <w:pPr>
        <w:spacing w:after="0" w:line="161" w:lineRule="exact"/>
        <w:rPr>
          <w:sz w:val="20"/>
          <w:szCs w:val="20"/>
          <w:color w:val="auto"/>
        </w:rPr>
      </w:pPr>
    </w:p>
    <w:p>
      <w:pPr>
        <w:ind w:left="980" w:right="160" w:hanging="329"/>
        <w:spacing w:after="0" w:line="235" w:lineRule="auto"/>
        <w:tabs>
          <w:tab w:leader="none" w:pos="9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 for any of our intended indications;</w:t>
      </w:r>
    </w:p>
    <w:p>
      <w:pPr>
        <w:spacing w:after="0" w:line="161" w:lineRule="exact"/>
        <w:rPr>
          <w:rFonts w:ascii="Arial" w:cs="Arial" w:eastAsia="Arial" w:hAnsi="Arial"/>
          <w:sz w:val="18"/>
          <w:szCs w:val="18"/>
          <w:color w:val="auto"/>
        </w:rPr>
      </w:pPr>
    </w:p>
    <w:p>
      <w:pPr>
        <w:ind w:left="980" w:right="380" w:hanging="329"/>
        <w:spacing w:after="0" w:line="289" w:lineRule="auto"/>
        <w:tabs>
          <w:tab w:leader="none" w:pos="935" w:val="left"/>
        </w:tabs>
        <w:numPr>
          <w:ilvl w:val="0"/>
          <w:numId w:val="44"/>
        </w:numPr>
        <w:rPr>
          <w:rFonts w:ascii="Arial" w:cs="Arial" w:eastAsia="Arial" w:hAnsi="Arial"/>
          <w:sz w:val="16"/>
          <w:szCs w:val="16"/>
          <w:color w:val="auto"/>
        </w:rPr>
      </w:pPr>
      <w:r>
        <w:rPr>
          <w:rFonts w:ascii="Arial" w:cs="Arial" w:eastAsia="Arial" w:hAnsi="Arial"/>
          <w:sz w:val="16"/>
          <w:szCs w:val="16"/>
          <w:color w:val="auto"/>
        </w:rPr>
        <w:t>distribution and use restrictions imposed by the FDA with respect to such product candidate or to which we agree as part of a mandatory risk evaluation and mitigation strategy or voluntary risk management plan;</w:t>
      </w:r>
    </w:p>
    <w:p>
      <w:pPr>
        <w:spacing w:after="0" w:line="124" w:lineRule="exact"/>
        <w:rPr>
          <w:rFonts w:ascii="Arial" w:cs="Arial" w:eastAsia="Arial" w:hAnsi="Arial"/>
          <w:sz w:val="16"/>
          <w:szCs w:val="16"/>
          <w:color w:val="auto"/>
        </w:rPr>
      </w:pPr>
    </w:p>
    <w:p>
      <w:pPr>
        <w:ind w:left="940" w:hanging="289"/>
        <w:spacing w:after="0"/>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 as well as competitive products;</w:t>
      </w:r>
    </w:p>
    <w:p>
      <w:pPr>
        <w:spacing w:after="0" w:line="184" w:lineRule="exact"/>
        <w:rPr>
          <w:rFonts w:ascii="Arial" w:cs="Arial" w:eastAsia="Arial" w:hAnsi="Arial"/>
          <w:sz w:val="18"/>
          <w:szCs w:val="18"/>
          <w:color w:val="auto"/>
        </w:rPr>
      </w:pPr>
    </w:p>
    <w:p>
      <w:pPr>
        <w:ind w:left="980" w:right="260" w:hanging="329"/>
        <w:spacing w:after="0" w:line="235" w:lineRule="auto"/>
        <w:tabs>
          <w:tab w:leader="none" w:pos="9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offer such product candidate for sale at competitive prices, including prices that are competitive with generic products;</w:t>
      </w:r>
    </w:p>
    <w:p>
      <w:pPr>
        <w:spacing w:after="0" w:line="161" w:lineRule="exact"/>
        <w:rPr>
          <w:rFonts w:ascii="Arial" w:cs="Arial" w:eastAsia="Arial" w:hAnsi="Arial"/>
          <w:sz w:val="18"/>
          <w:szCs w:val="18"/>
          <w:color w:val="auto"/>
        </w:rPr>
      </w:pPr>
    </w:p>
    <w:p>
      <w:pPr>
        <w:ind w:left="980" w:right="700" w:hanging="329"/>
        <w:spacing w:after="0" w:line="235" w:lineRule="auto"/>
        <w:tabs>
          <w:tab w:leader="none" w:pos="9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clinical indications for which such product candidate is approved;</w:t>
      </w:r>
    </w:p>
    <w:p>
      <w:pPr>
        <w:spacing w:after="0" w:line="184" w:lineRule="exact"/>
        <w:rPr>
          <w:rFonts w:ascii="Arial" w:cs="Arial" w:eastAsia="Arial" w:hAnsi="Arial"/>
          <w:sz w:val="18"/>
          <w:szCs w:val="18"/>
          <w:color w:val="auto"/>
        </w:rPr>
      </w:pPr>
    </w:p>
    <w:p>
      <w:pPr>
        <w:ind w:left="940" w:hanging="289"/>
        <w:spacing w:after="0" w:line="207" w:lineRule="exact"/>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extent and strength of our third</w:t>
      </w:r>
      <w:r>
        <w:rPr>
          <w:rFonts w:ascii="MS PGothic" w:cs="MS PGothic" w:eastAsia="MS PGothic" w:hAnsi="MS PGothic"/>
          <w:sz w:val="18"/>
          <w:szCs w:val="18"/>
          <w:color w:val="auto"/>
        </w:rPr>
        <w:t>‑</w:t>
      </w:r>
      <w:r>
        <w:rPr>
          <w:rFonts w:ascii="Arial" w:cs="Arial" w:eastAsia="Arial" w:hAnsi="Arial"/>
          <w:sz w:val="18"/>
          <w:szCs w:val="18"/>
          <w:color w:val="auto"/>
        </w:rPr>
        <w:t>party manufacturer and supplier support;</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85"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Our efforts to educate the medical community and third</w:t>
      </w:r>
      <w:r>
        <w:rPr>
          <w:rFonts w:ascii="MS PGothic" w:cs="MS PGothic" w:eastAsia="MS PGothic" w:hAnsi="MS PGothic"/>
          <w:sz w:val="16"/>
          <w:szCs w:val="16"/>
          <w:color w:val="auto"/>
        </w:rPr>
        <w:t>‑</w:t>
      </w:r>
      <w:r>
        <w:rPr>
          <w:rFonts w:ascii="Arial" w:cs="Arial" w:eastAsia="Arial" w:hAnsi="Arial"/>
          <w:sz w:val="16"/>
          <w:szCs w:val="16"/>
          <w:color w:val="auto"/>
        </w:rPr>
        <w:t>party payors on the benefits of our product candidates may require significant resources and may never be successful. Even if the medical community accepts that one of our product candidates is safe and effective for its approved indications, physicians and patients may not immediately be receptive to such product candidate and may be slow to adopt it as an accepted treatment of the approved indication. It is unlikely that any labeling approved by the FDA will contain claims that one of our product candidates is safer or more effective than competitive products or will permit us to promote such product candidate as being superior to competing products. Further, the availability of inexpensive generic forms of pain management products for acute pain may also limit acceptance of certain of our product candidates among physicians, patients, and third</w:t>
      </w:r>
      <w:r>
        <w:rPr>
          <w:rFonts w:ascii="MS PGothic" w:cs="MS PGothic" w:eastAsia="MS PGothic" w:hAnsi="MS PGothic"/>
          <w:sz w:val="16"/>
          <w:szCs w:val="16"/>
          <w:color w:val="auto"/>
        </w:rPr>
        <w:t>‑</w:t>
      </w:r>
      <w:r>
        <w:rPr>
          <w:rFonts w:ascii="Arial" w:cs="Arial" w:eastAsia="Arial" w:hAnsi="Arial"/>
          <w:sz w:val="16"/>
          <w:szCs w:val="16"/>
          <w:color w:val="auto"/>
        </w:rPr>
        <w:t>party payors. If any of our current or future product candidates is approved but does not achieve an adequate level of acceptance among physicians, patients, and third</w:t>
      </w:r>
      <w:r>
        <w:rPr>
          <w:rFonts w:ascii="MS PGothic" w:cs="MS PGothic" w:eastAsia="MS PGothic" w:hAnsi="MS PGothic"/>
          <w:sz w:val="16"/>
          <w:szCs w:val="16"/>
          <w:color w:val="auto"/>
        </w:rPr>
        <w:t>‑</w:t>
      </w:r>
      <w:r>
        <w:rPr>
          <w:rFonts w:ascii="Arial" w:cs="Arial" w:eastAsia="Arial" w:hAnsi="Arial"/>
          <w:sz w:val="16"/>
          <w:szCs w:val="16"/>
          <w:color w:val="auto"/>
        </w:rPr>
        <w:t>party payors, we may not generate meaningful revenues from our product candidates, and we may not become profitable.</w:t>
      </w:r>
    </w:p>
    <w:p>
      <w:pPr>
        <w:spacing w:after="0" w:line="163"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The ability of patients to purchase certain of the active ingredients of our product candidates in generic form could put us at a competitive disadvantage. For example, in some foreign jurisdictions, generic oral forms of DM and bupropion are currently available individually for consumer purchase. In addition, physicians may prescribe generic zoledronic acid for the treatment of pain off</w:t>
      </w:r>
      <w:r>
        <w:rPr>
          <w:rFonts w:ascii="MS PGothic" w:cs="MS PGothic" w:eastAsia="MS PGothic" w:hAnsi="MS PGothic"/>
          <w:sz w:val="18"/>
          <w:szCs w:val="18"/>
          <w:color w:val="auto"/>
        </w:rPr>
        <w:t>‑</w:t>
      </w:r>
      <w:r>
        <w:rPr>
          <w:rFonts w:ascii="Arial" w:cs="Arial" w:eastAsia="Arial" w:hAnsi="Arial"/>
          <w:sz w:val="18"/>
          <w:szCs w:val="18"/>
          <w:color w:val="auto"/>
        </w:rPr>
        <w:t>label. Any use of these generic forms of the active molecules of our product candidates could adversely affect our business and our results of operations.</w:t>
      </w:r>
    </w:p>
    <w:p>
      <w:pPr>
        <w:spacing w:after="0" w:line="162" w:lineRule="exact"/>
        <w:rPr>
          <w:sz w:val="20"/>
          <w:szCs w:val="20"/>
          <w:color w:val="auto"/>
        </w:rPr>
      </w:pPr>
    </w:p>
    <w:p>
      <w:pPr>
        <w:ind w:right="20" w:firstLine="648"/>
        <w:spacing w:after="0" w:line="258" w:lineRule="auto"/>
        <w:rPr>
          <w:sz w:val="20"/>
          <w:szCs w:val="20"/>
          <w:color w:val="auto"/>
        </w:rPr>
      </w:pPr>
      <w:r>
        <w:rPr>
          <w:rFonts w:ascii="Arial" w:cs="Arial" w:eastAsia="Arial" w:hAnsi="Arial"/>
          <w:sz w:val="17"/>
          <w:szCs w:val="17"/>
          <w:color w:val="auto"/>
        </w:rPr>
        <w:t>The potential market opportunities for our product candidates are difficult to precisely estimate. Our estimates of the potential market opportunities are predicated on many assumptions including industry knowledge and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spacing w:after="0" w:line="187" w:lineRule="exact"/>
        <w:rPr>
          <w:sz w:val="20"/>
          <w:szCs w:val="20"/>
          <w:color w:val="auto"/>
        </w:rPr>
      </w:pPr>
      <w:r>
        <w:rPr>
          <w:rFonts w:ascii="Arial" w:cs="Arial" w:eastAsia="Arial" w:hAnsi="Arial"/>
          <w:sz w:val="18"/>
          <w:szCs w:val="18"/>
          <w:color w:val="auto"/>
        </w:rPr>
        <w:t>publications, third</w:t>
      </w:r>
      <w:r>
        <w:rPr>
          <w:rFonts w:ascii="MS PGothic" w:cs="MS PGothic" w:eastAsia="MS PGothic" w:hAnsi="MS PGothic"/>
          <w:sz w:val="18"/>
          <w:szCs w:val="18"/>
          <w:color w:val="auto"/>
        </w:rPr>
        <w:t>‑</w:t>
      </w:r>
      <w:r>
        <w:rPr>
          <w:rFonts w:ascii="Arial" w:cs="Arial" w:eastAsia="Arial" w:hAnsi="Arial"/>
          <w:sz w:val="18"/>
          <w:szCs w:val="18"/>
          <w:color w:val="auto"/>
        </w:rPr>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162" w:lineRule="exact"/>
        <w:rPr>
          <w:sz w:val="20"/>
          <w:szCs w:val="20"/>
          <w:color w:val="auto"/>
        </w:rPr>
      </w:pPr>
    </w:p>
    <w:p>
      <w:pPr>
        <w:ind w:right="320"/>
        <w:spacing w:after="0" w:line="324" w:lineRule="auto"/>
        <w:rPr>
          <w:sz w:val="20"/>
          <w:szCs w:val="20"/>
          <w:color w:val="auto"/>
        </w:rPr>
      </w:pPr>
      <w:r>
        <w:rPr>
          <w:rFonts w:ascii="Arial" w:cs="Arial" w:eastAsia="Arial" w:hAnsi="Arial"/>
          <w:sz w:val="15"/>
          <w:szCs w:val="15"/>
          <w:b w:val="1"/>
          <w:bCs w:val="1"/>
          <w:i w:val="1"/>
          <w:iCs w:val="1"/>
          <w:color w:val="auto"/>
        </w:rPr>
        <w:t>We face potential product liability exposure, and if successful claims are brought against us, we may incur substantial liability for any of our current or future product candidates and may have to limit their commercialization.</w:t>
      </w:r>
    </w:p>
    <w:p>
      <w:pPr>
        <w:spacing w:after="0" w:line="102"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The use of any of our current or future product candidates in clinical trials, and the sale of any of our product candidates for which we obtain regulatory approval, exposes us to the risk of product liability claims. We face inherent risk of product liability related to the testing of our product candidates in human clinical trials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163" w:lineRule="exact"/>
        <w:rPr>
          <w:sz w:val="20"/>
          <w:szCs w:val="20"/>
          <w:color w:val="auto"/>
        </w:rPr>
      </w:pPr>
    </w:p>
    <w:p>
      <w:pPr>
        <w:ind w:left="940" w:hanging="289"/>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loss of revenue from decreased demand for our products and/or product candidates;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impairment of our business reputation or financial stability;</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diversion of management attention;</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withdrawal of clinical trial participants and potential termination of clinical trial sites or entire clinical programs;</w:t>
      </w:r>
    </w:p>
    <w:p>
      <w:pPr>
        <w:spacing w:after="0" w:line="207" w:lineRule="exact"/>
        <w:rPr>
          <w:rFonts w:ascii="Arial" w:cs="Arial" w:eastAsia="Arial" w:hAnsi="Arial"/>
          <w:sz w:val="16"/>
          <w:szCs w:val="16"/>
          <w:color w:val="auto"/>
        </w:rPr>
      </w:pPr>
    </w:p>
    <w:p>
      <w:pPr>
        <w:ind w:left="940" w:hanging="289"/>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significant negative media attention;</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decrease in our stock price;</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initiation of investigations and enforcement actions by regulators; and</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We have obtained limited product liability insurance coverage for our products and our clinical trials with a</w:t>
      </w:r>
    </w:p>
    <w:p>
      <w:pPr>
        <w:ind w:right="180"/>
        <w:spacing w:after="0" w:line="242" w:lineRule="auto"/>
        <w:rPr>
          <w:sz w:val="20"/>
          <w:szCs w:val="20"/>
          <w:color w:val="auto"/>
        </w:rPr>
      </w:pPr>
      <w:r>
        <w:rPr>
          <w:rFonts w:ascii="Arial" w:cs="Arial" w:eastAsia="Arial" w:hAnsi="Arial"/>
          <w:sz w:val="16"/>
          <w:szCs w:val="16"/>
          <w:color w:val="auto"/>
        </w:rPr>
        <w:t>$8 million annual aggregate coverage limit.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26" w:lineRule="auto"/>
        <w:rPr>
          <w:sz w:val="20"/>
          <w:szCs w:val="20"/>
          <w:color w:val="auto"/>
        </w:rPr>
      </w:pPr>
      <w:r>
        <w:rPr>
          <w:rFonts w:ascii="Arial" w:cs="Arial" w:eastAsia="Arial" w:hAnsi="Arial"/>
          <w:sz w:val="17"/>
          <w:szCs w:val="17"/>
          <w:color w:val="auto"/>
        </w:rPr>
        <w:t>losses due to liability. We intend to expand our insurance coverage to include the sale of commercial products if we obtain FDA approval for our product candidates in development, but we may be unable to obtain commercially reasonable product liability insurance for any products approved for marketing, or at all.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89" w:lineRule="exact"/>
        <w:rPr>
          <w:sz w:val="20"/>
          <w:szCs w:val="20"/>
          <w:color w:val="auto"/>
        </w:rPr>
      </w:pPr>
    </w:p>
    <w:p>
      <w:pPr>
        <w:ind w:right="380"/>
        <w:spacing w:after="0" w:line="238" w:lineRule="auto"/>
        <w:rPr>
          <w:sz w:val="20"/>
          <w:szCs w:val="20"/>
          <w:color w:val="auto"/>
        </w:rPr>
      </w:pPr>
      <w:r>
        <w:rPr>
          <w:rFonts w:ascii="Arial" w:cs="Arial" w:eastAsia="Arial" w:hAnsi="Arial"/>
          <w:sz w:val="17"/>
          <w:szCs w:val="17"/>
          <w:b w:val="1"/>
          <w:bCs w:val="1"/>
          <w:i w:val="1"/>
          <w:iCs w:val="1"/>
          <w:color w:val="auto"/>
        </w:rPr>
        <w:t>We rely, and expect to continue to rely, on third parties to conduct, supervise, and monitor our preclinical studies and clinical trials, and those third parties may not perform satisfactorily, including failing to meet deadlines for the completion of such trials or failing to comply with regulatory requirements.</w:t>
      </w:r>
    </w:p>
    <w:p>
      <w:pPr>
        <w:spacing w:after="0" w:line="161" w:lineRule="exact"/>
        <w:rPr>
          <w:sz w:val="20"/>
          <w:szCs w:val="20"/>
          <w:color w:val="auto"/>
        </w:rPr>
      </w:pPr>
    </w:p>
    <w:p>
      <w:pPr>
        <w:ind w:right="100" w:firstLine="648"/>
        <w:spacing w:after="0" w:line="181" w:lineRule="exact"/>
        <w:rPr>
          <w:sz w:val="20"/>
          <w:szCs w:val="20"/>
          <w:color w:val="auto"/>
        </w:rPr>
      </w:pPr>
      <w:r>
        <w:rPr>
          <w:rFonts w:ascii="Arial" w:cs="Arial" w:eastAsia="Arial" w:hAnsi="Arial"/>
          <w:sz w:val="17"/>
          <w:szCs w:val="17"/>
          <w:color w:val="auto"/>
        </w:rPr>
        <w:t>We rely on third</w:t>
      </w:r>
      <w:r>
        <w:rPr>
          <w:rFonts w:ascii="MS PGothic" w:cs="MS PGothic" w:eastAsia="MS PGothic" w:hAnsi="MS PGothic"/>
          <w:sz w:val="17"/>
          <w:szCs w:val="17"/>
          <w:color w:val="auto"/>
        </w:rPr>
        <w:t>‑</w:t>
      </w:r>
      <w:r>
        <w:rPr>
          <w:rFonts w:ascii="Arial" w:cs="Arial" w:eastAsia="Arial" w:hAnsi="Arial"/>
          <w:sz w:val="17"/>
          <w:szCs w:val="17"/>
          <w:color w:val="auto"/>
        </w:rPr>
        <w:t>party CROs to conduct, supervise, and monitor our preclinical studies and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would delay our product development activities and adversely affect our business.</w:t>
      </w:r>
    </w:p>
    <w:p>
      <w:pPr>
        <w:spacing w:after="0" w:line="164" w:lineRule="exact"/>
        <w:rPr>
          <w:sz w:val="20"/>
          <w:szCs w:val="20"/>
          <w:color w:val="auto"/>
        </w:rPr>
      </w:pPr>
    </w:p>
    <w:p>
      <w:pPr>
        <w:ind w:right="40" w:firstLine="648"/>
        <w:spacing w:after="0" w:line="220" w:lineRule="auto"/>
        <w:rPr>
          <w:sz w:val="20"/>
          <w:szCs w:val="20"/>
          <w:color w:val="auto"/>
        </w:rPr>
      </w:pPr>
      <w:r>
        <w:rPr>
          <w:rFonts w:ascii="Arial" w:cs="Arial" w:eastAsia="Arial" w:hAnsi="Arial"/>
          <w:sz w:val="17"/>
          <w:szCs w:val="17"/>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 or GLP, as appropriate. Moreover, the FDA and comparable foreign regulatory authorities require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our CROs fail to comply with applicable GCPs, we or our CROs may be subject to enforcement or other legal actions, the clinical data generated in our clinical trials may be deemed unreliable and the FDA or comparable foreign regulatory authorities may require us to perform additional clinical trials.</w:t>
      </w:r>
    </w:p>
    <w:p>
      <w:pPr>
        <w:spacing w:after="0" w:line="165" w:lineRule="exact"/>
        <w:rPr>
          <w:sz w:val="20"/>
          <w:szCs w:val="20"/>
          <w:color w:val="auto"/>
        </w:rPr>
      </w:pPr>
    </w:p>
    <w:p>
      <w:pPr>
        <w:ind w:right="20" w:firstLine="648"/>
        <w:spacing w:after="0" w:line="183" w:lineRule="exact"/>
        <w:rPr>
          <w:sz w:val="20"/>
          <w:szCs w:val="20"/>
          <w:color w:val="auto"/>
        </w:rPr>
      </w:pPr>
      <w:r>
        <w:rPr>
          <w:rFonts w:ascii="Arial" w:cs="Arial" w:eastAsia="Arial" w:hAnsi="Arial"/>
          <w:sz w:val="18"/>
          <w:szCs w:val="18"/>
          <w:color w:val="auto"/>
        </w:rPr>
        <w:t>In addition, once we have an approved product, we will be required to report certain financial interests of our third</w:t>
      </w:r>
      <w:r>
        <w:rPr>
          <w:rFonts w:ascii="MS PGothic" w:cs="MS PGothic" w:eastAsia="MS PGothic" w:hAnsi="MS PGothic"/>
          <w:sz w:val="18"/>
          <w:szCs w:val="18"/>
          <w:color w:val="auto"/>
        </w:rPr>
        <w:t>‑</w:t>
      </w:r>
      <w:r>
        <w:rPr>
          <w:rFonts w:ascii="Arial" w:cs="Arial" w:eastAsia="Arial" w:hAnsi="Arial"/>
          <w:sz w:val="18"/>
          <w:szCs w:val="18"/>
          <w:color w:val="auto"/>
        </w:rPr>
        <w:t>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165"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We cannot assure you that upon inspection by a given regulatory authority, such regulatory authority will determine that any of our clinical trials complies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99"/>
        <w:spacing w:after="0" w:line="203" w:lineRule="exact"/>
        <w:rPr>
          <w:sz w:val="20"/>
          <w:szCs w:val="20"/>
          <w:color w:val="auto"/>
        </w:rPr>
      </w:pPr>
      <w:r>
        <w:rPr>
          <w:rFonts w:ascii="Arial" w:cs="Arial" w:eastAsia="Arial" w:hAnsi="Arial"/>
          <w:sz w:val="16"/>
          <w:szCs w:val="16"/>
          <w:color w:val="auto"/>
        </w:rPr>
        <w:t>certain clinical trials and post the results of certain completed clinical trials on a government</w:t>
      </w:r>
      <w:r>
        <w:rPr>
          <w:rFonts w:ascii="MS PGothic" w:cs="MS PGothic" w:eastAsia="MS PGothic" w:hAnsi="MS PGothic"/>
          <w:sz w:val="16"/>
          <w:szCs w:val="16"/>
          <w:color w:val="auto"/>
        </w:rPr>
        <w:t>‑</w:t>
      </w:r>
      <w:r>
        <w:rPr>
          <w:rFonts w:ascii="Arial" w:cs="Arial" w:eastAsia="Arial" w:hAnsi="Arial"/>
          <w:sz w:val="16"/>
          <w:szCs w:val="16"/>
          <w:color w:val="auto"/>
        </w:rPr>
        <w:t>sponsored database, ClinicalTrials.gov, within specified timeframes. Failure to do so can result in enforcement actions and adverse publicity.</w:t>
      </w:r>
    </w:p>
    <w:p>
      <w:pPr>
        <w:spacing w:after="0" w:line="162" w:lineRule="exact"/>
        <w:rPr>
          <w:sz w:val="20"/>
          <w:szCs w:val="20"/>
          <w:color w:val="auto"/>
        </w:rPr>
      </w:pPr>
    </w:p>
    <w:p>
      <w:pPr>
        <w:ind w:right="19" w:firstLine="648"/>
        <w:spacing w:after="0" w:line="180" w:lineRule="exact"/>
        <w:rPr>
          <w:sz w:val="20"/>
          <w:szCs w:val="20"/>
          <w:color w:val="auto"/>
        </w:rPr>
      </w:pPr>
      <w:r>
        <w:rPr>
          <w:rFonts w:ascii="Arial" w:cs="Arial" w:eastAsia="Arial" w:hAnsi="Arial"/>
          <w:sz w:val="16"/>
          <w:szCs w:val="16"/>
          <w:color w:val="auto"/>
        </w:rPr>
        <w:t>Our CROs may also have relationships with other entities, some of which may be our competitors, for whom they may also be conducting clinical trials or other drug development activities that could harm our competitive position. In addition, our CROs are not our employees, and except for remedies available to us under our agreements with such CROs, we cannot control whether or not they devote sufficient time and resources to our ongoing clinical, non</w:t>
      </w:r>
      <w:r>
        <w:rPr>
          <w:rFonts w:ascii="MS PGothic" w:cs="MS PGothic" w:eastAsia="MS PGothic" w:hAnsi="MS PGothic"/>
          <w:sz w:val="16"/>
          <w:szCs w:val="16"/>
          <w:color w:val="auto"/>
        </w:rPr>
        <w:t>‑</w:t>
      </w:r>
      <w:r>
        <w:rPr>
          <w:rFonts w:ascii="Arial" w:cs="Arial" w:eastAsia="Arial" w:hAnsi="Arial"/>
          <w:sz w:val="16"/>
          <w:szCs w:val="16"/>
          <w:color w:val="auto"/>
        </w:rPr>
        <w:t>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w:t>
      </w:r>
      <w:r>
        <w:rPr>
          <w:rFonts w:ascii="MS PGothic" w:cs="MS PGothic" w:eastAsia="MS PGothic" w:hAnsi="MS PGothic"/>
          <w:sz w:val="16"/>
          <w:szCs w:val="16"/>
          <w:color w:val="auto"/>
        </w:rPr>
        <w:t>‑</w:t>
      </w:r>
      <w:r>
        <w:rPr>
          <w:rFonts w:ascii="Arial" w:cs="Arial" w:eastAsia="Arial" w:hAnsi="Arial"/>
          <w:sz w:val="16"/>
          <w:szCs w:val="16"/>
          <w:color w:val="auto"/>
        </w:rPr>
        <w:t>party service providers in the future, our business may be materially and adversely affected.</w:t>
      </w:r>
    </w:p>
    <w:p>
      <w:pPr>
        <w:spacing w:after="0" w:line="163" w:lineRule="exact"/>
        <w:rPr>
          <w:sz w:val="20"/>
          <w:szCs w:val="20"/>
          <w:color w:val="auto"/>
        </w:rPr>
      </w:pPr>
    </w:p>
    <w:p>
      <w:pPr>
        <w:ind w:right="59" w:firstLine="648"/>
        <w:spacing w:after="0" w:line="184" w:lineRule="exact"/>
        <w:rPr>
          <w:sz w:val="20"/>
          <w:szCs w:val="20"/>
          <w:color w:val="auto"/>
        </w:rPr>
      </w:pPr>
      <w:r>
        <w:rPr>
          <w:rFonts w:ascii="Arial" w:cs="Arial" w:eastAsia="Arial" w:hAnsi="Arial"/>
          <w:sz w:val="17"/>
          <w:szCs w:val="17"/>
          <w:color w:val="auto"/>
        </w:rPr>
        <w:t>If any of our relationships with these third</w:t>
      </w:r>
      <w:r>
        <w:rPr>
          <w:rFonts w:ascii="MS PGothic" w:cs="MS PGothic" w:eastAsia="MS PGothic" w:hAnsi="MS PGothic"/>
          <w:sz w:val="17"/>
          <w:szCs w:val="17"/>
          <w:color w:val="auto"/>
        </w:rPr>
        <w:t>‑</w:t>
      </w:r>
      <w:r>
        <w:rPr>
          <w:rFonts w:ascii="Arial" w:cs="Arial" w:eastAsia="Arial" w:hAnsi="Arial"/>
          <w:sz w:val="17"/>
          <w:szCs w:val="17"/>
          <w:color w:val="auto"/>
        </w:rPr>
        <w:t>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could occur, which could compromise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162" w:lineRule="exact"/>
        <w:rPr>
          <w:sz w:val="20"/>
          <w:szCs w:val="20"/>
          <w:color w:val="auto"/>
        </w:rPr>
      </w:pPr>
    </w:p>
    <w:p>
      <w:pPr>
        <w:ind w:right="459"/>
        <w:spacing w:after="0" w:line="219" w:lineRule="auto"/>
        <w:rPr>
          <w:sz w:val="20"/>
          <w:szCs w:val="20"/>
          <w:color w:val="auto"/>
        </w:rPr>
      </w:pPr>
      <w:r>
        <w:rPr>
          <w:rFonts w:ascii="Arial" w:cs="Arial" w:eastAsia="Arial" w:hAnsi="Arial"/>
          <w:sz w:val="18"/>
          <w:szCs w:val="18"/>
          <w:b w:val="1"/>
          <w:bCs w:val="1"/>
          <w:i w:val="1"/>
          <w:iCs w:val="1"/>
          <w:color w:val="auto"/>
        </w:rPr>
        <w:t>If the manufacturers upon whom we rely fail to produce our product candidates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63" w:lineRule="exact"/>
        <w:rPr>
          <w:sz w:val="20"/>
          <w:szCs w:val="20"/>
          <w:color w:val="auto"/>
        </w:rPr>
      </w:pPr>
    </w:p>
    <w:p>
      <w:pPr>
        <w:ind w:right="159" w:firstLine="648"/>
        <w:spacing w:after="0" w:line="211" w:lineRule="auto"/>
        <w:rPr>
          <w:sz w:val="20"/>
          <w:szCs w:val="20"/>
          <w:color w:val="auto"/>
        </w:rPr>
      </w:pPr>
      <w:r>
        <w:rPr>
          <w:rFonts w:ascii="Arial" w:cs="Arial" w:eastAsia="Arial" w:hAnsi="Arial"/>
          <w:sz w:val="18"/>
          <w:szCs w:val="18"/>
          <w:color w:val="auto"/>
        </w:rPr>
        <w:t>We do not manufacture any of our product candidates, and we do not currently plan to develop any capacity to do so. We currently outsource all manufacturing of our product candidates to third parties typically without any guarantee that there will be sufficient supplies to fulfill our requirements or that we may obtain such supplies on acceptable terms. Any delays in obtaining adequate supplies with respect to our product candidates may delay the development or commercialization of our product candidates. Moreover, we do not yet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pacing w:after="0" w:line="165" w:lineRule="exact"/>
        <w:rPr>
          <w:sz w:val="20"/>
          <w:szCs w:val="20"/>
          <w:color w:val="auto"/>
        </w:rPr>
      </w:pPr>
    </w:p>
    <w:p>
      <w:pPr>
        <w:ind w:right="19" w:firstLine="648"/>
        <w:spacing w:after="0" w:line="180" w:lineRule="exact"/>
        <w:rPr>
          <w:sz w:val="20"/>
          <w:szCs w:val="20"/>
          <w:color w:val="auto"/>
        </w:rPr>
      </w:pPr>
      <w:r>
        <w:rPr>
          <w:rFonts w:ascii="Arial" w:cs="Arial" w:eastAsia="Arial" w:hAnsi="Arial"/>
          <w:sz w:val="17"/>
          <w:szCs w:val="17"/>
          <w:color w:val="auto"/>
        </w:rPr>
        <w:t>We may not succeed in our efforts to establish manufacturing relationships or other alternative arrangements for any of our existing or future product candidates and programs. Our product candidates may compete with other products and product candidates for access to manufacturing facilities. There are a limited number of manufacturers that operate under cGMP regulations and that are both capable of manufacturing for us and willing to do so. If our existing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or the third parties that we engage in the future to manufacture a product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drug substances used to manufacture them, it will be more difficult for us to develop our product candidates and compete effectively. Further, even if we do establish such collaborations or arrangements,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may breach, terminate, or not renew these agreements.</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Any problems or delays we experience in preparing for commercial</w:t>
      </w:r>
      <w:r>
        <w:rPr>
          <w:rFonts w:ascii="MS PGothic" w:cs="MS PGothic" w:eastAsia="MS PGothic" w:hAnsi="MS PGothic"/>
          <w:sz w:val="17"/>
          <w:szCs w:val="17"/>
          <w:color w:val="auto"/>
        </w:rPr>
        <w:t>‑</w:t>
      </w:r>
      <w:r>
        <w:rPr>
          <w:rFonts w:ascii="Arial" w:cs="Arial" w:eastAsia="Arial" w:hAnsi="Arial"/>
          <w:sz w:val="17"/>
          <w:szCs w:val="17"/>
          <w:color w:val="auto"/>
        </w:rPr>
        <w:t>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167" w:lineRule="exact"/>
        <w:rPr>
          <w:sz w:val="20"/>
          <w:szCs w:val="20"/>
          <w:color w:val="auto"/>
        </w:rPr>
      </w:pPr>
    </w:p>
    <w:p>
      <w:pPr>
        <w:ind w:right="20" w:firstLine="648"/>
        <w:spacing w:after="0" w:line="181" w:lineRule="exact"/>
        <w:rPr>
          <w:sz w:val="20"/>
          <w:szCs w:val="20"/>
          <w:color w:val="auto"/>
        </w:rPr>
      </w:pPr>
      <w:r>
        <w:rPr>
          <w:rFonts w:ascii="Arial" w:cs="Arial" w:eastAsia="Arial" w:hAnsi="Arial"/>
          <w:sz w:val="17"/>
          <w:szCs w:val="17"/>
          <w:color w:val="auto"/>
        </w:rPr>
        <w:t>We have a limited number of contract manufacturers for our products. At times we may have only one manufacturer for a product. In addition, we do not have any long</w:t>
      </w:r>
      <w:r>
        <w:rPr>
          <w:rFonts w:ascii="MS PGothic" w:cs="MS PGothic" w:eastAsia="MS PGothic" w:hAnsi="MS PGothic"/>
          <w:sz w:val="17"/>
          <w:szCs w:val="17"/>
          <w:color w:val="auto"/>
        </w:rPr>
        <w:t>‑</w:t>
      </w:r>
      <w:r>
        <w:rPr>
          <w:rFonts w:ascii="Arial" w:cs="Arial" w:eastAsia="Arial" w:hAnsi="Arial"/>
          <w:sz w:val="17"/>
          <w:szCs w:val="17"/>
          <w:color w:val="auto"/>
        </w:rPr>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164" w:lineRule="exact"/>
        <w:rPr>
          <w:sz w:val="20"/>
          <w:szCs w:val="20"/>
          <w:color w:val="auto"/>
        </w:rPr>
      </w:pPr>
    </w:p>
    <w:p>
      <w:pPr>
        <w:ind w:right="40" w:firstLine="648"/>
        <w:spacing w:after="0"/>
        <w:rPr>
          <w:sz w:val="20"/>
          <w:szCs w:val="20"/>
          <w:color w:val="auto"/>
        </w:rPr>
      </w:pPr>
      <w:r>
        <w:rPr>
          <w:rFonts w:ascii="Arial" w:cs="Arial" w:eastAsia="Arial" w:hAnsi="Arial"/>
          <w:sz w:val="16"/>
          <w:szCs w:val="16"/>
          <w:color w:val="auto"/>
        </w:rPr>
        <w:t>In addition, all manufacturers of our product candidates must comply with cGMP requirements enforced by the FDA and comparable foreign regulatory authorities that are applicable to both finished drug products and active pharmaceutical ingredients used both for clinical and commercial supply, through its facilities inspection program. Our manufacturers must be approved by the FDA and comparable foreign regulatory authorities pursuant to inspections that will be conducted after we submit our marketing applications to the agency and comparable foreign regulatory authorities. The cGMP requirements include quality control, quality assurance, and the maintenance of records and documentation. Manufacturers of our product candidates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 failure to comply with these requirements may result in regulatory enforcement actions against our manufacturers or us, including fines and civil and criminal penalties, including imprisonment; suspension or restrictions of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False Claims Act; corporate integrity agreements; consent decrees; or withdrawal of product approval.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206" w:lineRule="exact"/>
        <w:rPr>
          <w:sz w:val="20"/>
          <w:szCs w:val="20"/>
          <w:color w:val="auto"/>
        </w:rPr>
      </w:pPr>
    </w:p>
    <w:p>
      <w:pPr>
        <w:ind w:right="160" w:firstLine="648"/>
        <w:spacing w:after="0" w:line="249" w:lineRule="auto"/>
        <w:rPr>
          <w:sz w:val="20"/>
          <w:szCs w:val="20"/>
          <w:color w:val="auto"/>
        </w:rPr>
      </w:pPr>
      <w:r>
        <w:rPr>
          <w:rFonts w:ascii="Arial" w:cs="Arial" w:eastAsia="Arial" w:hAnsi="Arial"/>
          <w:sz w:val="16"/>
          <w:szCs w:val="16"/>
          <w:color w:val="auto"/>
        </w:rPr>
        <w:t>Any failure or refusal to supply our product candidates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40"/>
        <w:spacing w:after="0" w:line="244" w:lineRule="auto"/>
        <w:rPr>
          <w:sz w:val="20"/>
          <w:szCs w:val="20"/>
          <w:color w:val="auto"/>
        </w:rPr>
      </w:pPr>
      <w:r>
        <w:rPr>
          <w:rFonts w:ascii="Arial" w:cs="Arial" w:eastAsia="Arial" w:hAnsi="Arial"/>
          <w:sz w:val="16"/>
          <w:szCs w:val="16"/>
          <w:b w:val="1"/>
          <w:bCs w:val="1"/>
          <w:i w:val="1"/>
          <w:iCs w:val="1"/>
          <w:color w:val="auto"/>
        </w:rPr>
        <w:t>We may rely on third parties to perform many essential services for any products that we commercialize, including services related to warehousing and inventory control, distribution, government price reporting, customer service, accounts receivable management, cash collection,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spacing w:after="0" w:line="159"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We may retain third</w:t>
      </w:r>
      <w:r>
        <w:rPr>
          <w:rFonts w:ascii="MS PGothic" w:cs="MS PGothic" w:eastAsia="MS PGothic" w:hAnsi="MS PGothic"/>
          <w:sz w:val="17"/>
          <w:szCs w:val="17"/>
          <w:color w:val="auto"/>
        </w:rPr>
        <w:t>‑</w:t>
      </w:r>
      <w:r>
        <w:rPr>
          <w:rFonts w:ascii="Arial" w:cs="Arial" w:eastAsia="Arial" w:hAnsi="Arial"/>
          <w:sz w:val="17"/>
          <w:szCs w:val="17"/>
          <w:color w:val="auto"/>
        </w:rPr>
        <w:t>party service providers to perform a variety of functions related to the sale and distribution of any of our current or future product candidates, key aspects of which will be out of our direct control. These service providers may provide key services related to warehousing and inventory control, distribution, government price reporting, customer service, accounts receivable management, and cash collection, and, as a result, most of our inventory may be stored at a single warehouse maintained by one such service provider. If we retain a service provider, we would substantially rely on it as well as other third</w:t>
      </w:r>
      <w:r>
        <w:rPr>
          <w:rFonts w:ascii="MS PGothic" w:cs="MS PGothic" w:eastAsia="MS PGothic" w:hAnsi="MS PGothic"/>
          <w:sz w:val="17"/>
          <w:szCs w:val="17"/>
          <w:color w:val="auto"/>
        </w:rPr>
        <w:t>‑</w:t>
      </w:r>
      <w:r>
        <w:rPr>
          <w:rFonts w:ascii="Arial" w:cs="Arial" w:eastAsia="Arial" w:hAnsi="Arial"/>
          <w:sz w:val="17"/>
          <w:szCs w:val="17"/>
          <w:color w:val="auto"/>
        </w:rPr>
        <w:t>party providers that perform services for us, including entrusting our inventories of products to their care and handling. If these third</w:t>
      </w:r>
      <w:r>
        <w:rPr>
          <w:rFonts w:ascii="MS PGothic" w:cs="MS PGothic" w:eastAsia="MS PGothic" w:hAnsi="MS PGothic"/>
          <w:sz w:val="17"/>
          <w:szCs w:val="17"/>
          <w:color w:val="auto"/>
        </w:rPr>
        <w:t>‑</w:t>
      </w:r>
      <w:r>
        <w:rPr>
          <w:rFonts w:ascii="Arial" w:cs="Arial" w:eastAsia="Arial" w:hAnsi="Arial"/>
          <w:sz w:val="17"/>
          <w:szCs w:val="17"/>
          <w:color w:val="auto"/>
        </w:rPr>
        <w:t>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64"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62" w:lineRule="exact"/>
        <w:rPr>
          <w:sz w:val="20"/>
          <w:szCs w:val="20"/>
          <w:color w:val="auto"/>
        </w:rPr>
      </w:pPr>
    </w:p>
    <w:p>
      <w:pPr>
        <w:ind w:right="340" w:firstLine="648"/>
        <w:spacing w:after="0" w:line="224" w:lineRule="auto"/>
        <w:rPr>
          <w:sz w:val="20"/>
          <w:szCs w:val="20"/>
          <w:color w:val="auto"/>
        </w:rPr>
      </w:pPr>
      <w:r>
        <w:rPr>
          <w:rFonts w:ascii="Arial" w:cs="Arial" w:eastAsia="Arial" w:hAnsi="Arial"/>
          <w:sz w:val="18"/>
          <w:szCs w:val="18"/>
          <w:color w:val="auto"/>
        </w:rPr>
        <w:t>Additionally, if a third party errs in calculating government pricing information from transactional data in our financial records, it could impact our discount and rebate liability and potentially cause government programs to overpay providers for our products.</w:t>
      </w:r>
    </w:p>
    <w:p>
      <w:pPr>
        <w:spacing w:after="0" w:line="163"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47"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Our business model is to commercialize our product candidates in the United States and generally to seek future collaboration arrangements with pharmaceutical or biotechnology companies for the development or commercialization of our product candidates in the rest of the world. We currently have not entered into any sub</w:t>
      </w:r>
      <w:r>
        <w:rPr>
          <w:rFonts w:ascii="MS PGothic" w:cs="MS PGothic" w:eastAsia="MS PGothic" w:hAnsi="MS PGothic"/>
          <w:sz w:val="16"/>
          <w:szCs w:val="16"/>
          <w:color w:val="auto"/>
        </w:rPr>
        <w:t>‑</w:t>
      </w:r>
      <w:r>
        <w:rPr>
          <w:rFonts w:ascii="Arial" w:cs="Arial" w:eastAsia="Arial" w:hAnsi="Arial"/>
          <w:sz w:val="16"/>
          <w:szCs w:val="16"/>
          <w:color w:val="auto"/>
        </w:rPr>
        <w:t>license agreements. Our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168"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We may license the right to market and sell our product candidates under our collaborators’ labeler codes. Alternatively, we may enter into agreements with collaborators to market and sell our product candidates under our own labeler code, in which case errors and omissions by collaborators in capturing and transmitting transactional data may impact the accuracy of our government price reporting.</w:t>
      </w:r>
    </w:p>
    <w:p>
      <w:pPr>
        <w:spacing w:after="0" w:line="163" w:lineRule="exact"/>
        <w:rPr>
          <w:sz w:val="20"/>
          <w:szCs w:val="20"/>
          <w:color w:val="auto"/>
        </w:rPr>
      </w:pPr>
    </w:p>
    <w:p>
      <w:pPr>
        <w:ind w:right="180" w:firstLine="648"/>
        <w:spacing w:after="0" w:line="238" w:lineRule="auto"/>
        <w:rPr>
          <w:sz w:val="20"/>
          <w:szCs w:val="20"/>
          <w:color w:val="auto"/>
        </w:rPr>
      </w:pPr>
      <w:r>
        <w:rPr>
          <w:rFonts w:ascii="Arial" w:cs="Arial" w:eastAsia="Arial" w:hAnsi="Arial"/>
          <w:sz w:val="17"/>
          <w:szCs w:val="17"/>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 the following:</w:t>
      </w:r>
    </w:p>
    <w:p>
      <w:pPr>
        <w:spacing w:after="0" w:line="161" w:lineRule="exact"/>
        <w:rPr>
          <w:sz w:val="20"/>
          <w:szCs w:val="20"/>
          <w:color w:val="auto"/>
        </w:rPr>
      </w:pPr>
    </w:p>
    <w:p>
      <w:pPr>
        <w:ind w:left="4440" w:right="3780" w:hanging="3789"/>
        <w:spacing w:after="0" w:line="853" w:lineRule="auto"/>
        <w:tabs>
          <w:tab w:leader="none" w:pos="926"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collaborators may not perform their obligations as expected;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right="180" w:hanging="329"/>
        <w:spacing w:after="0" w:line="232" w:lineRule="auto"/>
        <w:tabs>
          <w:tab w:leader="none" w:pos="935"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62" w:lineRule="exact"/>
        <w:rPr>
          <w:rFonts w:ascii="Arial" w:cs="Arial" w:eastAsia="Arial" w:hAnsi="Arial"/>
          <w:sz w:val="17"/>
          <w:szCs w:val="17"/>
          <w:color w:val="auto"/>
        </w:rPr>
      </w:pPr>
    </w:p>
    <w:p>
      <w:pPr>
        <w:ind w:left="980" w:right="260" w:hanging="329"/>
        <w:spacing w:after="0" w:line="224" w:lineRule="auto"/>
        <w:tabs>
          <w:tab w:leader="none" w:pos="9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3" w:lineRule="exact"/>
        <w:rPr>
          <w:rFonts w:ascii="Arial" w:cs="Arial" w:eastAsia="Arial" w:hAnsi="Arial"/>
          <w:sz w:val="18"/>
          <w:szCs w:val="18"/>
          <w:color w:val="auto"/>
        </w:rPr>
      </w:pPr>
    </w:p>
    <w:p>
      <w:pPr>
        <w:ind w:left="940" w:hanging="289"/>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could fail to make timely regulatory submissions for a product candidate;</w:t>
      </w:r>
    </w:p>
    <w:p>
      <w:pPr>
        <w:spacing w:after="0" w:line="184" w:lineRule="exact"/>
        <w:rPr>
          <w:rFonts w:ascii="Arial" w:cs="Arial" w:eastAsia="Arial" w:hAnsi="Arial"/>
          <w:sz w:val="18"/>
          <w:szCs w:val="18"/>
          <w:color w:val="auto"/>
        </w:rPr>
      </w:pPr>
    </w:p>
    <w:p>
      <w:pPr>
        <w:ind w:left="980" w:right="320" w:hanging="329"/>
        <w:spacing w:after="0" w:line="235" w:lineRule="auto"/>
        <w:tabs>
          <w:tab w:leader="none" w:pos="9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may not comply with all applicable regulatory requirements or may fail to report safety data in accordance with all applicable regulatory requirements;</w:t>
      </w:r>
    </w:p>
    <w:p>
      <w:pPr>
        <w:spacing w:after="0" w:line="161" w:lineRule="exact"/>
        <w:rPr>
          <w:rFonts w:ascii="Arial" w:cs="Arial" w:eastAsia="Arial" w:hAnsi="Arial"/>
          <w:sz w:val="18"/>
          <w:szCs w:val="18"/>
          <w:color w:val="auto"/>
        </w:rPr>
      </w:pPr>
    </w:p>
    <w:p>
      <w:pPr>
        <w:ind w:left="980" w:right="320" w:hanging="329"/>
        <w:spacing w:after="0" w:line="219" w:lineRule="auto"/>
        <w:tabs>
          <w:tab w:leader="none" w:pos="9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62" w:lineRule="exact"/>
        <w:rPr>
          <w:rFonts w:ascii="Arial" w:cs="Arial" w:eastAsia="Arial" w:hAnsi="Arial"/>
          <w:sz w:val="18"/>
          <w:szCs w:val="18"/>
          <w:color w:val="auto"/>
        </w:rPr>
      </w:pPr>
    </w:p>
    <w:p>
      <w:pPr>
        <w:ind w:left="980" w:right="100" w:hanging="329"/>
        <w:spacing w:after="0" w:line="224" w:lineRule="auto"/>
        <w:tabs>
          <w:tab w:leader="none" w:pos="9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63" w:lineRule="exact"/>
        <w:rPr>
          <w:rFonts w:ascii="Arial" w:cs="Arial" w:eastAsia="Arial" w:hAnsi="Arial"/>
          <w:sz w:val="18"/>
          <w:szCs w:val="18"/>
          <w:color w:val="auto"/>
        </w:rPr>
      </w:pPr>
    </w:p>
    <w:p>
      <w:pPr>
        <w:jc w:val="both"/>
        <w:ind w:left="980" w:right="400" w:hanging="329"/>
        <w:spacing w:after="0" w:line="224" w:lineRule="auto"/>
        <w:tabs>
          <w:tab w:leader="none" w:pos="9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63" w:lineRule="exact"/>
        <w:rPr>
          <w:rFonts w:ascii="Arial" w:cs="Arial" w:eastAsia="Arial" w:hAnsi="Arial"/>
          <w:sz w:val="18"/>
          <w:szCs w:val="18"/>
          <w:color w:val="auto"/>
        </w:rPr>
      </w:pPr>
    </w:p>
    <w:p>
      <w:pPr>
        <w:ind w:left="980" w:right="40" w:hanging="329"/>
        <w:spacing w:after="0" w:line="249" w:lineRule="auto"/>
        <w:tabs>
          <w:tab w:leader="none" w:pos="935" w:val="left"/>
        </w:tabs>
        <w:numPr>
          <w:ilvl w:val="0"/>
          <w:numId w:val="47"/>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54" w:lineRule="exact"/>
        <w:rPr>
          <w:rFonts w:ascii="Arial" w:cs="Arial" w:eastAsia="Arial" w:hAnsi="Arial"/>
          <w:sz w:val="16"/>
          <w:szCs w:val="16"/>
          <w:color w:val="auto"/>
        </w:rPr>
      </w:pPr>
    </w:p>
    <w:p>
      <w:pPr>
        <w:ind w:left="980" w:right="180" w:hanging="329"/>
        <w:spacing w:after="0" w:line="224" w:lineRule="auto"/>
        <w:tabs>
          <w:tab w:leader="none" w:pos="9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63" w:lineRule="exact"/>
        <w:rPr>
          <w:rFonts w:ascii="Arial" w:cs="Arial" w:eastAsia="Arial" w:hAnsi="Arial"/>
          <w:sz w:val="18"/>
          <w:szCs w:val="18"/>
          <w:color w:val="auto"/>
        </w:rPr>
      </w:pPr>
    </w:p>
    <w:p>
      <w:pPr>
        <w:ind w:left="980" w:right="60" w:hanging="329"/>
        <w:spacing w:after="0" w:line="235" w:lineRule="auto"/>
        <w:tabs>
          <w:tab w:leader="none" w:pos="9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62" w:lineRule="exact"/>
        <w:rPr>
          <w:sz w:val="20"/>
          <w:szCs w:val="20"/>
          <w:color w:val="auto"/>
        </w:rPr>
      </w:pPr>
    </w:p>
    <w:p>
      <w:pPr>
        <w:ind w:right="380" w:firstLine="648"/>
        <w:spacing w:after="0" w:line="229" w:lineRule="auto"/>
        <w:rPr>
          <w:sz w:val="20"/>
          <w:szCs w:val="20"/>
          <w:color w:val="auto"/>
        </w:rPr>
      </w:pPr>
      <w:r>
        <w:rPr>
          <w:rFonts w:ascii="Arial" w:cs="Arial" w:eastAsia="Arial" w:hAnsi="Arial"/>
          <w:sz w:val="17"/>
          <w:szCs w:val="17"/>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161"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firstLine="648"/>
        <w:spacing w:after="0" w:line="220" w:lineRule="auto"/>
        <w:rPr>
          <w:sz w:val="20"/>
          <w:szCs w:val="20"/>
          <w:color w:val="auto"/>
        </w:rPr>
      </w:pPr>
      <w:r>
        <w:rPr>
          <w:rFonts w:ascii="Arial" w:cs="Arial" w:eastAsia="Arial" w:hAnsi="Arial"/>
          <w:sz w:val="17"/>
          <w:szCs w:val="17"/>
          <w:color w:val="auto"/>
        </w:rPr>
        <w:t>We may in the future determine to collaborate with additional pharmaceutical and biotechnology companies for the development and potential commercialization of any of our current or future product candidates. We face significant competition in seeking appropriate collaborators. Our ability to reach a definitive agreement for collaboration will depend upon, among other things,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16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We are dependent on third parties to decide to utilize our product candidates to make them readily available at the point of care throughout their networks of pharmacies.</w:t>
      </w:r>
    </w:p>
    <w:p>
      <w:pPr>
        <w:spacing w:after="0" w:line="162" w:lineRule="exact"/>
        <w:rPr>
          <w:sz w:val="20"/>
          <w:szCs w:val="20"/>
          <w:color w:val="auto"/>
        </w:rPr>
      </w:pPr>
    </w:p>
    <w:p>
      <w:pPr>
        <w:ind w:firstLine="648"/>
        <w:spacing w:after="0"/>
        <w:rPr>
          <w:sz w:val="20"/>
          <w:szCs w:val="20"/>
          <w:color w:val="auto"/>
        </w:rPr>
      </w:pPr>
      <w:r>
        <w:rPr>
          <w:rFonts w:ascii="Arial" w:cs="Arial" w:eastAsia="Arial" w:hAnsi="Arial"/>
          <w:sz w:val="16"/>
          <w:szCs w:val="16"/>
          <w:color w:val="auto"/>
        </w:rPr>
        <w:t>In addition to extensive internal efforts, the successful commercialization of our product candidates will require many third parties, over whom we have no control, to decide to utilize our product candidates, and to make them readily available at the point of care throughout their networks of pharmacies. These third parties include HMOs, long term care facilities, and pharmacy benefit managers, or PBMs, which use pharmacy and therapeutics committees, commonly referred to as P&amp;T committees, to make purchasing and reimbursement decisions. Generally, before an HMO or long-term care facility will acquire any of our product candidate for its own pharmacies, or a PBM will pay retail network pharmacies on behalf of its health plans, any such product candidates must be approved for addition to that organization’s list of approved drugs, or formulary list, by the organization’s P&amp;T committee. An institutional P&amp;T committee typically governs all matters pertaining to the use of medications within the institution, including review of medication formulary data and recommendations for the appropriate use of drugs within the institution to the medical staff. PBM P&amp;T committees develop the criteria for plan beneficiaries to access prescription medication, including such cost control measures as step therapy and prior authorization. The frequency of P&amp;T committee meetings varies considerably, and P&amp;T committees often require additional information to aid in their decision-making process, so we may experience substantial delays in obtaining formulary approvals. Additionally, P&amp;T committees may be concerned that the cost of acquiring any of our product candidates for use in their institutions or reimbursing retail pharmacies outweighs clinical benefits and will resist efforts to add any such product candidate to the formulary, or implement restrictions on the usage of the drug in order to control costs. Third party payors often have tiered formularies in which the non-preferred drugs have significantly higher co-pays, causing prescription rejections, and define therapeutic class broadly to increase competition for preferred status. We cannot guarantee that we will be successful in getting the approvals we need from enough P&amp;T committees quickly enough to maintain and grow sales of any of our product candidates.</w:t>
      </w:r>
    </w:p>
    <w:p>
      <w:pPr>
        <w:spacing w:after="0" w:line="232" w:lineRule="exact"/>
        <w:rPr>
          <w:sz w:val="20"/>
          <w:szCs w:val="20"/>
          <w:color w:val="auto"/>
        </w:rPr>
      </w:pPr>
    </w:p>
    <w:p>
      <w:pPr>
        <w:jc w:val="both"/>
        <w:ind w:right="60"/>
        <w:spacing w:after="0" w:line="224" w:lineRule="auto"/>
        <w:rPr>
          <w:sz w:val="20"/>
          <w:szCs w:val="20"/>
          <w:color w:val="auto"/>
        </w:rPr>
      </w:pPr>
      <w:r>
        <w:rPr>
          <w:rFonts w:ascii="Arial" w:cs="Arial" w:eastAsia="Arial" w:hAnsi="Arial"/>
          <w:sz w:val="18"/>
          <w:szCs w:val="18"/>
          <w:b w:val="1"/>
          <w:bCs w:val="1"/>
          <w:i w:val="1"/>
          <w:iCs w:val="1"/>
          <w:color w:val="auto"/>
        </w:rPr>
        <w:t>We are dependent upon our license agreements with an entity owned by our Chief Executive Officer and Chairman of the Board related to the development of our current product candidates, and if the agreements are terminated for any reason our business will be materially harmed.</w:t>
      </w:r>
    </w:p>
    <w:p>
      <w:pPr>
        <w:spacing w:after="0" w:line="163" w:lineRule="exact"/>
        <w:rPr>
          <w:sz w:val="20"/>
          <w:szCs w:val="20"/>
          <w:color w:val="auto"/>
        </w:rPr>
      </w:pPr>
    </w:p>
    <w:p>
      <w:pPr>
        <w:ind w:right="60" w:firstLine="648"/>
        <w:spacing w:after="0" w:line="182" w:lineRule="exact"/>
        <w:rPr>
          <w:sz w:val="20"/>
          <w:szCs w:val="20"/>
          <w:color w:val="auto"/>
        </w:rPr>
      </w:pPr>
      <w:r>
        <w:rPr>
          <w:rFonts w:ascii="Arial" w:cs="Arial" w:eastAsia="Arial" w:hAnsi="Arial"/>
          <w:sz w:val="16"/>
          <w:szCs w:val="16"/>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as well as AXS</w:t>
      </w:r>
      <w:r>
        <w:rPr>
          <w:rFonts w:ascii="MS PGothic" w:cs="MS PGothic" w:eastAsia="MS PGothic" w:hAnsi="MS PGothic"/>
          <w:sz w:val="16"/>
          <w:szCs w:val="16"/>
          <w:color w:val="auto"/>
        </w:rPr>
        <w:t>‑</w:t>
      </w:r>
      <w:r>
        <w:rPr>
          <w:rFonts w:ascii="Arial" w:cs="Arial" w:eastAsia="Arial" w:hAnsi="Arial"/>
          <w:sz w:val="16"/>
          <w:szCs w:val="16"/>
          <w:color w:val="auto"/>
        </w:rPr>
        <w:t>04, a product candidate that is currently in early stage development, anywhere in the world for veterinary and human therapeutic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w:t>
      </w:r>
      <w:r>
        <w:rPr>
          <w:rFonts w:ascii="MS PGothic" w:cs="MS PGothic" w:eastAsia="MS PGothic" w:hAnsi="MS PGothic"/>
          <w:sz w:val="16"/>
          <w:szCs w:val="16"/>
          <w:color w:val="auto"/>
        </w:rPr>
        <w:t>‑</w:t>
      </w:r>
      <w:r>
        <w:rPr>
          <w:rFonts w:ascii="Arial" w:cs="Arial" w:eastAsia="Arial" w:hAnsi="Arial"/>
          <w:sz w:val="16"/>
          <w:szCs w:val="16"/>
          <w:color w:val="auto"/>
        </w:rPr>
        <w:t>02, AXS</w:t>
      </w:r>
      <w:r>
        <w:rPr>
          <w:rFonts w:ascii="MS PGothic" w:cs="MS PGothic" w:eastAsia="MS PGothic" w:hAnsi="MS PGothic"/>
          <w:sz w:val="16"/>
          <w:szCs w:val="16"/>
          <w:color w:val="auto"/>
        </w:rPr>
        <w:t>‑</w:t>
      </w:r>
      <w:r>
        <w:rPr>
          <w:rFonts w:ascii="Arial" w:cs="Arial" w:eastAsia="Arial" w:hAnsi="Arial"/>
          <w:sz w:val="16"/>
          <w:szCs w:val="16"/>
          <w:color w:val="auto"/>
        </w:rPr>
        <w:t>05, and AXS</w:t>
      </w:r>
      <w:r>
        <w:rPr>
          <w:rFonts w:ascii="MS PGothic" w:cs="MS PGothic" w:eastAsia="MS PGothic" w:hAnsi="MS PGothic"/>
          <w:sz w:val="16"/>
          <w:szCs w:val="16"/>
          <w:color w:val="auto"/>
        </w:rPr>
        <w:t>‑</w:t>
      </w:r>
      <w:r>
        <w:rPr>
          <w:rFonts w:ascii="Arial" w:cs="Arial" w:eastAsia="Arial" w:hAnsi="Arial"/>
          <w:sz w:val="16"/>
          <w:szCs w:val="16"/>
          <w:color w:val="auto"/>
        </w:rPr>
        <w:t>04. Under the terms of the agreements, we are required to pay to Antecip a</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181" w:lineRule="exact"/>
        <w:rPr>
          <w:sz w:val="20"/>
          <w:szCs w:val="20"/>
          <w:color w:val="auto"/>
        </w:rPr>
      </w:pPr>
      <w:r>
        <w:rPr>
          <w:rFonts w:ascii="Arial" w:cs="Arial" w:eastAsia="Arial" w:hAnsi="Arial"/>
          <w:sz w:val="16"/>
          <w:szCs w:val="16"/>
          <w:color w:val="auto"/>
        </w:rPr>
        <w:t>royalty equal to 4.5% for AXS</w:t>
      </w:r>
      <w:r>
        <w:rPr>
          <w:rFonts w:ascii="MS PGothic" w:cs="MS PGothic" w:eastAsia="MS PGothic" w:hAnsi="MS PGothic"/>
          <w:sz w:val="16"/>
          <w:szCs w:val="16"/>
          <w:color w:val="auto"/>
        </w:rPr>
        <w:t>‑</w:t>
      </w:r>
      <w:r>
        <w:rPr>
          <w:rFonts w:ascii="Arial" w:cs="Arial" w:eastAsia="Arial" w:hAnsi="Arial"/>
          <w:sz w:val="16"/>
          <w:szCs w:val="16"/>
          <w:color w:val="auto"/>
        </w:rPr>
        <w:t>02, 3.0% for AXS</w:t>
      </w:r>
      <w:r>
        <w:rPr>
          <w:rFonts w:ascii="MS PGothic" w:cs="MS PGothic" w:eastAsia="MS PGothic" w:hAnsi="MS PGothic"/>
          <w:sz w:val="16"/>
          <w:szCs w:val="16"/>
          <w:color w:val="auto"/>
        </w:rPr>
        <w:t>‑</w:t>
      </w:r>
      <w:r>
        <w:rPr>
          <w:rFonts w:ascii="Arial" w:cs="Arial" w:eastAsia="Arial" w:hAnsi="Arial"/>
          <w:sz w:val="16"/>
          <w:szCs w:val="16"/>
          <w:color w:val="auto"/>
        </w:rPr>
        <w:t>05, and 1.5% for AXS</w:t>
      </w:r>
      <w:r>
        <w:rPr>
          <w:rFonts w:ascii="MS PGothic" w:cs="MS PGothic" w:eastAsia="MS PGothic" w:hAnsi="MS PGothic"/>
          <w:sz w:val="16"/>
          <w:szCs w:val="16"/>
          <w:color w:val="auto"/>
        </w:rPr>
        <w:t>‑</w:t>
      </w:r>
      <w:r>
        <w:rPr>
          <w:rFonts w:ascii="Arial" w:cs="Arial" w:eastAsia="Arial" w:hAnsi="Arial"/>
          <w:sz w:val="16"/>
          <w:szCs w:val="16"/>
          <w:color w:val="auto"/>
        </w:rPr>
        <w:t>04,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and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w:t>
      </w:r>
      <w:r>
        <w:rPr>
          <w:rFonts w:ascii="MS PGothic" w:cs="MS PGothic" w:eastAsia="MS PGothic" w:hAnsi="MS PGothic"/>
          <w:sz w:val="16"/>
          <w:szCs w:val="16"/>
          <w:color w:val="auto"/>
        </w:rPr>
        <w:t>‑</w:t>
      </w:r>
      <w:r>
        <w:rPr>
          <w:rFonts w:ascii="Arial" w:cs="Arial" w:eastAsia="Arial" w:hAnsi="Arial"/>
          <w:sz w:val="16"/>
          <w:szCs w:val="16"/>
          <w:color w:val="auto"/>
        </w:rPr>
        <w:t>up, royalty</w:t>
      </w:r>
      <w:r>
        <w:rPr>
          <w:rFonts w:ascii="MS PGothic" w:cs="MS PGothic" w:eastAsia="MS PGothic" w:hAnsi="MS PGothic"/>
          <w:sz w:val="16"/>
          <w:szCs w:val="16"/>
          <w:color w:val="auto"/>
        </w:rPr>
        <w:t>‑</w:t>
      </w:r>
      <w:r>
        <w:rPr>
          <w:rFonts w:ascii="Arial" w:cs="Arial" w:eastAsia="Arial" w:hAnsi="Arial"/>
          <w:sz w:val="16"/>
          <w:szCs w:val="16"/>
          <w:color w:val="auto"/>
        </w:rPr>
        <w:t>free, perpetual non</w:t>
      </w:r>
      <w:r>
        <w:rPr>
          <w:rFonts w:ascii="MS PGothic" w:cs="MS PGothic" w:eastAsia="MS PGothic" w:hAnsi="MS PGothic"/>
          <w:sz w:val="16"/>
          <w:szCs w:val="16"/>
          <w:color w:val="auto"/>
        </w:rPr>
        <w:t>‑</w:t>
      </w:r>
      <w:r>
        <w:rPr>
          <w:rFonts w:ascii="Arial" w:cs="Arial" w:eastAsia="Arial" w:hAnsi="Arial"/>
          <w:sz w:val="16"/>
          <w:szCs w:val="16"/>
          <w:color w:val="auto"/>
        </w:rPr>
        <w:t>exclusive license. If Antecip terminates any of the agreements for cause, or if we exercise our right to terminate any of the agreements for convenience, the rights granted to us under such terminated agreement will revert to Antecip. To date, we have not been required to make any payments to Antecip under any of the license agreements. If any of the license agreements with Antecip are terminated for any reason, our business, financial condition, results of operations, and prospects will be materially harmed.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89"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7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Market exclusivity awarded by the FDA upon the approval of an NDA is limited in scope and duration. Our commercial success will depend in part on obtaining, maintaining, enforcing, and defending against third-party challenges, our patent and trade secret protection for any of our current and future product candidates that we may develop, license, or acquire, and the related manufacturing methods. We will only be able to fully protect our technologies from unauthorized use by third parties to the extent that valid and enforceable patents or trade secrets cover them.</w:t>
      </w:r>
    </w:p>
    <w:p>
      <w:pPr>
        <w:spacing w:after="0" w:line="145"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should we enter into additional collaborations we may be required to consult with or cede control to collaborators regarding the prosecution, maintenance, and enforcement of our patents. Therefore, these patents and applications may not be prosecuted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our patents or in third-party patents. The degree of future protection for our proprietary rights is uncertain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167" w:lineRule="exact"/>
        <w:rPr>
          <w:sz w:val="20"/>
          <w:szCs w:val="20"/>
          <w:color w:val="auto"/>
        </w:rPr>
      </w:pPr>
    </w:p>
    <w:p>
      <w:pPr>
        <w:ind w:left="980" w:right="220" w:hanging="329"/>
        <w:spacing w:after="0" w:line="235" w:lineRule="auto"/>
        <w:tabs>
          <w:tab w:leader="none" w:pos="9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not have been the first to make the inventions covered by each of our pending patent applications and issued patents;</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not have been the first to file patent applications for these inventions;</w:t>
      </w:r>
    </w:p>
    <w:p>
      <w:pPr>
        <w:spacing w:after="0" w:line="184" w:lineRule="exact"/>
        <w:rPr>
          <w:rFonts w:ascii="Arial" w:cs="Arial" w:eastAsia="Arial" w:hAnsi="Arial"/>
          <w:sz w:val="18"/>
          <w:szCs w:val="18"/>
          <w:color w:val="auto"/>
        </w:rPr>
      </w:pPr>
    </w:p>
    <w:p>
      <w:pPr>
        <w:ind w:left="980" w:right="80" w:hanging="329"/>
        <w:spacing w:after="0" w:line="235" w:lineRule="auto"/>
        <w:tabs>
          <w:tab w:leader="none" w:pos="9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product candidates or technologies;</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it is possible that none of the pending patent applications will result in issued patents;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right="60" w:hanging="329"/>
        <w:spacing w:after="0" w:line="235" w:lineRule="auto"/>
        <w:tabs>
          <w:tab w:leader="none" w:pos="9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issued patents may not cover commercially viable active products, may not provide us with any competitive advantages, or may be successfully challenged by third parties;</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patents of others may have an adverse effect on our business;</w:t>
      </w:r>
    </w:p>
    <w:p>
      <w:pPr>
        <w:spacing w:after="0" w:line="184" w:lineRule="exact"/>
        <w:rPr>
          <w:rFonts w:ascii="Arial" w:cs="Arial" w:eastAsia="Arial" w:hAnsi="Arial"/>
          <w:sz w:val="18"/>
          <w:szCs w:val="18"/>
          <w:color w:val="auto"/>
        </w:rPr>
      </w:pPr>
    </w:p>
    <w:p>
      <w:pPr>
        <w:ind w:left="980" w:right="20" w:hanging="329"/>
        <w:spacing w:after="0" w:line="238" w:lineRule="auto"/>
        <w:tabs>
          <w:tab w:leader="none" w:pos="935" w:val="left"/>
        </w:tabs>
        <w:numPr>
          <w:ilvl w:val="0"/>
          <w:numId w:val="49"/>
        </w:numPr>
        <w:rPr>
          <w:rFonts w:ascii="Arial" w:cs="Arial" w:eastAsia="Arial" w:hAnsi="Arial"/>
          <w:sz w:val="17"/>
          <w:szCs w:val="17"/>
          <w:color w:val="auto"/>
        </w:rPr>
      </w:pPr>
      <w:r>
        <w:rPr>
          <w:rFonts w:ascii="Arial" w:cs="Arial" w:eastAsia="Arial" w:hAnsi="Arial"/>
          <w:sz w:val="17"/>
          <w:szCs w:val="17"/>
          <w:color w:val="auto"/>
        </w:rPr>
        <w:t>noncompliance with governmental patent agencies requirements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161" w:lineRule="exact"/>
        <w:rPr>
          <w:rFonts w:ascii="Arial" w:cs="Arial" w:eastAsia="Arial" w:hAnsi="Arial"/>
          <w:sz w:val="17"/>
          <w:szCs w:val="17"/>
          <w:color w:val="auto"/>
        </w:rPr>
      </w:pPr>
    </w:p>
    <w:p>
      <w:pPr>
        <w:ind w:left="980" w:right="100" w:hanging="329"/>
        <w:spacing w:after="0" w:line="259" w:lineRule="auto"/>
        <w:tabs>
          <w:tab w:leader="none" w:pos="935"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or</w:t>
      </w:r>
    </w:p>
    <w:p>
      <w:pPr>
        <w:spacing w:after="0" w:line="147" w:lineRule="exact"/>
        <w:rPr>
          <w:rFonts w:ascii="Arial" w:cs="Arial" w:eastAsia="Arial" w:hAnsi="Arial"/>
          <w:sz w:val="16"/>
          <w:szCs w:val="16"/>
          <w:color w:val="auto"/>
        </w:rPr>
      </w:pPr>
    </w:p>
    <w:p>
      <w:pPr>
        <w:ind w:left="980" w:right="140" w:hanging="329"/>
        <w:spacing w:after="0" w:line="224" w:lineRule="auto"/>
        <w:tabs>
          <w:tab w:leader="none" w:pos="9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63"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Patents have a limited lifespan. In most countries, including the United States, the expiration of a patent is typically 20 years from the date that the application for the patent is filed.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w:t>
      </w:r>
      <w:r>
        <w:rPr>
          <w:rFonts w:ascii="MS PGothic" w:cs="MS PGothic" w:eastAsia="MS PGothic" w:hAnsi="MS PGothic"/>
          <w:sz w:val="16"/>
          <w:szCs w:val="16"/>
          <w:color w:val="auto"/>
        </w:rPr>
        <w:t>‑</w:t>
      </w:r>
      <w:r>
        <w:rPr>
          <w:rFonts w:ascii="Arial" w:cs="Arial" w:eastAsia="Arial" w:hAnsi="Arial"/>
          <w:sz w:val="16"/>
          <w:szCs w:val="16"/>
          <w:color w:val="auto"/>
        </w:rPr>
        <w:t>approved product. The actual length of the extension will depend on the amount of patent term lost while the product was in clinical trials. However, the applicable authorities, including the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166"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7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182"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USPTO has developed regulations and procedures to govern administration of the Leahy-Smith Act, and many of the substantive changes to patent law associated with the Leahy-Smith Act, and in particular, the first to file provisions, did not become effective until March 16, 2013. However, the full impact of the Leahy-Smith Act and the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courts' review of any appeals to related proceedings, is in its early stages. Accordingly, the full impact that the Leahy-Smith Act will have on the operation of our business is not clear. However, the Leahy-Smith Act and its implementation could increase the uncertainties and costs surrounding the prosecution of our patent applications and the enforcement or defense of our issued patents, as well as our ability to bring about timely favorable resolution of any disputes involving our patents and the patents of others. Patent applications in the United States are maintained in confidence for at least 18 months after their earliest effective filing date. Consequently, we cannot be certain we were the first to invent or the first to file patent applications on AXS-02, AXS-05, or any other of our current or future product candidates that we may develop, license, or acquire. In the event that a third party has also filed a U.S. patent application relating to our product candidates or a similar invention, we may have to participate in interference proceedings declared by the USPTO to determine priority of invention in the United States. The costs of these proceedings could be substantial and it is possible that our efforts would be unsuccessful, resulting in a material adverse effect on our U.S. patent position. The results of these types of proceedings may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 Such results could have a material adverse effect on our business, financial condition, results of operations, and prospects.</w:t>
      </w:r>
    </w:p>
    <w:p>
      <w:pPr>
        <w:spacing w:after="0" w:line="193"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addition, the patentability of claims in pending patent applications covering AXS-02, AXS-05, or any other of our current or future product candidates can be challenged by third parties during prosecution in the USPTO, for example by third-party observations and derivation proceedings, and the validity of claims in issued patents can be challenged by third parties in various post-grant proceedings such as post-grant review, reexamination, and inter-partes review proceedings. For example, in December 2016, a petition for post-grant review of U.S. Patent No. 9,283,239, which we refer to as the '239 patent, was filed at the USPTO by Grunenthal GmbH, or Grunenthal, and the post-grant review was instituted on July 7, 2017. In addition, in May 2017 and October 2017, petitions for post-grant review of U.S. Patent No. 9,408,862, which we refer to as the '862 patent, and of U.S. Patent No. 9,539,268, which we refer to as the '268 patent, respectively, were filed at the USPTO by Grunenthal. The '239 patent contains claims directed to the use of orally administered zoledronic acid, the active moiety in AXS-02, for the treatment of CRPS, and is one of several issued patents containing claims covering the use of AXS-02 for the treatment of CRPS. The '862 and '268 patents contain claims directed to certain dosage forms containing zoledronic acid, the active moiety in AXS-02. The '862 patent also contains claims directed to certain oral dosage forms containing zoledronic acid, including AXS-02, and use of certain oral dosage forms containing zoledronic acid, including AXS-02, for the treatment of knee pain and arthritis, respectively. The '862 and '268 patents are two of several issued patents containing claims covering dosage forms of zoledronic acid such as AXS-02, and the use of certain oral dosage forms containing zoledronic acid, including AXS-02, in the treatment of knee pain and arthritis. The petitions request that the Patent Trial and Appeal Board, or PTAB, initiate proceedings to review the validity of the '239, the '862, and the '268 patents.</w:t>
      </w:r>
    </w:p>
    <w:p>
      <w:pPr>
        <w:spacing w:after="0" w:line="17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April 2017, we responded to and opposed Grunenthal's petition for post-grant review of the '239 patent. In July 2017, the PTAB issued a decision in which it refused to institute a post-grant-review of the '239 patent on the grounds of novelty, obviousness, or enablement. The PTAB ruled that Grunenthal had not established that it is more likely than not that the stated prior art would have rendered the claims of the '239 patent obvious or not novel, and that Grunenthal had failed to demonstrate that it is more likely than not that the claims are unpatentable for lack of enablement. However, a post-grant review was instituted on the ground of written description. The PTAB further ordered that the post-grant review for the '239 patent be limited to written description and that no other grounds of unpatentability are authorized for post-grant review. In October 2017, we responded to the PTAB decision to institute a post-grant review. We cannot predict what the outcomes of the proceedings for the '239 patent will be. In August 2017, we responded to and opposed the petition for the '862 patent. In November 2017, the PTAB rendered a decision to initiate a post-grant review for that patent. Any patent claim the PTAB determines to be unpatentable as a result of these proceedings would be stricken from the challenged patents or modified. We cannot predict if the PTAB will initiate a proceeding on the '862 patent, or what the outcomes of the proceeding would be if it is initiated. If the PTAB decides to</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initiate a proceeding, it may determine that all the claims of the challenged patent are unpatentable. In February 2018, we responded to and opposed the petition for the '268 patent. The PTAB is expected to render a decision as to whether it will initiate a post-grant review for that patent. Any patent claim the PTAB determines to be unpatentable as a result of these proceedings would be stricken from the challenged patents or modified. We cannot predict if the PTAB will initiate a proceeding on the '268 patent, or what the outcomes of the proceeding would be if it is initiated. If the PTAB decides to initiate a proceeding, it may determine that all the claims of the challenged patent are unpatentable. Additionally, we cannot be sure that the validity of the claims in other issued patents covering any of our current or future product candidates will not also be challenged, or that Grunenthal will not file any additional petitions for post-grant review with respect to any of our current or future product candidates. We may incur increased expenses related to the growth of our intellectual property portfolio and to its defense.</w:t>
      </w:r>
    </w:p>
    <w:p>
      <w:pPr>
        <w:spacing w:after="0" w:line="17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Furthermore, we may not have identified all United States and foreign patents or published applications that affect our business either by blocking our ability to commercialize our drugs or by covering similar technologies that affect our drug market. In addition, some countries, including many in Europe, do not grant patent claims directed to methods of treating humans, and in these countries patent protection may not be available at all to protect our product candidates. Even if patents issue, we cannot guarantee that the claims of those patents will be valid and enforceable or provide us with any significant protection against competitive products, or otherwise be commercially valuable to us.</w:t>
      </w:r>
    </w:p>
    <w:p>
      <w:pPr>
        <w:spacing w:after="0" w:line="165"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We also rely on trade secrets to protect our technology, particularly where we do not believe patent protection is appropriate or obtainable. However, trade secrets are difficult to protect. While we use reasonable efforts to protect our trade secrets, our licensors, employees, consultants, contractors, outside scientific collaborators, and other advisors may unintentionally or willfully disclose our information to competitors. Enforcing a claim that a third 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 how.</w:t>
      </w:r>
    </w:p>
    <w:p>
      <w:pPr>
        <w:spacing w:after="0" w:line="162"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63" w:lineRule="exact"/>
        <w:rPr>
          <w:sz w:val="20"/>
          <w:szCs w:val="20"/>
          <w:color w:val="auto"/>
        </w:rPr>
      </w:pPr>
    </w:p>
    <w:p>
      <w:pPr>
        <w:ind w:right="60" w:firstLine="648"/>
        <w:spacing w:after="0" w:line="180" w:lineRule="exact"/>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r>
      <w:r>
        <w:rPr>
          <w:rFonts w:ascii="MS PGothic" w:cs="MS PGothic" w:eastAsia="MS PGothic" w:hAnsi="MS PGothic"/>
          <w:sz w:val="17"/>
          <w:szCs w:val="17"/>
          <w:color w:val="auto"/>
        </w:rPr>
        <w:t>‑</w:t>
      </w:r>
      <w:r>
        <w:rPr>
          <w:rFonts w:ascii="Arial" w:cs="Arial" w:eastAsia="Arial" w:hAnsi="Arial"/>
          <w:sz w:val="17"/>
          <w:szCs w:val="17"/>
          <w:color w:val="auto"/>
        </w:rPr>
        <w:t>U.S. patent agencies for the patents and patent applications we own and those that we in</w:t>
      </w:r>
      <w:r>
        <w:rPr>
          <w:rFonts w:ascii="MS PGothic" w:cs="MS PGothic" w:eastAsia="MS PGothic" w:hAnsi="MS PGothic"/>
          <w:sz w:val="17"/>
          <w:szCs w:val="17"/>
          <w:color w:val="auto"/>
        </w:rPr>
        <w:t>‑</w:t>
      </w:r>
      <w:r>
        <w:rPr>
          <w:rFonts w:ascii="Arial" w:cs="Arial" w:eastAsia="Arial" w:hAnsi="Arial"/>
          <w:sz w:val="17"/>
          <w:szCs w:val="17"/>
          <w:color w:val="auto"/>
        </w:rPr>
        <w:t>license. We also employ reputable law firms and other professionals to help us comply with the various documentary and other procedural requirements with respect to the patents and patent applications that we own and those that we in</w:t>
      </w:r>
      <w:r>
        <w:rPr>
          <w:rFonts w:ascii="MS PGothic" w:cs="MS PGothic" w:eastAsia="MS PGothic" w:hAnsi="MS PGothic"/>
          <w:sz w:val="17"/>
          <w:szCs w:val="17"/>
          <w:color w:val="auto"/>
        </w:rPr>
        <w:t>‑</w:t>
      </w:r>
      <w:r>
        <w:rPr>
          <w:rFonts w:ascii="Arial" w:cs="Arial" w:eastAsia="Arial" w:hAnsi="Arial"/>
          <w:sz w:val="17"/>
          <w:szCs w:val="17"/>
          <w:color w:val="auto"/>
        </w:rPr>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69" w:lineRule="exact"/>
        <w:rPr>
          <w:sz w:val="20"/>
          <w:szCs w:val="20"/>
          <w:color w:val="auto"/>
        </w:rPr>
      </w:pPr>
    </w:p>
    <w:p>
      <w:pPr>
        <w:ind w:right="400"/>
        <w:spacing w:after="0" w:line="289" w:lineRule="auto"/>
        <w:rPr>
          <w:sz w:val="20"/>
          <w:szCs w:val="20"/>
          <w:color w:val="auto"/>
        </w:rPr>
      </w:pPr>
      <w:r>
        <w:rPr>
          <w:rFonts w:ascii="Arial" w:cs="Arial" w:eastAsia="Arial" w:hAnsi="Arial"/>
          <w:sz w:val="16"/>
          <w:szCs w:val="16"/>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24" w:lineRule="exact"/>
        <w:rPr>
          <w:sz w:val="20"/>
          <w:szCs w:val="20"/>
          <w:color w:val="auto"/>
        </w:rPr>
      </w:pPr>
    </w:p>
    <w:p>
      <w:pPr>
        <w:ind w:right="40" w:firstLine="648"/>
        <w:spacing w:after="0" w:line="232" w:lineRule="auto"/>
        <w:rPr>
          <w:sz w:val="20"/>
          <w:szCs w:val="20"/>
          <w:color w:val="auto"/>
        </w:rPr>
      </w:pPr>
      <w:r>
        <w:rPr>
          <w:rFonts w:ascii="Arial" w:cs="Arial" w:eastAsia="Arial" w:hAnsi="Arial"/>
          <w:sz w:val="17"/>
          <w:szCs w:val="17"/>
          <w:color w:val="auto"/>
        </w:rPr>
        <w:t>Our ability to develop, manufacture, market, and sell any of our current and future product candidates depends upon our ability to avoid infringing the proprietary rights of third parties, and our commercial success depends upon our ability, and the ability of our collaborators, to develop, manufacture, market, and sell our product candidates and use our proprietary technologies without infringing the proprietary rights of third parties. There is considerable intellectual</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9"/>
        <w:spacing w:after="0" w:line="235" w:lineRule="auto"/>
        <w:rPr>
          <w:sz w:val="20"/>
          <w:szCs w:val="20"/>
          <w:color w:val="auto"/>
        </w:rPr>
      </w:pPr>
      <w:r>
        <w:rPr>
          <w:rFonts w:ascii="Arial" w:cs="Arial" w:eastAsia="Arial" w:hAnsi="Arial"/>
          <w:sz w:val="16"/>
          <w:szCs w:val="16"/>
          <w:color w:val="auto"/>
        </w:rPr>
        <w:t>property litigation in the biotechnology and pharmaceutical industries. Numerous U.S. and foreign issued patents and pending patent applications, which are owned by third parties, exist in the general field of treatment and management of pain and other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the litigation may be expensive, time consuming, and distracting to management. In addition, because patent applications can take many years to issue, there may be currently pending applications, unknown to us, which may later result in issued patents that any of our current or future product candidates may infringe. There could also be existing patents of which we are not aware that any of our current or future product candidates may inadvertently infringe.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a third party claims that we infringe on their products or technology, we could face a number of issues, including:</w:t>
      </w:r>
    </w:p>
    <w:p>
      <w:pPr>
        <w:spacing w:after="0" w:line="208" w:lineRule="exact"/>
        <w:rPr>
          <w:sz w:val="20"/>
          <w:szCs w:val="20"/>
          <w:color w:val="auto"/>
        </w:rPr>
      </w:pPr>
    </w:p>
    <w:p>
      <w:pPr>
        <w:ind w:left="980" w:right="319" w:hanging="329"/>
        <w:spacing w:after="0" w:line="258" w:lineRule="auto"/>
        <w:tabs>
          <w:tab w:leader="none" w:pos="935"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infringement and other intellectual property claims which, whether meritorious or not, can be expensive and time consuming to litigate and can divert management’s attention from our core business;</w:t>
      </w:r>
    </w:p>
    <w:p>
      <w:pPr>
        <w:spacing w:after="0" w:line="146" w:lineRule="exact"/>
        <w:rPr>
          <w:rFonts w:ascii="Arial" w:cs="Arial" w:eastAsia="Arial" w:hAnsi="Arial"/>
          <w:sz w:val="17"/>
          <w:szCs w:val="17"/>
          <w:color w:val="auto"/>
        </w:rPr>
      </w:pPr>
    </w:p>
    <w:p>
      <w:pPr>
        <w:ind w:left="980" w:right="659" w:hanging="329"/>
        <w:spacing w:after="0" w:line="235" w:lineRule="auto"/>
        <w:tabs>
          <w:tab w:leader="none" w:pos="9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substantial damages for past infringement which we may have to pay if a court decides that our product infringes on a competitor’s patent;</w:t>
      </w:r>
    </w:p>
    <w:p>
      <w:pPr>
        <w:spacing w:after="0" w:line="161" w:lineRule="exact"/>
        <w:rPr>
          <w:rFonts w:ascii="Arial" w:cs="Arial" w:eastAsia="Arial" w:hAnsi="Arial"/>
          <w:sz w:val="18"/>
          <w:szCs w:val="18"/>
          <w:color w:val="auto"/>
        </w:rPr>
      </w:pPr>
    </w:p>
    <w:p>
      <w:pPr>
        <w:ind w:left="980" w:right="319" w:hanging="329"/>
        <w:spacing w:after="0" w:line="235" w:lineRule="auto"/>
        <w:tabs>
          <w:tab w:leader="none" w:pos="9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court prohibiting us from selling or licensing our product unless the patent holder licenses the patent to us, which it would not be required to do;</w:t>
      </w:r>
    </w:p>
    <w:p>
      <w:pPr>
        <w:spacing w:after="0" w:line="161" w:lineRule="exact"/>
        <w:rPr>
          <w:rFonts w:ascii="Arial" w:cs="Arial" w:eastAsia="Arial" w:hAnsi="Arial"/>
          <w:sz w:val="18"/>
          <w:szCs w:val="18"/>
          <w:color w:val="auto"/>
        </w:rPr>
      </w:pPr>
    </w:p>
    <w:p>
      <w:pPr>
        <w:ind w:left="980" w:right="139" w:hanging="329"/>
        <w:spacing w:after="0" w:line="235" w:lineRule="auto"/>
        <w:tabs>
          <w:tab w:leader="none" w:pos="9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 license is available from a patent holder, we may have to pay substantial royalties or grant cross licenses to our patents; and</w:t>
      </w:r>
    </w:p>
    <w:p>
      <w:pPr>
        <w:spacing w:after="0" w:line="161" w:lineRule="exact"/>
        <w:rPr>
          <w:rFonts w:ascii="Arial" w:cs="Arial" w:eastAsia="Arial" w:hAnsi="Arial"/>
          <w:sz w:val="18"/>
          <w:szCs w:val="18"/>
          <w:color w:val="auto"/>
        </w:rPr>
      </w:pPr>
    </w:p>
    <w:p>
      <w:pPr>
        <w:ind w:left="980" w:right="219" w:hanging="329"/>
        <w:spacing w:after="0" w:line="235" w:lineRule="auto"/>
        <w:tabs>
          <w:tab w:leader="none" w:pos="9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redesigning our product candidates and processes so they do not infringe, which may not be possible or could require substantial funds and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we are found to infringe a third party’s intellectual property rights, we could be required to obtain a license from</w:t>
      </w:r>
    </w:p>
    <w:p>
      <w:pPr>
        <w:spacing w:after="0"/>
        <w:rPr>
          <w:sz w:val="20"/>
          <w:szCs w:val="20"/>
          <w:color w:val="auto"/>
        </w:rPr>
      </w:pPr>
      <w:r>
        <w:rPr>
          <w:rFonts w:ascii="Arial" w:cs="Arial" w:eastAsia="Arial" w:hAnsi="Arial"/>
          <w:sz w:val="16"/>
          <w:szCs w:val="16"/>
          <w:color w:val="auto"/>
        </w:rPr>
        <w:t>such third party to continue developing and marketing our products and technology. However, we may not be able to obtain</w:t>
      </w:r>
    </w:p>
    <w:p>
      <w:pPr>
        <w:spacing w:after="0" w:line="215" w:lineRule="auto"/>
        <w:rPr>
          <w:sz w:val="20"/>
          <w:szCs w:val="20"/>
          <w:color w:val="auto"/>
        </w:rPr>
      </w:pPr>
      <w:r>
        <w:rPr>
          <w:rFonts w:ascii="Arial" w:cs="Arial" w:eastAsia="Arial" w:hAnsi="Arial"/>
          <w:sz w:val="17"/>
          <w:szCs w:val="17"/>
          <w:color w:val="auto"/>
        </w:rPr>
        <w:t>any required license on commercially reasonable terms, or at all. Even if we were able to obtain a license, it could be</w:t>
      </w:r>
    </w:p>
    <w:p>
      <w:pPr>
        <w:spacing w:after="0" w:line="176"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exclusive, thereby giving our competitors access to the same technologies licensed to us. We could be forced, including</w:t>
      </w:r>
    </w:p>
    <w:p>
      <w:pPr>
        <w:spacing w:after="0" w:line="216" w:lineRule="auto"/>
        <w:rPr>
          <w:sz w:val="20"/>
          <w:szCs w:val="20"/>
          <w:color w:val="auto"/>
        </w:rPr>
      </w:pPr>
      <w:r>
        <w:rPr>
          <w:rFonts w:ascii="Arial" w:cs="Arial" w:eastAsia="Arial" w:hAnsi="Arial"/>
          <w:sz w:val="17"/>
          <w:szCs w:val="17"/>
          <w:color w:val="auto"/>
        </w:rPr>
        <w:t>by court order, to cease commercializing the infringing technology or product. In addition, we could be found liable for</w:t>
      </w:r>
    </w:p>
    <w:p>
      <w:pPr>
        <w:spacing w:after="0" w:line="215" w:lineRule="auto"/>
        <w:rPr>
          <w:sz w:val="20"/>
          <w:szCs w:val="20"/>
          <w:color w:val="auto"/>
        </w:rPr>
      </w:pPr>
      <w:r>
        <w:rPr>
          <w:rFonts w:ascii="Arial" w:cs="Arial" w:eastAsia="Arial" w:hAnsi="Arial"/>
          <w:sz w:val="17"/>
          <w:szCs w:val="17"/>
          <w:color w:val="auto"/>
        </w:rPr>
        <w:t>monetary damages, including treble damages and attorneys’ fees if we are found to have willfully infringed a patent. A</w:t>
      </w:r>
    </w:p>
    <w:p>
      <w:pPr>
        <w:spacing w:after="0" w:line="216" w:lineRule="auto"/>
        <w:rPr>
          <w:sz w:val="20"/>
          <w:szCs w:val="20"/>
          <w:color w:val="auto"/>
        </w:rPr>
      </w:pPr>
      <w:r>
        <w:rPr>
          <w:rFonts w:ascii="Arial" w:cs="Arial" w:eastAsia="Arial" w:hAnsi="Arial"/>
          <w:sz w:val="17"/>
          <w:szCs w:val="17"/>
          <w:color w:val="auto"/>
        </w:rPr>
        <w:t>finding of infringement could prevent us from commercializing our product candidates or force us to cease some of our</w:t>
      </w:r>
    </w:p>
    <w:p>
      <w:pPr>
        <w:spacing w:after="0" w:line="215" w:lineRule="auto"/>
        <w:rPr>
          <w:sz w:val="20"/>
          <w:szCs w:val="20"/>
          <w:color w:val="auto"/>
        </w:rPr>
      </w:pPr>
      <w:r>
        <w:rPr>
          <w:rFonts w:ascii="Arial" w:cs="Arial" w:eastAsia="Arial" w:hAnsi="Arial"/>
          <w:sz w:val="17"/>
          <w:szCs w:val="17"/>
          <w:color w:val="auto"/>
        </w:rPr>
        <w:t>business operations, which could materially harm our business. Claims that we have misappropriated the confidential</w:t>
      </w:r>
    </w:p>
    <w:p>
      <w:pPr>
        <w:spacing w:after="0" w:line="229" w:lineRule="auto"/>
        <w:rPr>
          <w:sz w:val="20"/>
          <w:szCs w:val="20"/>
          <w:color w:val="auto"/>
        </w:rPr>
      </w:pPr>
      <w:r>
        <w:rPr>
          <w:rFonts w:ascii="Arial" w:cs="Arial" w:eastAsia="Arial" w:hAnsi="Arial"/>
          <w:sz w:val="16"/>
          <w:szCs w:val="16"/>
          <w:color w:val="auto"/>
        </w:rPr>
        <w:t>information or trade secrets of third parties could have a similar negative impact on our business, financial condition, results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operations, and prospects.</w:t>
      </w:r>
    </w:p>
    <w:p>
      <w:pPr>
        <w:spacing w:after="0" w:line="169" w:lineRule="exact"/>
        <w:rPr>
          <w:sz w:val="20"/>
          <w:szCs w:val="20"/>
          <w:color w:val="auto"/>
        </w:rPr>
      </w:pPr>
    </w:p>
    <w:p>
      <w:pPr>
        <w:ind w:right="19"/>
        <w:spacing w:after="0" w:line="235"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62" w:lineRule="exact"/>
        <w:rPr>
          <w:sz w:val="20"/>
          <w:szCs w:val="20"/>
          <w:color w:val="auto"/>
        </w:rPr>
      </w:pPr>
    </w:p>
    <w:p>
      <w:pPr>
        <w:ind w:right="99" w:firstLine="648"/>
        <w:spacing w:after="0" w:line="184" w:lineRule="exact"/>
        <w:rPr>
          <w:sz w:val="20"/>
          <w:szCs w:val="20"/>
          <w:color w:val="auto"/>
        </w:rPr>
      </w:pPr>
      <w:r>
        <w:rPr>
          <w:rFonts w:ascii="Arial" w:cs="Arial" w:eastAsia="Arial" w:hAnsi="Arial"/>
          <w:sz w:val="16"/>
          <w:szCs w:val="16"/>
          <w:color w:val="auto"/>
        </w:rPr>
        <w:t>Competitors may infringe our issued patents, our in</w:t>
      </w:r>
      <w:r>
        <w:rPr>
          <w:rFonts w:ascii="MS PGothic" w:cs="MS PGothic" w:eastAsia="MS PGothic" w:hAnsi="MS PGothic"/>
          <w:sz w:val="16"/>
          <w:szCs w:val="16"/>
          <w:color w:val="auto"/>
        </w:rPr>
        <w:t>‑</w:t>
      </w:r>
      <w:r>
        <w:rPr>
          <w:rFonts w:ascii="Arial" w:cs="Arial" w:eastAsia="Arial" w:hAnsi="Arial"/>
          <w:sz w:val="16"/>
          <w:szCs w:val="16"/>
          <w:color w:val="auto"/>
        </w:rPr>
        <w:t>licensed patents, or other intellectual property that we own or in</w:t>
      </w:r>
      <w:r>
        <w:rPr>
          <w:rFonts w:ascii="MS PGothic" w:cs="MS PGothic" w:eastAsia="MS PGothic" w:hAnsi="MS PGothic"/>
          <w:sz w:val="16"/>
          <w:szCs w:val="16"/>
          <w:color w:val="auto"/>
        </w:rPr>
        <w:t>‑</w:t>
      </w:r>
      <w:r>
        <w:rPr>
          <w:rFonts w:ascii="Arial" w:cs="Arial" w:eastAsia="Arial" w:hAnsi="Arial"/>
          <w:sz w:val="16"/>
          <w:szCs w:val="16"/>
          <w:color w:val="auto"/>
        </w:rPr>
        <w:t>license. Under the terms of our license agreements with Antecip, if we believe a third 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60"/>
        <w:spacing w:after="0" w:line="216" w:lineRule="auto"/>
        <w:rPr>
          <w:sz w:val="20"/>
          <w:szCs w:val="20"/>
          <w:color w:val="auto"/>
        </w:rPr>
      </w:pPr>
      <w:r>
        <w:rPr>
          <w:rFonts w:ascii="Arial" w:cs="Arial" w:eastAsia="Arial" w:hAnsi="Arial"/>
          <w:sz w:val="18"/>
          <w:szCs w:val="18"/>
          <w:color w:val="auto"/>
        </w:rPr>
        <w:t>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2"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Most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w:t>
      </w:r>
      <w:r>
        <w:rPr>
          <w:rFonts w:ascii="MS PGothic" w:cs="MS PGothic" w:eastAsia="MS PGothic" w:hAnsi="MS PGothic"/>
          <w:sz w:val="18"/>
          <w:szCs w:val="18"/>
          <w:color w:val="auto"/>
        </w:rPr>
        <w:t>‑</w:t>
      </w:r>
      <w:r>
        <w:rPr>
          <w:rFonts w:ascii="Arial" w:cs="Arial" w:eastAsia="Arial" w:hAnsi="Arial"/>
          <w:sz w:val="18"/>
          <w:szCs w:val="18"/>
          <w:color w:val="auto"/>
        </w:rPr>
        <w:t>license needed technology, or enter into development partnerships that would help us bring our product candidates to market.</w:t>
      </w:r>
    </w:p>
    <w:p>
      <w:pPr>
        <w:spacing w:after="0" w:line="16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62" w:lineRule="exact"/>
        <w:rPr>
          <w:sz w:val="20"/>
          <w:szCs w:val="20"/>
          <w:color w:val="auto"/>
        </w:rPr>
      </w:pPr>
    </w:p>
    <w:p>
      <w:pPr>
        <w:ind w:right="140" w:firstLine="648"/>
        <w:spacing w:after="0" w:line="229"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or commercialization of our products. It may be necessary for us to use the patented or proprietary technology of third parties to commercialize our products, in which case we would be required to obtain a license from these third parties. Such a license may not be available on commercially reasonable terms, or at all, which could materially harm our business, financial condition, results of operations, and prospects.</w:t>
      </w:r>
    </w:p>
    <w:p>
      <w:pPr>
        <w:spacing w:after="0" w:line="161" w:lineRule="exact"/>
        <w:rPr>
          <w:sz w:val="20"/>
          <w:szCs w:val="20"/>
          <w:color w:val="auto"/>
        </w:rPr>
      </w:pPr>
    </w:p>
    <w:p>
      <w:pPr>
        <w:ind w:right="660"/>
        <w:spacing w:after="0" w:line="258" w:lineRule="auto"/>
        <w:rPr>
          <w:sz w:val="20"/>
          <w:szCs w:val="20"/>
          <w:color w:val="auto"/>
        </w:rPr>
      </w:pPr>
      <w:r>
        <w:rPr>
          <w:rFonts w:ascii="Arial" w:cs="Arial" w:eastAsia="Arial" w:hAnsi="Arial"/>
          <w:sz w:val="17"/>
          <w:szCs w:val="17"/>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47"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185"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We rely on trade secrets to protect our proprietary technological advances and know</w:t>
      </w:r>
      <w:r>
        <w:rPr>
          <w:rFonts w:ascii="MS PGothic" w:cs="MS PGothic" w:eastAsia="MS PGothic" w:hAnsi="MS PGothic"/>
          <w:sz w:val="16"/>
          <w:szCs w:val="16"/>
          <w:color w:val="auto"/>
        </w:rPr>
        <w:t>‑</w:t>
      </w:r>
      <w:r>
        <w:rPr>
          <w:rFonts w:ascii="Arial" w:cs="Arial" w:eastAsia="Arial" w:hAnsi="Arial"/>
          <w:sz w:val="16"/>
          <w:szCs w:val="16"/>
          <w:color w:val="auto"/>
        </w:rPr>
        <w:t>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 candidates, to protect our trade secrets and other proprietary information. However, any party with whom we have executed such an agreement may breach that agreement and disclose our proprietary information, including our trade secrets. Accordingly, these agreements may not effectively prevent disclosure of confidential information and may not provide an adequate remedy in the event of unauthorized disclosure of confidential information. Costly and time</w:t>
      </w:r>
      <w:r>
        <w:rPr>
          <w:rFonts w:ascii="MS PGothic" w:cs="MS PGothic" w:eastAsia="MS PGothic" w:hAnsi="MS PGothic"/>
          <w:sz w:val="16"/>
          <w:szCs w:val="16"/>
          <w:color w:val="auto"/>
        </w:rPr>
        <w:t>‑</w:t>
      </w:r>
      <w:r>
        <w:rPr>
          <w:rFonts w:ascii="Arial" w:cs="Arial" w:eastAsia="Arial" w:hAnsi="Arial"/>
          <w:sz w:val="16"/>
          <w:szCs w:val="16"/>
          <w:color w:val="auto"/>
        </w:rPr>
        <w:t>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or our licensors may not be able to protect our intellectual property rights throughout the world.</w:t>
      </w:r>
    </w:p>
    <w:p>
      <w:pPr>
        <w:spacing w:after="0" w:line="185" w:lineRule="exact"/>
        <w:rPr>
          <w:sz w:val="20"/>
          <w:szCs w:val="20"/>
          <w:color w:val="auto"/>
        </w:rPr>
      </w:pPr>
    </w:p>
    <w:p>
      <w:pPr>
        <w:ind w:right="60" w:firstLine="648"/>
        <w:spacing w:after="0" w:line="222"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rights are not as strong as those in the United States. These products may compete with our product candidates and our patents or other intellectual property rights may not be effective or sufficient to prevent them from competing.</w:t>
      </w:r>
    </w:p>
    <w:p>
      <w:pPr>
        <w:spacing w:after="0" w:line="164" w:lineRule="exact"/>
        <w:rPr>
          <w:sz w:val="20"/>
          <w:szCs w:val="20"/>
          <w:color w:val="auto"/>
        </w:rPr>
      </w:pPr>
    </w:p>
    <w:p>
      <w:pPr>
        <w:ind w:right="180" w:firstLine="648"/>
        <w:spacing w:after="0" w:line="236"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or our licensors’ intellectual property rights around the world may be inadequate to obtain a significant commercial advantage from the intellectual property that we develop or license.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COMPLIANCE MATTERS</w:t>
      </w:r>
    </w:p>
    <w:p>
      <w:pPr>
        <w:spacing w:after="0" w:line="189"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b w:val="1"/>
          <w:bCs w:val="1"/>
          <w:i w:val="1"/>
          <w:iCs w:val="1"/>
          <w:color w:val="auto"/>
        </w:rPr>
        <w:t>If we fail to comply with federal state, and foreign healthcare laws, including fraud and abuse and health and other information privacy and security laws, we could face substantial penalties and our business, financial condition, results of operations, and prospects could be adversely affected.</w:t>
      </w:r>
    </w:p>
    <w:p>
      <w:pPr>
        <w:spacing w:after="0" w:line="163"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As a pharmaceutical company, we are subject to many federal and state healthcare laws, including those described in the “Business—Government Regulation and Product Approval” section of this Annual Report on Form 10-K, such as the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the federal civil and criminal False Claims Act, the civil monetary penalties statute, the Medicaid Drug Rebate statute and other price reporting requirements, the Veterans Health Care Act of 1992, the federal Health Insurance Portability and Accountability Act of 1996 (as amended by the Health Information Technology for Economics and Clinical Health Act), the Foreign Corrupt Practices Act of 1977, the Patient Protection and Affordable Care Act of 2010, and similar state and foreign laws. Even though we do not and will not control referrals of healthcare services or bill directly to Medicare, Medicaid, or other third</w:t>
      </w:r>
      <w:r>
        <w:rPr>
          <w:rFonts w:ascii="MS PGothic" w:cs="MS PGothic" w:eastAsia="MS PGothic" w:hAnsi="MS PGothic"/>
          <w:sz w:val="16"/>
          <w:szCs w:val="16"/>
          <w:color w:val="auto"/>
        </w:rPr>
        <w:t>‑</w:t>
      </w:r>
      <w:r>
        <w:rPr>
          <w:rFonts w:ascii="Arial" w:cs="Arial" w:eastAsia="Arial" w:hAnsi="Arial"/>
          <w:sz w:val="16"/>
          <w:szCs w:val="16"/>
          <w:color w:val="auto"/>
        </w:rPr>
        <w:t>party payors, certain federal and state healthcare laws and regulations pertaining to fraud and abuse and patients’ rights are and will be applicable to our business. We would be subject to healthcare fraud and abuse by both the federal government and the states in which we conduct our business.</w:t>
      </w:r>
    </w:p>
    <w:p>
      <w:pPr>
        <w:spacing w:after="0" w:line="163"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 our business.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62" w:lineRule="exact"/>
        <w:rPr>
          <w:sz w:val="20"/>
          <w:szCs w:val="20"/>
          <w:color w:val="auto"/>
        </w:rPr>
      </w:pPr>
    </w:p>
    <w:p>
      <w:pPr>
        <w:jc w:val="both"/>
        <w:ind w:right="360"/>
        <w:spacing w:after="0" w:line="194" w:lineRule="exact"/>
        <w:rPr>
          <w:sz w:val="20"/>
          <w:szCs w:val="20"/>
          <w:color w:val="auto"/>
        </w:rPr>
      </w:pPr>
      <w:r>
        <w:rPr>
          <w:rFonts w:ascii="Arial" w:cs="Arial" w:eastAsia="Arial" w:hAnsi="Arial"/>
          <w:sz w:val="18"/>
          <w:szCs w:val="18"/>
          <w:b w:val="1"/>
          <w:bCs w:val="1"/>
          <w:i w:val="1"/>
          <w:iCs w:val="1"/>
          <w:color w:val="auto"/>
        </w:rPr>
        <w:t>If the government or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payors fail to provide adequate coverage and payment rates for any of our current or future product candidates, or if HMOs or 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term care facilities choose to use therapies that are less expensive, our revenue and prospects for profitability will be limited.</w:t>
      </w:r>
    </w:p>
    <w:p>
      <w:pPr>
        <w:spacing w:after="0" w:line="163" w:lineRule="exact"/>
        <w:rPr>
          <w:sz w:val="20"/>
          <w:szCs w:val="20"/>
          <w:color w:val="auto"/>
        </w:rPr>
      </w:pPr>
    </w:p>
    <w:p>
      <w:pPr>
        <w:ind w:right="200" w:firstLine="648"/>
        <w:spacing w:after="0" w:line="181" w:lineRule="exact"/>
        <w:rPr>
          <w:sz w:val="20"/>
          <w:szCs w:val="20"/>
          <w:color w:val="auto"/>
        </w:rPr>
      </w:pPr>
      <w:r>
        <w:rPr>
          <w:rFonts w:ascii="Arial" w:cs="Arial" w:eastAsia="Arial" w:hAnsi="Arial"/>
          <w:sz w:val="16"/>
          <w:szCs w:val="16"/>
          <w:color w:val="auto"/>
        </w:rPr>
        <w:t>In both domestic and foreign markets, sales of our future products will depend in part upon the availability of coverage and reimbursement from third</w:t>
      </w:r>
      <w:r>
        <w:rPr>
          <w:rFonts w:ascii="MS PGothic" w:cs="MS PGothic" w:eastAsia="MS PGothic" w:hAnsi="MS PGothic"/>
          <w:sz w:val="16"/>
          <w:szCs w:val="16"/>
          <w:color w:val="auto"/>
        </w:rPr>
        <w:t>‑</w:t>
      </w:r>
      <w:r>
        <w:rPr>
          <w:rFonts w:ascii="Arial" w:cs="Arial" w:eastAsia="Arial" w:hAnsi="Arial"/>
          <w:sz w:val="16"/>
          <w:szCs w:val="16"/>
          <w:color w:val="auto"/>
        </w:rPr>
        <w:t>party payors. Such third</w:t>
      </w:r>
      <w:r>
        <w:rPr>
          <w:rFonts w:ascii="MS PGothic" w:cs="MS PGothic" w:eastAsia="MS PGothic" w:hAnsi="MS PGothic"/>
          <w:sz w:val="16"/>
          <w:szCs w:val="16"/>
          <w:color w:val="auto"/>
        </w:rPr>
        <w:t>‑</w:t>
      </w:r>
      <w:r>
        <w:rPr>
          <w:rFonts w:ascii="Arial" w:cs="Arial" w:eastAsia="Arial" w:hAnsi="Arial"/>
          <w:sz w:val="16"/>
          <w:szCs w:val="16"/>
          <w:color w:val="auto"/>
        </w:rPr>
        <w:t>party payors include government health programs such as Medicare and Medicaid, managed care providers, private health insurers, and other organizations.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163"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There is significant uncertainty related to third</w:t>
      </w:r>
      <w:r>
        <w:rPr>
          <w:rFonts w:ascii="MS PGothic" w:cs="MS PGothic" w:eastAsia="MS PGothic" w:hAnsi="MS PGothic"/>
          <w:sz w:val="16"/>
          <w:szCs w:val="16"/>
          <w:color w:val="auto"/>
        </w:rPr>
        <w:t>‑</w:t>
      </w:r>
      <w:r>
        <w:rPr>
          <w:rFonts w:ascii="Arial" w:cs="Arial" w:eastAsia="Arial" w:hAnsi="Arial"/>
          <w:sz w:val="16"/>
          <w:szCs w:val="16"/>
          <w:color w:val="auto"/>
        </w:rPr>
        <w:t>party payor coverage and reimbursement of newly approved drugs.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or the ability of our collaborators to recoup our or their investment in one or more product candidates, even if our product candidates obtain marketing approval. Our ability, and the ability of our collaborators,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w:t>
      </w:r>
      <w:r>
        <w:rPr>
          <w:rFonts w:ascii="MS PGothic" w:cs="MS PGothic" w:eastAsia="MS PGothic" w:hAnsi="MS PGothic"/>
          <w:sz w:val="16"/>
          <w:szCs w:val="16"/>
          <w:color w:val="auto"/>
        </w:rPr>
        <w:t>‑</w:t>
      </w:r>
      <w:r>
        <w:rPr>
          <w:rFonts w:ascii="Arial" w:cs="Arial" w:eastAsia="Arial" w:hAnsi="Arial"/>
          <w:sz w:val="16"/>
          <w:szCs w:val="16"/>
          <w:color w:val="auto"/>
        </w:rPr>
        <w:t>party payors, such as private health insurers and health maintenance organizations, decide which medications they will cover and establish reimbursement levels. The healthcare industry is acutely focused on cost containment, both in the United States and elsewhere. Several third</w:t>
      </w:r>
      <w:r>
        <w:rPr>
          <w:rFonts w:ascii="MS PGothic" w:cs="MS PGothic" w:eastAsia="MS PGothic" w:hAnsi="MS PGothic"/>
          <w:sz w:val="16"/>
          <w:szCs w:val="16"/>
          <w:color w:val="auto"/>
        </w:rPr>
        <w:t>‑</w:t>
      </w:r>
      <w:r>
        <w:rPr>
          <w:rFonts w:ascii="Arial" w:cs="Arial" w:eastAsia="Arial" w:hAnsi="Arial"/>
          <w:sz w:val="16"/>
          <w:szCs w:val="16"/>
          <w:color w:val="auto"/>
        </w:rPr>
        <w:t>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 cost alternatives within the class, particularly if a generic version of the same agent is available in another form.</w:t>
      </w:r>
    </w:p>
    <w:p>
      <w:pPr>
        <w:spacing w:after="0" w:line="168"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Third</w:t>
      </w:r>
      <w:r>
        <w:rPr>
          <w:rFonts w:ascii="MS PGothic" w:cs="MS PGothic" w:eastAsia="MS PGothic" w:hAnsi="MS PGothic"/>
          <w:sz w:val="17"/>
          <w:szCs w:val="17"/>
          <w:color w:val="auto"/>
        </w:rPr>
        <w:t>‑</w:t>
      </w:r>
      <w:r>
        <w:rPr>
          <w:rFonts w:ascii="Arial" w:cs="Arial" w:eastAsia="Arial" w:hAnsi="Arial"/>
          <w:sz w:val="17"/>
          <w:szCs w:val="17"/>
          <w:color w:val="auto"/>
        </w:rPr>
        <w:t>party payors, whether foreign or domestic, or governmental or commercial, are developing increasingly sophisticated methods of controlling healthcare costs. In addition, in the United States, no uniform policy of coverage and reimbursement for drug products exists among third</w:t>
      </w:r>
      <w:r>
        <w:rPr>
          <w:rFonts w:ascii="MS PGothic" w:cs="MS PGothic" w:eastAsia="MS PGothic" w:hAnsi="MS PGothic"/>
          <w:sz w:val="17"/>
          <w:szCs w:val="17"/>
          <w:color w:val="auto"/>
        </w:rPr>
        <w:t>‑</w:t>
      </w:r>
      <w:r>
        <w:rPr>
          <w:rFonts w:ascii="Arial" w:cs="Arial" w:eastAsia="Arial" w:hAnsi="Arial"/>
          <w:sz w:val="17"/>
          <w:szCs w:val="17"/>
          <w:color w:val="auto"/>
        </w:rPr>
        <w:t>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w:t>
      </w:r>
      <w:r>
        <w:rPr>
          <w:rFonts w:ascii="MS PGothic" w:cs="MS PGothic" w:eastAsia="MS PGothic" w:hAnsi="MS PGothic"/>
          <w:sz w:val="17"/>
          <w:szCs w:val="17"/>
          <w:color w:val="auto"/>
        </w:rPr>
        <w:t>‑</w:t>
      </w:r>
      <w:r>
        <w:rPr>
          <w:rFonts w:ascii="Arial" w:cs="Arial" w:eastAsia="Arial" w:hAnsi="Arial"/>
          <w:sz w:val="17"/>
          <w:szCs w:val="17"/>
          <w:color w:val="auto"/>
        </w:rPr>
        <w:t>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Assuming coverage is approved, the resulting reimbursement payment rates might not be adequate. If payors subject</w:t>
      </w:r>
    </w:p>
    <w:p>
      <w:pPr>
        <w:spacing w:after="0"/>
        <w:rPr>
          <w:sz w:val="20"/>
          <w:szCs w:val="20"/>
          <w:color w:val="auto"/>
        </w:rPr>
      </w:pPr>
      <w:r>
        <w:rPr>
          <w:rFonts w:ascii="Arial" w:cs="Arial" w:eastAsia="Arial" w:hAnsi="Arial"/>
          <w:sz w:val="16"/>
          <w:szCs w:val="16"/>
          <w:color w:val="auto"/>
        </w:rPr>
        <w:t>our product candidates to maximum payment amounts, or impose limitations that make it difficult to obtain reimbursement,</w:t>
      </w:r>
    </w:p>
    <w:p>
      <w:pPr>
        <w:spacing w:after="0" w:line="229" w:lineRule="auto"/>
        <w:rPr>
          <w:sz w:val="20"/>
          <w:szCs w:val="20"/>
          <w:color w:val="auto"/>
        </w:rPr>
      </w:pPr>
      <w:r>
        <w:rPr>
          <w:rFonts w:ascii="Arial" w:cs="Arial" w:eastAsia="Arial" w:hAnsi="Arial"/>
          <w:sz w:val="16"/>
          <w:szCs w:val="16"/>
          <w:color w:val="auto"/>
        </w:rPr>
        <w:t>providers may choose to use therapies which are less expensive when compared to our product candidates. Additionally, if</w:t>
      </w:r>
    </w:p>
    <w:p>
      <w:pPr>
        <w:spacing w:after="0" w:line="229" w:lineRule="auto"/>
        <w:rPr>
          <w:sz w:val="20"/>
          <w:szCs w:val="20"/>
          <w:color w:val="auto"/>
        </w:rPr>
      </w:pPr>
      <w:r>
        <w:rPr>
          <w:rFonts w:ascii="Arial" w:cs="Arial" w:eastAsia="Arial" w:hAnsi="Arial"/>
          <w:sz w:val="16"/>
          <w:szCs w:val="16"/>
          <w:color w:val="auto"/>
        </w:rPr>
        <w:t>payors require high copayments, beneficiaries may decline prescriptions and seek alternative therapies. We may need to</w:t>
      </w:r>
    </w:p>
    <w:p>
      <w:pPr>
        <w:spacing w:after="0" w:line="176" w:lineRule="exact"/>
        <w:rPr>
          <w:sz w:val="20"/>
          <w:szCs w:val="20"/>
          <w:color w:val="auto"/>
        </w:rPr>
      </w:pPr>
      <w:r>
        <w:rPr>
          <w:rFonts w:ascii="Arial" w:cs="Arial" w:eastAsia="Arial" w:hAnsi="Arial"/>
          <w:sz w:val="16"/>
          <w:szCs w:val="16"/>
          <w:color w:val="auto"/>
        </w:rPr>
        <w:t>conduct post</w:t>
      </w:r>
      <w:r>
        <w:rPr>
          <w:rFonts w:ascii="MS PGothic" w:cs="MS PGothic" w:eastAsia="MS PGothic" w:hAnsi="MS PGothic"/>
          <w:sz w:val="16"/>
          <w:szCs w:val="16"/>
          <w:color w:val="auto"/>
        </w:rPr>
        <w:t>‑</w:t>
      </w:r>
      <w:r>
        <w:rPr>
          <w:rFonts w:ascii="Arial" w:cs="Arial" w:eastAsia="Arial" w:hAnsi="Arial"/>
          <w:sz w:val="16"/>
          <w:szCs w:val="16"/>
          <w:color w:val="auto"/>
        </w:rPr>
        <w:t>marketing studies in order to demonstrate the cost</w:t>
      </w:r>
      <w:r>
        <w:rPr>
          <w:rFonts w:ascii="MS PGothic" w:cs="MS PGothic" w:eastAsia="MS PGothic" w:hAnsi="MS PGothic"/>
          <w:sz w:val="16"/>
          <w:szCs w:val="16"/>
          <w:color w:val="auto"/>
        </w:rPr>
        <w:t>‑</w:t>
      </w:r>
      <w:r>
        <w:rPr>
          <w:rFonts w:ascii="Arial" w:cs="Arial" w:eastAsia="Arial" w:hAnsi="Arial"/>
          <w:sz w:val="16"/>
          <w:szCs w:val="16"/>
          <w:color w:val="auto"/>
        </w:rPr>
        <w:t>effectiveness of any future products to the satisfaction of</w:t>
      </w:r>
    </w:p>
    <w:p>
      <w:pPr>
        <w:spacing w:after="0" w:line="176" w:lineRule="exact"/>
        <w:rPr>
          <w:sz w:val="20"/>
          <w:szCs w:val="20"/>
          <w:color w:val="auto"/>
        </w:rPr>
      </w:pPr>
      <w:r>
        <w:rPr>
          <w:rFonts w:ascii="Arial" w:cs="Arial" w:eastAsia="Arial" w:hAnsi="Arial"/>
          <w:sz w:val="17"/>
          <w:szCs w:val="17"/>
          <w:color w:val="auto"/>
        </w:rPr>
        <w:t>hospitals and other target customers and their third</w:t>
      </w:r>
      <w:r>
        <w:rPr>
          <w:rFonts w:ascii="MS PGothic" w:cs="MS PGothic" w:eastAsia="MS PGothic" w:hAnsi="MS PGothic"/>
          <w:sz w:val="17"/>
          <w:szCs w:val="17"/>
          <w:color w:val="auto"/>
        </w:rPr>
        <w:t>‑</w:t>
      </w:r>
      <w:r>
        <w:rPr>
          <w:rFonts w:ascii="Arial" w:cs="Arial" w:eastAsia="Arial" w:hAnsi="Arial"/>
          <w:sz w:val="17"/>
          <w:szCs w:val="17"/>
          <w:color w:val="auto"/>
        </w:rPr>
        <w:t>party payors. Such studies might require us to commit a significant</w:t>
      </w:r>
    </w:p>
    <w:p>
      <w:pPr>
        <w:spacing w:after="0" w:line="216" w:lineRule="auto"/>
        <w:rPr>
          <w:sz w:val="20"/>
          <w:szCs w:val="20"/>
          <w:color w:val="auto"/>
        </w:rPr>
      </w:pPr>
      <w:r>
        <w:rPr>
          <w:rFonts w:ascii="Arial" w:cs="Arial" w:eastAsia="Arial" w:hAnsi="Arial"/>
          <w:sz w:val="17"/>
          <w:szCs w:val="17"/>
          <w:color w:val="auto"/>
        </w:rPr>
        <w:t>amount of management time and financial and other resources. Our future products might not ultimately be considered</w:t>
      </w:r>
    </w:p>
    <w:p>
      <w:pPr>
        <w:spacing w:after="0" w:line="176" w:lineRule="exact"/>
        <w:rPr>
          <w:sz w:val="20"/>
          <w:szCs w:val="20"/>
          <w:color w:val="auto"/>
        </w:rPr>
      </w:pPr>
      <w:r>
        <w:rPr>
          <w:rFonts w:ascii="Arial" w:cs="Arial" w:eastAsia="Arial" w:hAnsi="Arial"/>
          <w:sz w:val="16"/>
          <w:szCs w:val="16"/>
          <w:color w:val="auto"/>
        </w:rPr>
        <w:t>cost</w:t>
      </w:r>
      <w:r>
        <w:rPr>
          <w:rFonts w:ascii="MS PGothic" w:cs="MS PGothic" w:eastAsia="MS PGothic" w:hAnsi="MS PGothic"/>
          <w:sz w:val="16"/>
          <w:szCs w:val="16"/>
          <w:color w:val="auto"/>
        </w:rPr>
        <w:t>‑</w:t>
      </w:r>
      <w:r>
        <w:rPr>
          <w:rFonts w:ascii="Arial" w:cs="Arial" w:eastAsia="Arial" w:hAnsi="Arial"/>
          <w:sz w:val="16"/>
          <w:szCs w:val="16"/>
          <w:color w:val="auto"/>
        </w:rPr>
        <w:t>effective. Adequate third</w:t>
      </w:r>
      <w:r>
        <w:rPr>
          <w:rFonts w:ascii="MS PGothic" w:cs="MS PGothic" w:eastAsia="MS PGothic" w:hAnsi="MS PGothic"/>
          <w:sz w:val="16"/>
          <w:szCs w:val="16"/>
          <w:color w:val="auto"/>
        </w:rPr>
        <w:t>‑</w:t>
      </w:r>
      <w:r>
        <w:rPr>
          <w:rFonts w:ascii="Arial" w:cs="Arial" w:eastAsia="Arial" w:hAnsi="Arial"/>
          <w:sz w:val="16"/>
          <w:szCs w:val="16"/>
          <w:color w:val="auto"/>
        </w:rPr>
        <w:t>party coverage and reimbursement might not be available to enable us to maintain price levels</w:t>
      </w:r>
    </w:p>
    <w:p>
      <w:pPr>
        <w:spacing w:after="0"/>
        <w:rPr>
          <w:sz w:val="20"/>
          <w:szCs w:val="20"/>
          <w:color w:val="auto"/>
        </w:rPr>
      </w:pPr>
      <w:r>
        <w:rPr>
          <w:rFonts w:ascii="Arial" w:cs="Arial" w:eastAsia="Arial" w:hAnsi="Arial"/>
          <w:sz w:val="18"/>
          <w:szCs w:val="18"/>
          <w:color w:val="auto"/>
        </w:rPr>
        <w:t>sufficient to realize an appropriate return on investment in product development.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federal programs impose penalties on manufacturers of drugs marketed under an NDA, including 505(b)</w:t>
      </w:r>
    </w:p>
    <w:p>
      <w:pPr>
        <w:spacing w:after="0" w:line="8" w:lineRule="exact"/>
        <w:rPr>
          <w:sz w:val="20"/>
          <w:szCs w:val="20"/>
          <w:color w:val="auto"/>
        </w:rPr>
      </w:pPr>
    </w:p>
    <w:p>
      <w:pPr>
        <w:ind w:firstLine="3"/>
        <w:spacing w:after="0" w:line="180" w:lineRule="exact"/>
        <w:tabs>
          <w:tab w:leader="none" w:pos="255" w:val="left"/>
        </w:tabs>
        <w:numPr>
          <w:ilvl w:val="0"/>
          <w:numId w:val="51"/>
        </w:numPr>
        <w:rPr>
          <w:rFonts w:ascii="Arial" w:cs="Arial" w:eastAsia="Arial" w:hAnsi="Arial"/>
          <w:sz w:val="16"/>
          <w:szCs w:val="16"/>
          <w:color w:val="auto"/>
        </w:rPr>
      </w:pPr>
      <w:r>
        <w:rPr>
          <w:rFonts w:ascii="Arial" w:cs="Arial" w:eastAsia="Arial" w:hAnsi="Arial"/>
          <w:sz w:val="16"/>
          <w:szCs w:val="16"/>
          <w:color w:val="auto"/>
        </w:rPr>
        <w:t>drugs, in the form of mandatory additional rebates and/or discounts if commercial prices increase at a rate greater than the Consumer Price Index</w:t>
      </w:r>
      <w:r>
        <w:rPr>
          <w:rFonts w:ascii="MS PGothic" w:cs="MS PGothic" w:eastAsia="MS PGothic" w:hAnsi="MS PGothic"/>
          <w:sz w:val="16"/>
          <w:szCs w:val="16"/>
          <w:color w:val="auto"/>
        </w:rPr>
        <w:t>‑</w:t>
      </w:r>
      <w:r>
        <w:rPr>
          <w:rFonts w:ascii="Arial" w:cs="Arial" w:eastAsia="Arial" w:hAnsi="Arial"/>
          <w:sz w:val="16"/>
          <w:szCs w:val="16"/>
          <w:color w:val="auto"/>
        </w:rPr>
        <w:t>Urban, and these rebates and/or discounts, which can be substantial, may impact our ability to raise commercial prices. Regulatory authorities and third</w:t>
      </w:r>
      <w:r>
        <w:rPr>
          <w:rFonts w:ascii="MS PGothic" w:cs="MS PGothic" w:eastAsia="MS PGothic" w:hAnsi="MS PGothic"/>
          <w:sz w:val="16"/>
          <w:szCs w:val="16"/>
          <w:color w:val="auto"/>
        </w:rPr>
        <w:t>‑</w:t>
      </w:r>
      <w:r>
        <w:rPr>
          <w:rFonts w:ascii="Arial" w:cs="Arial" w:eastAsia="Arial" w:hAnsi="Arial"/>
          <w:sz w:val="16"/>
          <w:szCs w:val="16"/>
          <w:color w:val="auto"/>
        </w:rPr>
        <w:t>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w:t>
      </w:r>
      <w:r>
        <w:rPr>
          <w:rFonts w:ascii="MS PGothic" w:cs="MS PGothic" w:eastAsia="MS PGothic" w:hAnsi="MS PGothic"/>
          <w:sz w:val="16"/>
          <w:szCs w:val="16"/>
          <w:color w:val="auto"/>
        </w:rPr>
        <w:t>‑</w:t>
      </w:r>
      <w:r>
        <w:rPr>
          <w:rFonts w:ascii="Arial" w:cs="Arial" w:eastAsia="Arial" w:hAnsi="Arial"/>
          <w:sz w:val="16"/>
          <w:szCs w:val="16"/>
          <w:color w:val="auto"/>
        </w:rPr>
        <w:t>effective, and coverage and reimbursement may not be available to our customers, or those of our collaborators, or may not be sufficient to allow our products, if any, to be marketed on a competitive basis. Cost</w:t>
      </w:r>
      <w:r>
        <w:rPr>
          <w:rFonts w:ascii="MS PGothic" w:cs="MS PGothic" w:eastAsia="MS PGothic" w:hAnsi="MS PGothic"/>
          <w:sz w:val="16"/>
          <w:szCs w:val="16"/>
          <w:color w:val="auto"/>
        </w:rPr>
        <w:t>‑</w:t>
      </w:r>
      <w:r>
        <w:rPr>
          <w:rFonts w:ascii="Arial" w:cs="Arial" w:eastAsia="Arial" w:hAnsi="Arial"/>
          <w:sz w:val="16"/>
          <w:szCs w:val="16"/>
          <w:color w:val="auto"/>
        </w:rPr>
        <w:t>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 do not provide adequate coverage or reimbursement, our prospects for revenue and profitability will suffer.</w:t>
      </w:r>
    </w:p>
    <w:p>
      <w:pPr>
        <w:spacing w:after="0" w:line="162" w:lineRule="exact"/>
        <w:rPr>
          <w:sz w:val="20"/>
          <w:szCs w:val="20"/>
          <w:color w:val="auto"/>
        </w:rPr>
      </w:pPr>
    </w:p>
    <w:p>
      <w:pPr>
        <w:ind w:right="40" w:firstLine="648"/>
        <w:spacing w:after="0" w:line="211" w:lineRule="auto"/>
        <w:rPr>
          <w:sz w:val="20"/>
          <w:szCs w:val="20"/>
          <w:color w:val="auto"/>
        </w:rPr>
      </w:pPr>
      <w:r>
        <w:rPr>
          <w:rFonts w:ascii="Arial" w:cs="Arial" w:eastAsia="Arial" w:hAnsi="Arial"/>
          <w:sz w:val="18"/>
          <w:szCs w:val="18"/>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65"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67" w:lineRule="exact"/>
        <w:rPr>
          <w:sz w:val="20"/>
          <w:szCs w:val="20"/>
          <w:color w:val="auto"/>
        </w:rPr>
      </w:pPr>
    </w:p>
    <w:p>
      <w:pPr>
        <w:ind w:right="40" w:firstLine="648"/>
        <w:spacing w:after="0" w:line="182" w:lineRule="exact"/>
        <w:rPr>
          <w:sz w:val="20"/>
          <w:szCs w:val="20"/>
          <w:color w:val="auto"/>
        </w:rPr>
      </w:pPr>
      <w:r>
        <w:rPr>
          <w:rFonts w:ascii="Arial" w:cs="Arial" w:eastAsia="Arial" w:hAnsi="Arial"/>
          <w:sz w:val="16"/>
          <w:szCs w:val="16"/>
          <w:color w:val="auto"/>
        </w:rPr>
        <w:t>In addition, increasingly, third</w:t>
      </w:r>
      <w:r>
        <w:rPr>
          <w:rFonts w:ascii="MS PGothic" w:cs="MS PGothic" w:eastAsia="MS PGothic" w:hAnsi="MS PGothic"/>
          <w:sz w:val="16"/>
          <w:szCs w:val="16"/>
          <w:color w:val="auto"/>
        </w:rPr>
        <w:t>‑</w:t>
      </w:r>
      <w:r>
        <w:rPr>
          <w:rFonts w:ascii="Arial" w:cs="Arial" w:eastAsia="Arial" w:hAnsi="Arial"/>
          <w:sz w:val="16"/>
          <w:szCs w:val="16"/>
          <w:color w:val="auto"/>
        </w:rPr>
        <w:t>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w:t>
      </w:r>
      <w:r>
        <w:rPr>
          <w:rFonts w:ascii="MS PGothic" w:cs="MS PGothic" w:eastAsia="MS PGothic" w:hAnsi="MS PGothic"/>
          <w:sz w:val="16"/>
          <w:szCs w:val="16"/>
          <w:color w:val="auto"/>
        </w:rPr>
        <w:t>‑</w:t>
      </w:r>
      <w:r>
        <w:rPr>
          <w:rFonts w:ascii="Arial" w:cs="Arial" w:eastAsia="Arial" w:hAnsi="Arial"/>
          <w:sz w:val="16"/>
          <w:szCs w:val="16"/>
          <w:color w:val="auto"/>
        </w:rPr>
        <w: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20"/>
        <w:spacing w:after="0" w:line="324" w:lineRule="auto"/>
        <w:rPr>
          <w:sz w:val="20"/>
          <w:szCs w:val="20"/>
          <w:color w:val="auto"/>
        </w:rPr>
      </w:pPr>
      <w:r>
        <w:rPr>
          <w:rFonts w:ascii="Arial" w:cs="Arial" w:eastAsia="Arial" w:hAnsi="Arial"/>
          <w:sz w:val="15"/>
          <w:szCs w:val="15"/>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02" w:lineRule="exact"/>
        <w:rPr>
          <w:sz w:val="20"/>
          <w:szCs w:val="20"/>
          <w:color w:val="auto"/>
        </w:rPr>
      </w:pPr>
    </w:p>
    <w:p>
      <w:pPr>
        <w:ind w:right="120" w:firstLine="648"/>
        <w:spacing w:after="0" w:line="185" w:lineRule="exact"/>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7"/>
          <w:szCs w:val="17"/>
          <w:color w:val="auto"/>
        </w:rPr>
        <w:t>‑</w:t>
      </w:r>
      <w:r>
        <w:rPr>
          <w:rFonts w:ascii="Arial" w:cs="Arial" w:eastAsia="Arial" w:hAnsi="Arial"/>
          <w:sz w:val="17"/>
          <w:szCs w:val="17"/>
          <w:color w:val="auto"/>
        </w:rPr>
        <w: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165" w:lineRule="exact"/>
        <w:rPr>
          <w:sz w:val="20"/>
          <w:szCs w:val="20"/>
          <w:color w:val="auto"/>
        </w:rPr>
      </w:pPr>
    </w:p>
    <w:p>
      <w:pPr>
        <w:ind w:right="20" w:firstLine="648"/>
        <w:spacing w:after="0" w:line="241" w:lineRule="auto"/>
        <w:rPr>
          <w:sz w:val="20"/>
          <w:szCs w:val="20"/>
          <w:color w:val="auto"/>
        </w:rPr>
      </w:pPr>
      <w:r>
        <w:rPr>
          <w:rFonts w:ascii="Arial" w:cs="Arial" w:eastAsia="Arial" w:hAnsi="Arial"/>
          <w:sz w:val="16"/>
          <w:szCs w:val="16"/>
          <w:color w:val="auto"/>
        </w:rPr>
        <w:t>For example, legislative changes have been proposed and adopted since enactment of the Affordable Care Act, or ACA, in 2010. These changes include, among other things, aggregate reductions to Medicare payments to providers of up to 2% per fiscal year, which became effective on April 1, 2013, and significant reductions to Medicare payment to certain safety net hospitals for outpatient drugs purchased under the “340B” drug discount program, effective January 1, 2018. These laws may result in additional reductions in Medicare and other healthcare funding, which could have a material adverse effect on customers for our drugs, if approved, and, accordingly, on our results of operations.</w:t>
      </w:r>
    </w:p>
    <w:p>
      <w:pPr>
        <w:spacing w:after="0" w:line="161" w:lineRule="exact"/>
        <w:rPr>
          <w:sz w:val="20"/>
          <w:szCs w:val="20"/>
          <w:color w:val="auto"/>
        </w:rPr>
      </w:pPr>
    </w:p>
    <w:p>
      <w:pPr>
        <w:ind w:right="120" w:firstLine="648"/>
        <w:spacing w:after="0" w:line="237" w:lineRule="auto"/>
        <w:rPr>
          <w:sz w:val="20"/>
          <w:szCs w:val="20"/>
          <w:color w:val="auto"/>
        </w:rPr>
      </w:pPr>
      <w:r>
        <w:rPr>
          <w:rFonts w:ascii="Arial" w:cs="Arial" w:eastAsia="Arial" w:hAnsi="Arial"/>
          <w:sz w:val="16"/>
          <w:szCs w:val="16"/>
          <w:color w:val="auto"/>
        </w:rPr>
        <w:t>In January 2017, the U.S. House of Representatives and Senate passed legislation, which, if signed into law by the current administration, would repeal certain aspects of the ACA. Further, on January 20, 2017, the current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Further, in December 2017, the current administration signed into law legislation that repealed the individual mandate in the ACA and increased manufacturer liability for payment on behalf of Medicare Part D beneficiaries during the coverage gap. Congress also could consider additional legislation to repeal and replace elements of the ACA.</w:t>
      </w:r>
    </w:p>
    <w:p>
      <w:pPr>
        <w:spacing w:after="0" w:line="167"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While the full effect that the ACA may have on our business continues to evolve, we expect that the ACA, as well as other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increasing focus on the price of drugs, and states such as California have begun enacting transparency laws aimed at curbing drug price increases.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66" w:lineRule="exact"/>
        <w:rPr>
          <w:sz w:val="20"/>
          <w:szCs w:val="20"/>
          <w:color w:val="auto"/>
        </w:rPr>
      </w:pPr>
    </w:p>
    <w:p>
      <w:pPr>
        <w:ind w:right="120" w:firstLine="648"/>
        <w:spacing w:after="0" w:line="185" w:lineRule="exact"/>
        <w:rPr>
          <w:sz w:val="20"/>
          <w:szCs w:val="20"/>
          <w:color w:val="auto"/>
        </w:rPr>
      </w:pPr>
      <w:r>
        <w:rPr>
          <w:rFonts w:ascii="Arial" w:cs="Arial" w:eastAsia="Arial" w:hAnsi="Arial"/>
          <w:sz w:val="17"/>
          <w:szCs w:val="17"/>
          <w:color w:val="auto"/>
        </w:rPr>
        <w:t>Legislative and regulatory proposals may also be made to expand post</w:t>
      </w:r>
      <w:r>
        <w:rPr>
          <w:rFonts w:ascii="MS PGothic" w:cs="MS PGothic" w:eastAsia="MS PGothic" w:hAnsi="MS PGothic"/>
          <w:sz w:val="17"/>
          <w:szCs w:val="17"/>
          <w:color w:val="auto"/>
        </w:rPr>
        <w:t>‑</w:t>
      </w:r>
      <w:r>
        <w:rPr>
          <w:rFonts w:ascii="Arial" w:cs="Arial" w:eastAsia="Arial" w:hAnsi="Arial"/>
          <w:sz w:val="17"/>
          <w:szCs w:val="17"/>
          <w:color w:val="auto"/>
        </w:rPr>
        <w: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w:t>
      </w:r>
      <w:r>
        <w:rPr>
          <w:rFonts w:ascii="MS PGothic" w:cs="MS PGothic" w:eastAsia="MS PGothic" w:hAnsi="MS PGothic"/>
          <w:sz w:val="17"/>
          <w:szCs w:val="17"/>
          <w:color w:val="auto"/>
        </w:rPr>
        <w:t>‑</w:t>
      </w:r>
      <w:r>
        <w:rPr>
          <w:rFonts w:ascii="Arial" w:cs="Arial" w:eastAsia="Arial" w:hAnsi="Arial"/>
          <w:sz w:val="17"/>
          <w:szCs w:val="17"/>
          <w:color w:val="auto"/>
        </w:rPr>
        <w:t>marketing testing and other requirements.</w:t>
      </w:r>
    </w:p>
    <w:p>
      <w:pPr>
        <w:spacing w:after="0" w:line="165" w:lineRule="exact"/>
        <w:rPr>
          <w:sz w:val="20"/>
          <w:szCs w:val="20"/>
          <w:color w:val="auto"/>
        </w:rPr>
      </w:pPr>
    </w:p>
    <w:p>
      <w:pPr>
        <w:ind w:right="60" w:firstLine="648"/>
        <w:spacing w:after="0" w:line="237" w:lineRule="auto"/>
        <w:rPr>
          <w:sz w:val="20"/>
          <w:szCs w:val="20"/>
          <w:color w:val="auto"/>
        </w:rPr>
      </w:pPr>
      <w:r>
        <w:rPr>
          <w:rFonts w:ascii="Arial" w:cs="Arial" w:eastAsia="Arial" w:hAnsi="Arial"/>
          <w:sz w:val="16"/>
          <w:szCs w:val="16"/>
          <w:color w:val="auto"/>
        </w:rPr>
        <w:t>In addition, there have been a number of other legislative and regulatory proposals aimed at changing the pharmaceutical industry. For instance, the enacted Drug Quality and Security Act imposes obligations on manufacturers of pharmaceutical products related to product tracking and tracing. Among the requirements of this legislation, manufacturers are required to provide certain information regarding the drug product to individuals and entities to which product ownership is transferred, will be required label drug product with a product identifier, and are required to keep certain records regarding the drug product. The transfer of information to subsequent product owners by manufacturers is also required to be done electronically. Manufacturers are also required to verify that purchasers of the manufacturers’ products are appropriately licensed. Further, under this legislation, manufactures have drug product investigation,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19"/>
        <w:spacing w:after="0" w:line="219" w:lineRule="auto"/>
        <w:rPr>
          <w:sz w:val="20"/>
          <w:szCs w:val="20"/>
          <w:color w:val="auto"/>
        </w:rPr>
      </w:pPr>
      <w:r>
        <w:rPr>
          <w:rFonts w:ascii="Arial" w:cs="Arial" w:eastAsia="Arial" w:hAnsi="Arial"/>
          <w:sz w:val="18"/>
          <w:szCs w:val="18"/>
          <w:color w:val="auto"/>
        </w:rPr>
        <w:t>quarantine, disposition, and FDA and trading partner notification responsibilities related to counterfeit, diverted, stolen, and intentionally adulterated products that would result in serious adverse health consequences of death to humans, as well as products that are the subject of fraudulent transactions or which are otherwise unfit for distribution such that they would be reasonably likely to result in serious health consequences or death.</w:t>
      </w:r>
    </w:p>
    <w:p>
      <w:pPr>
        <w:spacing w:after="0" w:line="163" w:lineRule="exact"/>
        <w:rPr>
          <w:sz w:val="20"/>
          <w:szCs w:val="20"/>
          <w:color w:val="auto"/>
        </w:rPr>
      </w:pPr>
    </w:p>
    <w:p>
      <w:pPr>
        <w:ind w:right="219" w:firstLine="648"/>
        <w:spacing w:after="0" w:line="219" w:lineRule="auto"/>
        <w:rPr>
          <w:sz w:val="20"/>
          <w:szCs w:val="20"/>
          <w:color w:val="auto"/>
        </w:rPr>
      </w:pPr>
      <w:r>
        <w:rPr>
          <w:rFonts w:ascii="Arial" w:cs="Arial" w:eastAsia="Arial" w:hAnsi="Arial"/>
          <w:sz w:val="18"/>
          <w:szCs w:val="18"/>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63" w:lineRule="exact"/>
        <w:rPr>
          <w:sz w:val="20"/>
          <w:szCs w:val="20"/>
          <w:color w:val="auto"/>
        </w:rPr>
      </w:pPr>
    </w:p>
    <w:p>
      <w:pPr>
        <w:ind w:right="279"/>
        <w:spacing w:after="0" w:line="235" w:lineRule="auto"/>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62" w:lineRule="exact"/>
        <w:rPr>
          <w:sz w:val="20"/>
          <w:szCs w:val="20"/>
          <w:color w:val="auto"/>
        </w:rPr>
      </w:pPr>
    </w:p>
    <w:p>
      <w:pPr>
        <w:ind w:right="19" w:firstLine="648"/>
        <w:spacing w:after="0" w:line="181" w:lineRule="exact"/>
        <w:rPr>
          <w:sz w:val="20"/>
          <w:szCs w:val="20"/>
          <w:color w:val="auto"/>
        </w:rPr>
      </w:pPr>
      <w:r>
        <w:rPr>
          <w:rFonts w:ascii="Arial" w:cs="Arial" w:eastAsia="Arial" w:hAnsi="Arial"/>
          <w:sz w:val="17"/>
          <w:szCs w:val="17"/>
          <w:color w:val="auto"/>
        </w:rPr>
        <w:t>In international markets, reimbursement and health care payment systems vary significantly by country, and many countries have instituted price ceilings on specific products and therapies. 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7"/>
          <w:szCs w:val="17"/>
          <w:color w:val="auto"/>
        </w:rPr>
        <w:t>‑</w:t>
      </w:r>
      <w:r>
        <w:rPr>
          <w:rFonts w:ascii="Arial" w:cs="Arial" w:eastAsia="Arial" w:hAnsi="Arial"/>
          <w:sz w:val="17"/>
          <w:szCs w:val="17"/>
          <w:color w:val="auto"/>
        </w:rPr>
        <w:t>effectiveness of our product candidate to other available therapies. There can be no assurance that our products will be considered cost</w:t>
      </w:r>
      <w:r>
        <w:rPr>
          <w:rFonts w:ascii="MS PGothic" w:cs="MS PGothic" w:eastAsia="MS PGothic" w:hAnsi="MS PGothic"/>
          <w:sz w:val="17"/>
          <w:szCs w:val="17"/>
          <w:color w:val="auto"/>
        </w:rPr>
        <w:t>‑</w:t>
      </w:r>
      <w:r>
        <w:rPr>
          <w:rFonts w:ascii="Arial" w:cs="Arial" w:eastAsia="Arial" w:hAnsi="Arial"/>
          <w:sz w:val="17"/>
          <w:szCs w:val="17"/>
          <w:color w:val="auto"/>
        </w:rPr>
        <w:t>effective by third</w:t>
      </w:r>
      <w:r>
        <w:rPr>
          <w:rFonts w:ascii="MS PGothic" w:cs="MS PGothic" w:eastAsia="MS PGothic" w:hAnsi="MS PGothic"/>
          <w:sz w:val="17"/>
          <w:szCs w:val="17"/>
          <w:color w:val="auto"/>
        </w:rPr>
        <w:t>‑</w:t>
      </w:r>
      <w:r>
        <w:rPr>
          <w:rFonts w:ascii="Arial" w:cs="Arial" w:eastAsia="Arial" w:hAnsi="Arial"/>
          <w:sz w:val="17"/>
          <w:szCs w:val="17"/>
          <w:color w:val="auto"/>
        </w:rPr>
        <w:t>party payors, that an adequate level of reimbursement will be available, or that the third</w:t>
      </w:r>
      <w:r>
        <w:rPr>
          <w:rFonts w:ascii="MS PGothic" w:cs="MS PGothic" w:eastAsia="MS PGothic" w:hAnsi="MS PGothic"/>
          <w:sz w:val="17"/>
          <w:szCs w:val="17"/>
          <w:color w:val="auto"/>
        </w:rPr>
        <w:t>‑</w:t>
      </w:r>
      <w:r>
        <w:rPr>
          <w:rFonts w:ascii="Arial" w:cs="Arial" w:eastAsia="Arial" w:hAnsi="Arial"/>
          <w:sz w:val="17"/>
          <w:szCs w:val="17"/>
          <w:color w:val="auto"/>
        </w:rPr>
        <w:t>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64" w:lineRule="exact"/>
        <w:rPr>
          <w:sz w:val="20"/>
          <w:szCs w:val="20"/>
          <w:color w:val="auto"/>
        </w:rPr>
      </w:pPr>
    </w:p>
    <w:p>
      <w:pPr>
        <w:jc w:val="both"/>
        <w:ind w:right="79"/>
        <w:spacing w:after="0" w:line="224"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63" w:lineRule="exact"/>
        <w:rPr>
          <w:sz w:val="20"/>
          <w:szCs w:val="20"/>
          <w:color w:val="auto"/>
        </w:rPr>
      </w:pPr>
    </w:p>
    <w:p>
      <w:pPr>
        <w:ind w:right="39" w:firstLine="648"/>
        <w:spacing w:after="0" w:line="235" w:lineRule="auto"/>
        <w:rPr>
          <w:sz w:val="20"/>
          <w:szCs w:val="20"/>
          <w:color w:val="auto"/>
        </w:rPr>
      </w:pPr>
      <w:r>
        <w:rPr>
          <w:rFonts w:ascii="Arial" w:cs="Arial" w:eastAsia="Arial" w:hAnsi="Arial"/>
          <w:sz w:val="16"/>
          <w:szCs w:val="16"/>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spacing w:after="0" w:line="166" w:lineRule="exact"/>
        <w:rPr>
          <w:sz w:val="20"/>
          <w:szCs w:val="20"/>
          <w:color w:val="auto"/>
        </w:rPr>
      </w:pPr>
    </w:p>
    <w:p>
      <w:pPr>
        <w:jc w:val="both"/>
        <w:ind w:right="179"/>
        <w:spacing w:after="0" w:line="203" w:lineRule="exact"/>
        <w:rPr>
          <w:sz w:val="20"/>
          <w:szCs w:val="20"/>
          <w:color w:val="auto"/>
        </w:rPr>
      </w:pPr>
      <w:r>
        <w:rPr>
          <w:rFonts w:ascii="Arial" w:cs="Arial" w:eastAsia="Arial" w:hAnsi="Arial"/>
          <w:sz w:val="15"/>
          <w:szCs w:val="15"/>
          <w:b w:val="1"/>
          <w:bCs w:val="1"/>
          <w:i w:val="1"/>
          <w:iCs w:val="1"/>
          <w:color w:val="auto"/>
        </w:rPr>
        <w:t>Our third</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party manufacturers may use hazardous materials in the production of our product candidates and if so, they must comply with environmental laws and regulations, which can be expensive and restrict how we or they do business.</w:t>
      </w:r>
    </w:p>
    <w:p>
      <w:pPr>
        <w:spacing w:after="0" w:line="162" w:lineRule="exact"/>
        <w:rPr>
          <w:sz w:val="20"/>
          <w:szCs w:val="20"/>
          <w:color w:val="auto"/>
        </w:rPr>
      </w:pPr>
    </w:p>
    <w:p>
      <w:pPr>
        <w:ind w:right="39" w:firstLine="648"/>
        <w:spacing w:after="0" w:line="184" w:lineRule="exact"/>
        <w:rPr>
          <w:sz w:val="20"/>
          <w:szCs w:val="20"/>
          <w:color w:val="auto"/>
        </w:rPr>
      </w:pPr>
      <w:r>
        <w:rPr>
          <w:rFonts w:ascii="Arial" w:cs="Arial" w:eastAsia="Arial" w:hAnsi="Arial"/>
          <w:sz w:val="16"/>
          <w:szCs w:val="16"/>
          <w:color w:val="auto"/>
        </w:rPr>
        <w:t>Manufacturing activities for the production of our product candidates involve the controlled storage, use, and disposal of hazardous materials, including the components of our product candidates, and other hazardous compounds.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for handling and disposing of these materials comply with the standards prescribed by these laws and regulations, we cannot eliminate the risk of accidental contamination or injury from these</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79"/>
        <w:spacing w:after="0" w:line="238" w:lineRule="auto"/>
        <w:rPr>
          <w:sz w:val="20"/>
          <w:szCs w:val="20"/>
          <w:color w:val="auto"/>
        </w:rPr>
      </w:pPr>
      <w:r>
        <w:rPr>
          <w:rFonts w:ascii="Arial" w:cs="Arial" w:eastAsia="Arial" w:hAnsi="Arial"/>
          <w:sz w:val="17"/>
          <w:szCs w:val="17"/>
          <w:color w:val="auto"/>
        </w:rPr>
        <w:t>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161" w:lineRule="exact"/>
        <w:rPr>
          <w:sz w:val="20"/>
          <w:szCs w:val="20"/>
          <w:color w:val="auto"/>
        </w:rPr>
      </w:pPr>
    </w:p>
    <w:p>
      <w:pPr>
        <w:ind w:right="39" w:firstLine="648"/>
        <w:spacing w:after="0" w:line="232"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3" w:lineRule="exact"/>
        <w:rPr>
          <w:sz w:val="20"/>
          <w:szCs w:val="20"/>
          <w:color w:val="auto"/>
        </w:rPr>
      </w:pPr>
    </w:p>
    <w:p>
      <w:pPr>
        <w:ind w:right="279" w:firstLine="648"/>
        <w:spacing w:after="0" w:line="21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89"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b w:val="1"/>
          <w:bCs w:val="1"/>
          <w:i w:val="1"/>
          <w:iCs w:val="1"/>
          <w:color w:val="auto"/>
        </w:rPr>
        <w:t>We will need to significantly increase the size of our organization, and we may experience difficulties in managing growth.</w:t>
      </w:r>
    </w:p>
    <w:p>
      <w:pPr>
        <w:spacing w:after="0" w:line="162" w:lineRule="exact"/>
        <w:rPr>
          <w:sz w:val="20"/>
          <w:szCs w:val="20"/>
          <w:color w:val="auto"/>
        </w:rPr>
      </w:pPr>
    </w:p>
    <w:p>
      <w:pPr>
        <w:ind w:right="139" w:firstLine="648"/>
        <w:spacing w:after="0" w:line="182" w:lineRule="exact"/>
        <w:rPr>
          <w:sz w:val="20"/>
          <w:szCs w:val="20"/>
          <w:color w:val="auto"/>
        </w:rPr>
      </w:pPr>
      <w:r>
        <w:rPr>
          <w:rFonts w:ascii="Arial" w:cs="Arial" w:eastAsia="Arial" w:hAnsi="Arial"/>
          <w:sz w:val="18"/>
          <w:szCs w:val="18"/>
          <w:color w:val="auto"/>
        </w:rPr>
        <w:t>As of March 2, 2018, we had only 25 full</w:t>
      </w:r>
      <w:r>
        <w:rPr>
          <w:rFonts w:ascii="MS PGothic" w:cs="MS PGothic" w:eastAsia="MS PGothic" w:hAnsi="MS PGothic"/>
          <w:sz w:val="18"/>
          <w:szCs w:val="18"/>
          <w:color w:val="auto"/>
        </w:rPr>
        <w:t>‑</w:t>
      </w:r>
      <w:r>
        <w:rPr>
          <w:rFonts w:ascii="Arial" w:cs="Arial" w:eastAsia="Arial" w:hAnsi="Arial"/>
          <w:sz w:val="18"/>
          <w:szCs w:val="18"/>
          <w:color w:val="auto"/>
        </w:rPr>
        <w:t>time employees and 4 key consultants. We will need to substantially expand our managerial, commercial, financial, manufacturing, and other personnel resources in order to manage our operations and prepare for the commercialization of our product candidates, if approved. Our management, personnel, systems, and facilities currently in place may not be adequate to support this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Our need to effectively manage our operations, growth and various projects requires that we:</w:t>
      </w:r>
    </w:p>
    <w:p>
      <w:pPr>
        <w:spacing w:after="0" w:line="165" w:lineRule="exact"/>
        <w:rPr>
          <w:sz w:val="20"/>
          <w:szCs w:val="20"/>
          <w:color w:val="auto"/>
        </w:rPr>
      </w:pPr>
    </w:p>
    <w:p>
      <w:pPr>
        <w:ind w:left="980" w:right="219" w:hanging="329"/>
        <w:spacing w:after="0" w:line="224" w:lineRule="auto"/>
        <w:tabs>
          <w:tab w:leader="none" w:pos="9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continue the hiring and training of personnel for an effective commercial organization in anticipation of the potential approval of our product candidates, and establish appropriate systems, policies and infrastructure to support that organization;</w:t>
      </w:r>
    </w:p>
    <w:p>
      <w:pPr>
        <w:spacing w:after="0" w:line="163" w:lineRule="exact"/>
        <w:rPr>
          <w:rFonts w:ascii="Arial" w:cs="Arial" w:eastAsia="Arial" w:hAnsi="Arial"/>
          <w:sz w:val="18"/>
          <w:szCs w:val="18"/>
          <w:color w:val="auto"/>
        </w:rPr>
      </w:pPr>
    </w:p>
    <w:p>
      <w:pPr>
        <w:ind w:left="980" w:right="459" w:hanging="329"/>
        <w:spacing w:after="0" w:line="235" w:lineRule="auto"/>
        <w:tabs>
          <w:tab w:leader="none" w:pos="9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ensure that our consultants and other service providers successfully carry out their contractual obligations, provide high quality results, and meet expected deadlines;</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continue to carry out our own contractual obligations to our licensors and other third parties; and</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continue to improve our operational, financial, and management controls, reporting systems, and procedures.</w:t>
      </w:r>
    </w:p>
    <w:p>
      <w:pPr>
        <w:spacing w:after="0" w:line="208" w:lineRule="exact"/>
        <w:rPr>
          <w:sz w:val="20"/>
          <w:szCs w:val="20"/>
          <w:color w:val="auto"/>
        </w:rPr>
      </w:pPr>
    </w:p>
    <w:p>
      <w:pPr>
        <w:ind w:right="319" w:firstLine="648"/>
        <w:spacing w:after="0" w:line="235" w:lineRule="auto"/>
        <w:rPr>
          <w:sz w:val="20"/>
          <w:szCs w:val="20"/>
          <w:color w:val="auto"/>
        </w:rPr>
      </w:pPr>
      <w:r>
        <w:rPr>
          <w:rFonts w:ascii="Arial" w:cs="Arial" w:eastAsia="Arial" w:hAnsi="Arial"/>
          <w:sz w:val="18"/>
          <w:szCs w:val="18"/>
          <w:color w:val="auto"/>
        </w:rPr>
        <w:t>We may be unable to successfully implement these tasks on a larger scale and, accordingly, may not achieve our development and commercialization goals.</w:t>
      </w:r>
    </w:p>
    <w:p>
      <w:pPr>
        <w:spacing w:after="0" w:line="162" w:lineRule="exact"/>
        <w:rPr>
          <w:sz w:val="20"/>
          <w:szCs w:val="20"/>
          <w:color w:val="auto"/>
        </w:rPr>
      </w:pPr>
    </w:p>
    <w:p>
      <w:pPr>
        <w:ind w:right="239"/>
        <w:spacing w:after="0" w:line="235" w:lineRule="auto"/>
        <w:rPr>
          <w:sz w:val="20"/>
          <w:szCs w:val="20"/>
          <w:color w:val="auto"/>
        </w:rPr>
      </w:pPr>
      <w:r>
        <w:rPr>
          <w:rFonts w:ascii="Arial" w:cs="Arial" w:eastAsia="Arial" w:hAnsi="Arial"/>
          <w:sz w:val="18"/>
          <w:szCs w:val="18"/>
          <w:b w:val="1"/>
          <w:bCs w:val="1"/>
          <w:i w:val="1"/>
          <w:iCs w:val="1"/>
          <w:color w:val="auto"/>
        </w:rPr>
        <w:t>We may acquire businesses or products, or form strategic alliances in the future, and we may not realize the benefits of such acquisitions or alliances.</w:t>
      </w:r>
    </w:p>
    <w:p>
      <w:pPr>
        <w:spacing w:after="0" w:line="162" w:lineRule="exact"/>
        <w:rPr>
          <w:sz w:val="20"/>
          <w:szCs w:val="20"/>
          <w:color w:val="auto"/>
        </w:rPr>
      </w:pPr>
    </w:p>
    <w:p>
      <w:pPr>
        <w:ind w:right="39" w:firstLine="648"/>
        <w:spacing w:after="0" w:line="229" w:lineRule="auto"/>
        <w:rPr>
          <w:sz w:val="20"/>
          <w:szCs w:val="20"/>
          <w:color w:val="auto"/>
        </w:rPr>
      </w:pPr>
      <w:r>
        <w:rPr>
          <w:rFonts w:ascii="Arial" w:cs="Arial" w:eastAsia="Arial" w:hAnsi="Arial"/>
          <w:sz w:val="17"/>
          <w:szCs w:val="17"/>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delay or prevent us from realizing their expected benefits or enhancing our business. We cannot assure you that, following any such acquisition, we will achieve the expected synergies to justify the transaction.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manage our business effectively if we are unable to attract and retain key personnel.</w:t>
      </w:r>
    </w:p>
    <w:p>
      <w:pPr>
        <w:spacing w:after="0" w:line="196" w:lineRule="exact"/>
        <w:rPr>
          <w:sz w:val="20"/>
          <w:szCs w:val="20"/>
          <w:color w:val="auto"/>
        </w:rPr>
      </w:pPr>
    </w:p>
    <w:p>
      <w:pPr>
        <w:jc w:val="both"/>
        <w:ind w:right="80" w:firstLine="648"/>
        <w:spacing w:after="0" w:line="216" w:lineRule="auto"/>
        <w:rPr>
          <w:sz w:val="20"/>
          <w:szCs w:val="20"/>
          <w:color w:val="auto"/>
        </w:rPr>
      </w:pPr>
      <w:r>
        <w:rPr>
          <w:rFonts w:ascii="Arial" w:cs="Arial" w:eastAsia="Arial" w:hAnsi="Arial"/>
          <w:sz w:val="18"/>
          <w:szCs w:val="18"/>
          <w:color w:val="auto"/>
        </w:rPr>
        <w:t>We may not be able to attract or retain qualified management and commercial, scientific, and clinical personnel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62"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164"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b w:val="1"/>
          <w:bCs w:val="1"/>
          <w:i w:val="1"/>
          <w:iCs w:val="1"/>
          <w:color w:val="auto"/>
        </w:rPr>
        <w:t>We continue to incur significant increased costs as a result of operating as a public company, and our management is required to devote substantial time to compliance initiatives.</w:t>
      </w:r>
    </w:p>
    <w:p>
      <w:pPr>
        <w:spacing w:after="0" w:line="17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As a public company, we continue to incur significant legal, accounting and other expenses that we did not incur as a private company. In addition, the Sarbanes-Oxley Act, as well as rules subsequently implemented by the Securities and Exchange Commission, or the SEC, and the Nasdaq Global Market,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7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Section 404(a) of the Sarbanes-Oxley Act requires annual management assessments of the effectiveness of our internal control over financial reporting. However, for as long as we remain an “emerging growth company” as defined in the Jumpstart Our Business Startups Act of 2012, or JOBS Act,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We may take advantage of these reporting exemptions until we are no longer an “emerging growth company.” We will remain an “emerging growth company” until the earliest of (i) the last day of the fiscal year in which we have total annual gross revenues of $1.07 billion or more; (ii) December 31, 2020; (iii) the date on which we have issued more than $1.0 billion in nonconvertible debt during the previous three years; or (iv) the date on which we are deemed to be a “large accelerated filer” under the rules of the SEC.</w:t>
      </w:r>
    </w:p>
    <w:p>
      <w:pPr>
        <w:spacing w:after="0" w:line="164" w:lineRule="exact"/>
        <w:rPr>
          <w:sz w:val="20"/>
          <w:szCs w:val="20"/>
          <w:color w:val="auto"/>
        </w:rPr>
      </w:pPr>
    </w:p>
    <w:p>
      <w:pPr>
        <w:ind w:right="60" w:firstLine="648"/>
        <w:spacing w:after="0" w:line="241" w:lineRule="auto"/>
        <w:rPr>
          <w:sz w:val="20"/>
          <w:szCs w:val="20"/>
          <w:color w:val="auto"/>
        </w:rPr>
      </w:pPr>
      <w:r>
        <w:rPr>
          <w:rFonts w:ascii="Arial" w:cs="Arial" w:eastAsia="Arial" w:hAnsi="Arial"/>
          <w:sz w:val="16"/>
          <w:szCs w:val="16"/>
          <w:color w:val="auto"/>
        </w:rPr>
        <w:t>Our testing, or the subsequent testing by our independent registered public accounting firm, may reveal deficiencies in our internal control over financial reporting that are deemed to be material weaknesses. We will incur substantial accounting expense and expend significant management efforts to comply with internal control over financial reporting requirements. We currently do not have an internal audit group, and we may need to hire additional accounting and financial staff with appropriate public company experience and technical accounting knowledge. Moreover, if we are not able to comply with these requirements in a timely manner or if we or our independent registered public accounting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firm identifies deficiencies in our internal control over financial reporting that are deemed to be material weaknesses, the market price of our stock could decline, and we could be subject to sanctions or investigations by the Nasdaq Global Market, the SEC or other regulatory authorities, which would require additional financial and management resources.</w:t>
      </w:r>
    </w:p>
    <w:p>
      <w:pPr>
        <w:spacing w:after="0" w:line="147"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63"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we could lose investor confidence in the accuracy and completeness of our financial reports, the market price of our common stock could decline, and we could be subject to sanctions or investigations by the Nasdaq Global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98" w:lineRule="exact"/>
        <w:rPr>
          <w:sz w:val="20"/>
          <w:szCs w:val="20"/>
          <w:color w:val="auto"/>
        </w:rPr>
      </w:pPr>
    </w:p>
    <w:p>
      <w:pPr>
        <w:ind w:right="260" w:firstLine="648"/>
        <w:spacing w:after="0" w:line="293" w:lineRule="auto"/>
        <w:rPr>
          <w:sz w:val="20"/>
          <w:szCs w:val="20"/>
          <w:color w:val="auto"/>
        </w:rPr>
      </w:pPr>
      <w:r>
        <w:rPr>
          <w:rFonts w:ascii="Arial" w:cs="Arial" w:eastAsia="Arial" w:hAnsi="Arial"/>
          <w:sz w:val="16"/>
          <w:szCs w:val="16"/>
          <w:color w:val="auto"/>
        </w:rPr>
        <w:t>We are subject to the periodic reporting requirements of the Securities Exchange Act of 1934, as amended, or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51" w:lineRule="exact"/>
        <w:rPr>
          <w:sz w:val="20"/>
          <w:szCs w:val="20"/>
          <w:color w:val="auto"/>
        </w:rPr>
      </w:pPr>
    </w:p>
    <w:p>
      <w:pPr>
        <w:ind w:right="80"/>
        <w:spacing w:after="0" w:line="216"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185" w:lineRule="exact"/>
        <w:rPr>
          <w:sz w:val="20"/>
          <w:szCs w:val="20"/>
          <w:color w:val="auto"/>
        </w:rPr>
      </w:pPr>
    </w:p>
    <w:p>
      <w:pPr>
        <w:ind w:right="40" w:firstLine="648"/>
        <w:spacing w:after="0" w:line="235" w:lineRule="auto"/>
        <w:rPr>
          <w:sz w:val="20"/>
          <w:szCs w:val="20"/>
          <w:color w:val="auto"/>
        </w:rPr>
      </w:pPr>
      <w:r>
        <w:rPr>
          <w:rFonts w:ascii="Arial" w:cs="Arial" w:eastAsia="Arial" w:hAnsi="Arial"/>
          <w:sz w:val="16"/>
          <w:szCs w:val="16"/>
          <w:color w:val="auto"/>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00" w:name="page101"/>
    <w:bookmarkEnd w:id="10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of personal, confidential, or proprietary information, we could incur liability and the further development of any of our product candidates could be delayed.</w:t>
      </w:r>
    </w:p>
    <w:p>
      <w:pPr>
        <w:spacing w:after="0" w:line="158" w:lineRule="exact"/>
        <w:rPr>
          <w:sz w:val="20"/>
          <w:szCs w:val="20"/>
          <w:color w:val="auto"/>
        </w:rPr>
      </w:pPr>
    </w:p>
    <w:p>
      <w:pPr>
        <w:ind w:right="3800"/>
        <w:spacing w:after="0" w:line="513" w:lineRule="auto"/>
        <w:rPr>
          <w:sz w:val="20"/>
          <w:szCs w:val="20"/>
          <w:color w:val="auto"/>
        </w:rPr>
      </w:pPr>
      <w:r>
        <w:rPr>
          <w:rFonts w:ascii="Arial" w:cs="Arial" w:eastAsia="Arial" w:hAnsi="Arial"/>
          <w:sz w:val="16"/>
          <w:szCs w:val="16"/>
          <w:b w:val="1"/>
          <w:bCs w:val="1"/>
          <w:color w:val="auto"/>
        </w:rPr>
        <w:t xml:space="preserve">RISKS RELATED TO OWNERSHIP OF OUR COMMON STOCK </w:t>
      </w:r>
      <w:r>
        <w:rPr>
          <w:rFonts w:ascii="Arial" w:cs="Arial" w:eastAsia="Arial" w:hAnsi="Arial"/>
          <w:sz w:val="16"/>
          <w:szCs w:val="16"/>
          <w:b w:val="1"/>
          <w:bCs w:val="1"/>
          <w:i w:val="1"/>
          <w:iCs w:val="1"/>
          <w:color w:val="auto"/>
        </w:rPr>
        <w:t>An active trading market for our common stock may not be sustained.</w:t>
      </w:r>
    </w:p>
    <w:p>
      <w:pPr>
        <w:spacing w:after="0" w:line="1"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highly volatile.</w:t>
      </w:r>
    </w:p>
    <w:p>
      <w:pPr>
        <w:spacing w:after="0" w:line="185"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The trading price of our common stock is likely to be volatile. As a result of this volatility, investors may not be able to sell their common stock at or above the price paid for the shares. The market price for our common stock may be influenced by many factors, including:</w:t>
      </w:r>
    </w:p>
    <w:p>
      <w:pPr>
        <w:spacing w:after="0" w:line="163" w:lineRule="exact"/>
        <w:rPr>
          <w:sz w:val="20"/>
          <w:szCs w:val="20"/>
          <w:color w:val="auto"/>
        </w:rPr>
      </w:pPr>
    </w:p>
    <w:p>
      <w:pPr>
        <w:ind w:left="980" w:right="60" w:hanging="329"/>
        <w:spacing w:after="0" w:line="235" w:lineRule="auto"/>
        <w:tabs>
          <w:tab w:leader="none" w:pos="9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delays in the commencement, enrollment, and ultimate completion, of our planned and ongoing Phase 3 clinical trials for our product candidates;</w:t>
      </w:r>
    </w:p>
    <w:p>
      <w:pPr>
        <w:spacing w:after="0" w:line="161" w:lineRule="exact"/>
        <w:rPr>
          <w:rFonts w:ascii="Arial" w:cs="Arial" w:eastAsia="Arial" w:hAnsi="Arial"/>
          <w:sz w:val="18"/>
          <w:szCs w:val="18"/>
          <w:color w:val="auto"/>
        </w:rPr>
      </w:pPr>
    </w:p>
    <w:p>
      <w:pPr>
        <w:ind w:left="980" w:right="420" w:hanging="329"/>
        <w:spacing w:after="0" w:line="235" w:lineRule="auto"/>
        <w:tabs>
          <w:tab w:leader="none" w:pos="9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delay or refusal on the part of the FDA in approving an NDA for any of our current and future product candidates;</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commercial success of any of our current and future product candidates, if approved by the FDA;</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results of clinical trials of any of our current and future product candidates or those of our competitors;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actual or anticipated variations in quarterly or annual operating results;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failure to meet or exceed financial projections we provide to the public, if any;</w:t>
      </w:r>
    </w:p>
    <w:p>
      <w:pPr>
        <w:spacing w:after="0" w:line="184" w:lineRule="exact"/>
        <w:rPr>
          <w:rFonts w:ascii="Arial" w:cs="Arial" w:eastAsia="Arial" w:hAnsi="Arial"/>
          <w:sz w:val="18"/>
          <w:szCs w:val="18"/>
          <w:color w:val="auto"/>
        </w:rPr>
      </w:pPr>
    </w:p>
    <w:p>
      <w:pPr>
        <w:ind w:left="980" w:right="540" w:hanging="329"/>
        <w:spacing w:after="0" w:line="235" w:lineRule="auto"/>
        <w:tabs>
          <w:tab w:leader="none" w:pos="9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failure to meet or exceed the estimates and projections of the investment community, including securities analysts;</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introduction of competitive products or technologies;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product candidates;</w:t>
      </w:r>
    </w:p>
    <w:p>
      <w:pPr>
        <w:spacing w:after="0" w:line="184" w:lineRule="exact"/>
        <w:rPr>
          <w:rFonts w:ascii="Arial" w:cs="Arial" w:eastAsia="Arial" w:hAnsi="Arial"/>
          <w:sz w:val="18"/>
          <w:szCs w:val="18"/>
          <w:color w:val="auto"/>
        </w:rPr>
      </w:pPr>
    </w:p>
    <w:p>
      <w:pPr>
        <w:ind w:left="980" w:right="700" w:hanging="329"/>
        <w:spacing w:after="0" w:line="235" w:lineRule="auto"/>
        <w:tabs>
          <w:tab w:leader="none" w:pos="9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general economic and market conditions and overall fluctuations in U.S. equity markets;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data or security breaches;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developments concerning our sources of manufacturing supply, warehousing, and inventory control;</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01" w:name="page102"/>
    <w:bookmarkEnd w:id="10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40" w:hanging="289"/>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disputes or other developments relating to patents or other proprietary rights;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capital commitments;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investors’ general perception of our company and our business;</w:t>
      </w:r>
    </w:p>
    <w:p>
      <w:pPr>
        <w:spacing w:after="0" w:line="184" w:lineRule="exact"/>
        <w:rPr>
          <w:rFonts w:ascii="Arial" w:cs="Arial" w:eastAsia="Arial" w:hAnsi="Arial"/>
          <w:sz w:val="18"/>
          <w:szCs w:val="18"/>
          <w:color w:val="auto"/>
        </w:rPr>
      </w:pPr>
    </w:p>
    <w:p>
      <w:pPr>
        <w:ind w:left="980" w:right="580" w:hanging="329"/>
        <w:spacing w:after="0" w:line="235" w:lineRule="auto"/>
        <w:tabs>
          <w:tab w:leader="none" w:pos="9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announcements and expectations of additional financing efforts, including the issuance of debt, equity or convertible securities;</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sales of our common stock, including sales by our directors and officers or significant stockholders;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the market valuations of companies similar to us;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or divestitures;</w:t>
      </w:r>
    </w:p>
    <w:p>
      <w:pPr>
        <w:spacing w:after="0" w:line="196" w:lineRule="exact"/>
        <w:rPr>
          <w:rFonts w:ascii="Arial" w:cs="Arial" w:eastAsia="Arial" w:hAnsi="Arial"/>
          <w:sz w:val="17"/>
          <w:szCs w:val="17"/>
          <w:color w:val="auto"/>
        </w:rPr>
      </w:pPr>
    </w:p>
    <w:p>
      <w:pPr>
        <w:ind w:left="940" w:hanging="289"/>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general conditions or trends in our industry; and</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85" w:lineRule="exact"/>
        <w:rPr>
          <w:sz w:val="20"/>
          <w:szCs w:val="20"/>
          <w:color w:val="auto"/>
        </w:rPr>
      </w:pPr>
    </w:p>
    <w:p>
      <w:pPr>
        <w:jc w:val="both"/>
        <w:ind w:right="120" w:firstLine="648"/>
        <w:spacing w:after="0" w:line="232" w:lineRule="auto"/>
        <w:rPr>
          <w:sz w:val="20"/>
          <w:szCs w:val="20"/>
          <w:color w:val="auto"/>
        </w:rPr>
      </w:pPr>
      <w:r>
        <w:rPr>
          <w:rFonts w:ascii="Arial" w:cs="Arial" w:eastAsia="Arial" w:hAnsi="Arial"/>
          <w:sz w:val="17"/>
          <w:szCs w:val="17"/>
          <w:color w:val="auto"/>
        </w:rPr>
        <w:t>In addition, the stock market in general, and the market for small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63" w:lineRule="exact"/>
        <w:rPr>
          <w:sz w:val="20"/>
          <w:szCs w:val="20"/>
          <w:color w:val="auto"/>
        </w:rPr>
      </w:pPr>
    </w:p>
    <w:p>
      <w:pPr>
        <w:ind w:firstLine="648"/>
        <w:spacing w:after="0" w:line="259" w:lineRule="auto"/>
        <w:rPr>
          <w:sz w:val="20"/>
          <w:szCs w:val="20"/>
          <w:color w:val="auto"/>
        </w:rPr>
      </w:pPr>
      <w:r>
        <w:rPr>
          <w:rFonts w:ascii="Arial" w:cs="Arial" w:eastAsia="Arial" w:hAnsi="Arial"/>
          <w:sz w:val="16"/>
          <w:szCs w:val="16"/>
          <w:color w:val="auto"/>
        </w:rPr>
        <w:t>Further, in the past, stockholders have initiated class action lawsuits against pharmaceutical and biotechnology companies following periods of volatility in the market prices of these companies’ stocks. Such litigation, if instituted against us, could cause us to incur substantial costs and divert management’s attention and resources from our business.</w:t>
      </w:r>
    </w:p>
    <w:p>
      <w:pPr>
        <w:spacing w:after="0" w:line="147"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62" w:lineRule="exact"/>
        <w:rPr>
          <w:sz w:val="20"/>
          <w:szCs w:val="20"/>
          <w:color w:val="auto"/>
        </w:rPr>
      </w:pPr>
    </w:p>
    <w:p>
      <w:pPr>
        <w:ind w:right="180" w:firstLine="648"/>
        <w:spacing w:after="0" w:line="241" w:lineRule="auto"/>
        <w:rPr>
          <w:sz w:val="20"/>
          <w:szCs w:val="20"/>
          <w:color w:val="auto"/>
        </w:rPr>
      </w:pPr>
      <w:r>
        <w:rPr>
          <w:rFonts w:ascii="Arial" w:cs="Arial" w:eastAsia="Arial" w:hAnsi="Arial"/>
          <w:sz w:val="16"/>
          <w:szCs w:val="16"/>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fluctuate significantly.</w:t>
      </w:r>
    </w:p>
    <w:p>
      <w:pPr>
        <w:spacing w:after="0" w:line="185" w:lineRule="exact"/>
        <w:rPr>
          <w:sz w:val="20"/>
          <w:szCs w:val="20"/>
          <w:color w:val="auto"/>
        </w:rPr>
      </w:pPr>
    </w:p>
    <w:p>
      <w:pPr>
        <w:ind w:right="140" w:firstLine="648"/>
        <w:spacing w:after="0" w:line="235"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162" w:lineRule="exact"/>
        <w:rPr>
          <w:sz w:val="20"/>
          <w:szCs w:val="20"/>
          <w:color w:val="auto"/>
        </w:rPr>
      </w:pPr>
    </w:p>
    <w:p>
      <w:pPr>
        <w:ind w:left="980" w:right="440" w:hanging="329"/>
        <w:spacing w:after="0" w:line="224" w:lineRule="auto"/>
        <w:tabs>
          <w:tab w:leader="none" w:pos="9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the FDA requires us to complete additional, unanticipated studies, tests, or other activities prior to approving any of our current and future product candidates, which would likely further delay any such approval;</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02" w:name="page103"/>
    <w:bookmarkEnd w:id="10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right="140" w:hanging="329"/>
        <w:spacing w:after="0" w:line="219" w:lineRule="auto"/>
        <w:tabs>
          <w:tab w:leader="none" w:pos="9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any of our current or future product candidates is approved, our ability to establish the necessary commercial infrastructure to launch this product candidate without substantial delays, including hiring sales and marketing personnel and contracting with third parties for warehousing, distribution, cash collection, and related commercial activities;</w:t>
      </w:r>
    </w:p>
    <w:p>
      <w:pPr>
        <w:spacing w:after="0" w:line="162" w:lineRule="exact"/>
        <w:rPr>
          <w:rFonts w:ascii="Arial" w:cs="Arial" w:eastAsia="Arial" w:hAnsi="Arial"/>
          <w:sz w:val="18"/>
          <w:szCs w:val="18"/>
          <w:color w:val="auto"/>
        </w:rPr>
      </w:pPr>
    </w:p>
    <w:p>
      <w:pPr>
        <w:ind w:left="980" w:right="260" w:hanging="329"/>
        <w:spacing w:after="0" w:line="203" w:lineRule="exact"/>
        <w:tabs>
          <w:tab w:leader="none" w:pos="9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identify and enter into third</w:t>
      </w:r>
      <w:r>
        <w:rPr>
          <w:rFonts w:ascii="MS PGothic" w:cs="MS PGothic" w:eastAsia="MS PGothic" w:hAnsi="MS PGothic"/>
          <w:sz w:val="18"/>
          <w:szCs w:val="18"/>
          <w:color w:val="auto"/>
        </w:rPr>
        <w:t>‑</w:t>
      </w:r>
      <w:r>
        <w:rPr>
          <w:rFonts w:ascii="Arial" w:cs="Arial" w:eastAsia="Arial" w:hAnsi="Arial"/>
          <w:sz w:val="18"/>
          <w:szCs w:val="18"/>
          <w:color w:val="auto"/>
        </w:rPr>
        <w:t>party manufacturing arrangements capable of manufacturing any of our current or future product candidates in commercial quantities;</w:t>
      </w:r>
    </w:p>
    <w:p>
      <w:pPr>
        <w:spacing w:after="0" w:line="161" w:lineRule="exact"/>
        <w:rPr>
          <w:rFonts w:ascii="Arial" w:cs="Arial" w:eastAsia="Arial" w:hAnsi="Arial"/>
          <w:sz w:val="18"/>
          <w:szCs w:val="18"/>
          <w:color w:val="auto"/>
        </w:rPr>
      </w:pPr>
    </w:p>
    <w:p>
      <w:pPr>
        <w:ind w:left="980" w:right="380" w:hanging="329"/>
        <w:spacing w:after="0" w:line="235" w:lineRule="auto"/>
        <w:tabs>
          <w:tab w:leader="none" w:pos="9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execution of other collaborative, licensing, or similar arrangements and the timing of payments we may make or receive under these arrangements;</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future development programs;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product liability or intellectual property infringement lawsuit in which we may become involved;</w:t>
      </w:r>
    </w:p>
    <w:p>
      <w:pPr>
        <w:spacing w:after="0" w:line="184" w:lineRule="exact"/>
        <w:rPr>
          <w:rFonts w:ascii="Arial" w:cs="Arial" w:eastAsia="Arial" w:hAnsi="Arial"/>
          <w:sz w:val="18"/>
          <w:szCs w:val="18"/>
          <w:color w:val="auto"/>
        </w:rPr>
      </w:pPr>
    </w:p>
    <w:p>
      <w:pPr>
        <w:ind w:left="980" w:right="260" w:hanging="329"/>
        <w:spacing w:after="0" w:line="235" w:lineRule="auto"/>
        <w:tabs>
          <w:tab w:leader="none" w:pos="9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regulatory developments affecting our current and future product candidates, or the product candidates of our competitors; and</w:t>
      </w:r>
    </w:p>
    <w:p>
      <w:pPr>
        <w:spacing w:after="0" w:line="161" w:lineRule="exact"/>
        <w:rPr>
          <w:rFonts w:ascii="Arial" w:cs="Arial" w:eastAsia="Arial" w:hAnsi="Arial"/>
          <w:sz w:val="18"/>
          <w:szCs w:val="18"/>
          <w:color w:val="auto"/>
        </w:rPr>
      </w:pPr>
    </w:p>
    <w:p>
      <w:pPr>
        <w:ind w:left="980" w:right="240" w:hanging="329"/>
        <w:spacing w:after="0" w:line="235" w:lineRule="auto"/>
        <w:tabs>
          <w:tab w:leader="none" w:pos="9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any of our current or future product candidates receive regulatory approval, the level of underlying demand for such product candidate and wholesaler buying patterns.</w:t>
      </w:r>
    </w:p>
    <w:p>
      <w:pPr>
        <w:spacing w:after="0" w:line="162"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55" w:lineRule="exact"/>
        <w:rPr>
          <w:sz w:val="20"/>
          <w:szCs w:val="20"/>
          <w:color w:val="auto"/>
        </w:rPr>
      </w:pPr>
    </w:p>
    <w:p>
      <w:pPr>
        <w:ind w:right="460"/>
        <w:spacing w:after="0" w:line="324" w:lineRule="auto"/>
        <w:rPr>
          <w:sz w:val="20"/>
          <w:szCs w:val="20"/>
          <w:color w:val="auto"/>
        </w:rPr>
      </w:pPr>
      <w:r>
        <w:rPr>
          <w:rFonts w:ascii="Arial" w:cs="Arial" w:eastAsia="Arial" w:hAnsi="Arial"/>
          <w:sz w:val="15"/>
          <w:szCs w:val="15"/>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02" w:lineRule="exact"/>
        <w:rPr>
          <w:sz w:val="20"/>
          <w:szCs w:val="20"/>
          <w:color w:val="auto"/>
        </w:rPr>
      </w:pPr>
    </w:p>
    <w:p>
      <w:pPr>
        <w:ind w:right="200" w:firstLine="648"/>
        <w:spacing w:after="0" w:line="239"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grants, and license and development agreements in connection with any collaborations. We do not have any committed external source of funds.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63"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3" w:name="page104"/>
    <w:bookmarkEnd w:id="10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0"/>
        <w:spacing w:after="0" w:line="235"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62"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As of March 2, 2018, our executive officers, directors, and 5% stockholders and their affiliates beneficially owned an aggregate of approximately 43.4%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161"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Some of these persons or entities may have interests different than yours.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167"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by our existing stockholders could cause our stock price to fall.</w:t>
      </w:r>
    </w:p>
    <w:p>
      <w:pPr>
        <w:spacing w:after="0" w:line="17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187"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As of March 2, 2018, we have outstanding 25,492,992 shares of common stock and 4,414,787 shares of common stock equivalents that would increase the number of common stock outstanding if these instruments were exercised or converted, including stock options to purchase common stock based on vesting requirements and warrants to purchase common stock. Of our currently outstanding shares of common stock, 17,442,851 are freely tradable. The remainder of the outstanding shares of common stock are held by our affiliates and may be considered “control securities” for purposes of Rule 144 under the Securities Act.</w:t>
      </w:r>
    </w:p>
    <w:p>
      <w:pPr>
        <w:spacing w:after="0" w:line="180"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In addition, we have filed one or more registration statements on Form S-8 registering the issuance of 5,257,843 shares of common stock subject to options or other equity awards issued or reserved for future issuance under our 2015 Omnibus Incentive Compensation Plan. Shares registered under registration statements on Form S-8 will be available for sale in the public market subject to vesting arrangements and exercise of options, the lock-up agreements described above and the restrictions of Rule 144 in the case of our affiliates.</w:t>
      </w:r>
    </w:p>
    <w:p>
      <w:pPr>
        <w:spacing w:after="0" w:line="161"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our capital raises, including our March 2017 public offering, our December 2017 registered direct offering, and any proceeds from sales pursuant to the Sales Agreement, and may not use them effectively.</w:t>
      </w:r>
    </w:p>
    <w:p>
      <w:pPr>
        <w:spacing w:after="0" w:line="163"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color w:val="auto"/>
        </w:rPr>
        <w:t>Our management will have broad discretion in the application of the net proceeds from our capital raises, including our March 2017 public offering, our December 2017 registered direct offering and proceeds from sales pursuant to our “at-the-market” sales agreement with Leerink Partners LLC, or the Sales Agreement, if any, and our stockholders will not have the opportunity as part of their investment decision to assess whether the net proceeds from those capital raises are being used appropriately. You may not agree with our decisions, and our use of the proceeds may not yield any return on your investment. Because of the number and variability of factors that will determine our use of</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04" w:name="page105"/>
    <w:bookmarkEnd w:id="10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21" w:lineRule="auto"/>
        <w:rPr>
          <w:sz w:val="20"/>
          <w:szCs w:val="20"/>
          <w:color w:val="auto"/>
        </w:rPr>
      </w:pPr>
      <w:r>
        <w:rPr>
          <w:rFonts w:ascii="Arial" w:cs="Arial" w:eastAsia="Arial" w:hAnsi="Arial"/>
          <w:sz w:val="17"/>
          <w:szCs w:val="17"/>
          <w:color w:val="auto"/>
        </w:rPr>
        <w:t>the net proceeds from our capital raises, including our March 2017 public offering, our December 2017 registered direct offering and proceeds from sales pursuant to the Sales Agreement, if any, their ultimate use may vary substantially from their currently intended use. Our failure to apply the net proceeds of our capital raises, including our March 2017 public offering, our December 2017 registered direct offering and proceeds from sales pursuant to the Sales Agreement, if any, effectively could compromise our ability to pursue our growth strategy and we might not be able to yield a significant return, if any, on our investment of those net proceeds. You will not have the opportunity to influence our decisions on how to use our net proceeds from those capital raises, including our March 2017 public offering, our December 2017 registered direct offering and proceeds from sales pursuant to the Sales Agreement, if any. Pending their use, we may invest the net proceeds from our capital raises, including our March 2017 public offering and December 2017 registered direct offering, in short-term, investment-grade, interest-bearing instruments and U.S. government securities. These temporary investments are not likely to yield a significant return.</w:t>
      </w:r>
    </w:p>
    <w:p>
      <w:pPr>
        <w:spacing w:after="0" w:line="167"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160"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JOBS Act, and we intend to take advantage of some of the exemptions from reporting requirements that are applicable to other public companies that are not emerging growth companies, including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reporting exemptions until we are no longer an emerging growth company.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pacing w:after="0" w:line="181"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We will remain an emerging growth company until the earlier of (1) December 31, 2020, (2) the last day of the fiscal year (a) in which we have total annual gross revenue of at least $1.07 billion, or (b) in which we are deemed to be a large accelerated filer, which means the market value of our common stock that is held by non-affiliates exceeds $700 million as of the prior June 30</w:t>
      </w:r>
      <w:r>
        <w:rPr>
          <w:rFonts w:ascii="Arial" w:cs="Arial" w:eastAsia="Arial" w:hAnsi="Arial"/>
          <w:sz w:val="8"/>
          <w:szCs w:val="8"/>
          <w:color w:val="auto"/>
        </w:rPr>
        <w:t>th</w:t>
      </w:r>
      <w:r>
        <w:rPr>
          <w:rFonts w:ascii="Arial" w:cs="Arial" w:eastAsia="Arial" w:hAnsi="Arial"/>
          <w:sz w:val="18"/>
          <w:szCs w:val="18"/>
          <w:color w:val="auto"/>
        </w:rPr>
        <w:t>, and (3) the date on which we have issued more than $1.0 billion in non-convertible debt during the prior three-year period. To the extent we are no longer eligible to use exemptions from various reporting requirements under the JOBS Act, we may be unable to realize our anticipated cost savings from these exemptions, which could have a material adverse impact on our operating results.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 of our net operating loss carryforwards and research tax credits may be limited.</w:t>
      </w:r>
    </w:p>
    <w:p>
      <w:pPr>
        <w:spacing w:after="0" w:line="185"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Our net operating loss carryforwards and any future research and development tax credits may expire and not be used. As of December 31, 2017, we had U.S. net operating loss carryforwards of approximately $61 million. Our net operating loss carryforwards arising in taxable years ending on or prior to December 31, 2017 will begin expiring in 2033 if we have not used them prior to that time. Net operating loss carry 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 The completion of our initial public offering, together with our March 2017 public offering and December 2017 registered direct offering, private placements and other transactions that have occurred, may trigger, or may have already triggered, such an ownership change. In addition, since we will need to raise substantial additional funding to finance our operations, we may undergo further ownership changes in the future. We have never completed an analysis as to whether such a change of ownership has occurred, but in such an event,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5" w:name="page106"/>
    <w:bookmarkEnd w:id="10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161"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b w:val="1"/>
          <w:bCs w:val="1"/>
          <w:i w:val="1"/>
          <w:iCs w:val="1"/>
          <w:color w:val="auto"/>
        </w:rPr>
        <w:t>Because we do not intend to pay dividends on our common stock, your returns will be limited to any increase in the value of our stock.</w:t>
      </w:r>
    </w:p>
    <w:p>
      <w:pPr>
        <w:spacing w:after="0" w:line="162"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162"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63"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There are provisions in our amended and restated certificate of incorporation and amended and restated bylaws that may make it difficult for a third party to acquire, or attempt to acquire, control of our company, even if a change in control was considered favorable by you and other stockholders. For example, our board of directors will have the authority to issue up to 10,000,000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65" w:lineRule="exact"/>
        <w:rPr>
          <w:sz w:val="20"/>
          <w:szCs w:val="20"/>
          <w:color w:val="auto"/>
        </w:rPr>
      </w:pPr>
    </w:p>
    <w:p>
      <w:pPr>
        <w:ind w:right="20" w:firstLine="648"/>
        <w:spacing w:after="0" w:line="185" w:lineRule="exact"/>
        <w:rPr>
          <w:sz w:val="20"/>
          <w:szCs w:val="20"/>
          <w:color w:val="auto"/>
        </w:rPr>
      </w:pPr>
      <w:r>
        <w:rPr>
          <w:rFonts w:ascii="Arial" w:cs="Arial" w:eastAsia="Arial" w:hAnsi="Arial"/>
          <w:sz w:val="17"/>
          <w:szCs w:val="17"/>
          <w:color w:val="auto"/>
        </w:rPr>
        <w:t>In addition, we are subject to the anti</w:t>
      </w:r>
      <w:r>
        <w:rPr>
          <w:rFonts w:ascii="MS PGothic" w:cs="MS PGothic" w:eastAsia="MS PGothic" w:hAnsi="MS PGothic"/>
          <w:sz w:val="17"/>
          <w:szCs w:val="17"/>
          <w:color w:val="auto"/>
        </w:rPr>
        <w:t>‑</w:t>
      </w:r>
      <w:r>
        <w:rPr>
          <w:rFonts w:ascii="Arial" w:cs="Arial" w:eastAsia="Arial" w:hAnsi="Arial"/>
          <w:sz w:val="17"/>
          <w:szCs w:val="17"/>
          <w:color w:val="auto"/>
        </w:rPr>
        <w:t>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65" w:lineRule="exact"/>
        <w:rPr>
          <w:sz w:val="20"/>
          <w:szCs w:val="20"/>
          <w:color w:val="auto"/>
        </w:rPr>
      </w:pPr>
    </w:p>
    <w:p>
      <w:pPr>
        <w:ind w:right="200"/>
        <w:spacing w:after="0" w:line="219"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63" w:lineRule="exact"/>
        <w:rPr>
          <w:sz w:val="20"/>
          <w:szCs w:val="20"/>
          <w:color w:val="auto"/>
        </w:rPr>
      </w:pPr>
    </w:p>
    <w:p>
      <w:pPr>
        <w:ind w:right="20" w:firstLine="648"/>
        <w:spacing w:after="0" w:line="220" w:lineRule="auto"/>
        <w:rPr>
          <w:sz w:val="20"/>
          <w:szCs w:val="20"/>
          <w:color w:val="auto"/>
        </w:rPr>
      </w:pPr>
      <w:r>
        <w:rPr>
          <w:rFonts w:ascii="Arial" w:cs="Arial" w:eastAsia="Arial" w:hAnsi="Arial"/>
          <w:sz w:val="17"/>
          <w:szCs w:val="17"/>
          <w:color w:val="auto"/>
        </w:rPr>
        <w:t>Our amended and restated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06" w:name="page107"/>
    <w:bookmarkEnd w:id="10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48" w:lineRule="exact"/>
        <w:rPr>
          <w:sz w:val="20"/>
          <w:szCs w:val="20"/>
          <w:color w:val="auto"/>
        </w:rPr>
      </w:pPr>
    </w:p>
    <w:p>
      <w:pPr>
        <w:ind w:right="339" w:firstLine="648"/>
        <w:spacing w:after="0" w:line="194" w:lineRule="exact"/>
        <w:rPr>
          <w:sz w:val="20"/>
          <w:szCs w:val="20"/>
          <w:color w:val="auto"/>
        </w:rPr>
      </w:pPr>
      <w:r>
        <w:rPr>
          <w:rFonts w:ascii="Arial" w:cs="Arial" w:eastAsia="Arial" w:hAnsi="Arial"/>
          <w:sz w:val="16"/>
          <w:szCs w:val="16"/>
          <w:color w:val="auto"/>
        </w:rPr>
        <w:t>Our corporate and executive office is located at 25 Broadway in New York, New York. We currently have a month</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month agreement for office space that automatically renews for successive monthly periods, unless we provide notice of non</w:t>
      </w:r>
      <w:r>
        <w:rPr>
          <w:rFonts w:ascii="MS PGothic" w:cs="MS PGothic" w:eastAsia="MS PGothic" w:hAnsi="MS PGothic"/>
          <w:sz w:val="16"/>
          <w:szCs w:val="16"/>
          <w:color w:val="auto"/>
        </w:rPr>
        <w:t>‑</w:t>
      </w:r>
      <w:r>
        <w:rPr>
          <w:rFonts w:ascii="Arial" w:cs="Arial" w:eastAsia="Arial" w:hAnsi="Arial"/>
          <w:sz w:val="16"/>
          <w:szCs w:val="16"/>
          <w:color w:val="auto"/>
        </w:rPr>
        <w:t>renewal. We believe that our current facilities are suitable and adequate to meet our current needs.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48" w:lineRule="exact"/>
        <w:rPr>
          <w:sz w:val="20"/>
          <w:szCs w:val="20"/>
          <w:color w:val="auto"/>
        </w:rPr>
      </w:pPr>
    </w:p>
    <w:p>
      <w:pPr>
        <w:jc w:val="both"/>
        <w:ind w:right="559" w:firstLine="648"/>
        <w:spacing w:after="0" w:line="224" w:lineRule="auto"/>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 however, we may become involved in various claims and legal actions arising in the ordinary course of business.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07" w:name="page108"/>
    <w:bookmarkEnd w:id="10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44" w:lineRule="exact"/>
        <w:rPr>
          <w:sz w:val="20"/>
          <w:szCs w:val="20"/>
          <w:color w:val="auto"/>
        </w:rPr>
      </w:pPr>
    </w:p>
    <w:p>
      <w:pPr>
        <w:ind w:right="320" w:firstLine="648"/>
        <w:spacing w:after="0" w:line="238" w:lineRule="auto"/>
        <w:rPr>
          <w:sz w:val="20"/>
          <w:szCs w:val="20"/>
          <w:color w:val="auto"/>
        </w:rPr>
      </w:pPr>
      <w:r>
        <w:rPr>
          <w:rFonts w:ascii="Arial" w:cs="Arial" w:eastAsia="Arial" w:hAnsi="Arial"/>
          <w:sz w:val="17"/>
          <w:szCs w:val="17"/>
          <w:color w:val="auto"/>
        </w:rPr>
        <w:t>Our common stock has been listed on the Nasdaq Global Market since March 3, 2017 under the symbol “AXSM”. Prior to that, our common stock was listed on the Nasdaq Capital Market since November 19, 2015, under the symbol “AXSM.”. Prior to our initial public offering, there was no public market for our common stock.</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high and low sale prices of our common stock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High</w:t>
            </w: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Low</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8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Year Ended December 31, 2017</w:t>
            </w:r>
          </w:p>
        </w:tc>
        <w:tc>
          <w:tcPr>
            <w:tcW w:w="1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6.45</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4.40</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6.09</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3.53</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3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8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Year Ended December 31, 2016</w:t>
            </w:r>
          </w:p>
        </w:tc>
        <w:tc>
          <w:tcPr>
            <w:tcW w:w="1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9.11</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5.25</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12.69</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6.06</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0"/>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108" w:name="page109"/>
    <w:bookmarkEnd w:id="10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Performance Graph</w:t>
      </w:r>
    </w:p>
    <w:p>
      <w:pPr>
        <w:spacing w:after="0" w:line="144"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The following graph illustrates a comparison of the total cumulative stockholder return for our common stock from November 19, 2015, which is the date our common stock first began trading on the Nasdaq Capital Market, through December 31, 2017 to two indices: the NASDAQ Composite Index and the NASDAQ Biotechnology Index. The graph assumes an initial investment of $100 on November 19, 2015, in our common stock, the NASDAQ Composite Index, and the NASDAQ Biotechnology Index and assumes reinvestment of dividends. The stockholder return shown in the graph below is not necessarily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97155</wp:posOffset>
            </wp:positionV>
            <wp:extent cx="5582920" cy="46393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82920" cy="4639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144" w:lineRule="exact"/>
        <w:rPr>
          <w:sz w:val="20"/>
          <w:szCs w:val="20"/>
          <w:color w:val="auto"/>
        </w:rPr>
      </w:pPr>
    </w:p>
    <w:p>
      <w:pPr>
        <w:ind w:right="200" w:firstLine="648"/>
        <w:spacing w:after="0" w:line="289" w:lineRule="auto"/>
        <w:rPr>
          <w:sz w:val="20"/>
          <w:szCs w:val="20"/>
          <w:color w:val="auto"/>
        </w:rPr>
      </w:pPr>
      <w:r>
        <w:rPr>
          <w:rFonts w:ascii="Arial" w:cs="Arial" w:eastAsia="Arial" w:hAnsi="Arial"/>
          <w:sz w:val="16"/>
          <w:szCs w:val="16"/>
          <w:color w:val="auto"/>
        </w:rPr>
        <w:t>The number of record holders of our common stock as of March 2, 2018 was 30. This number does not reflect the beneficial holders of our common stock who hold shares in street name through brokerage accounts or other nominees.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09" w:name="page110"/>
    <w:bookmarkEnd w:id="10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44" w:lineRule="exact"/>
        <w:rPr>
          <w:sz w:val="20"/>
          <w:szCs w:val="20"/>
          <w:color w:val="auto"/>
        </w:rPr>
      </w:pPr>
    </w:p>
    <w:p>
      <w:pPr>
        <w:ind w:right="160" w:firstLine="648"/>
        <w:spacing w:after="0" w:line="214" w:lineRule="auto"/>
        <w:rPr>
          <w:sz w:val="20"/>
          <w:szCs w:val="20"/>
          <w:color w:val="auto"/>
        </w:rPr>
      </w:pPr>
      <w:r>
        <w:rPr>
          <w:rFonts w:ascii="Arial" w:cs="Arial" w:eastAsia="Arial" w:hAnsi="Arial"/>
          <w:sz w:val="18"/>
          <w:szCs w:val="18"/>
          <w:color w:val="auto"/>
        </w:rPr>
        <w:t>We have never declared or paid any cash dividends on our common stock and do not anticipate paying any cash dividends in the foreseeable future. Any future determination to pay dividends will be at the discretion of our board of directors, subject to applicable laws, and will depend on a number of factors, including our financial condition, results of operations, capital requirements, contractual restrictions, general business conditions, and any other factors that our board may deem relevant. In addition, the terms of our existing credit facility with Silicon Valley Bank, or SVB, preclude us from paying cash dividends without SVB’s consent.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Initial Public Offering of Common Stock</w:t>
      </w:r>
    </w:p>
    <w:p>
      <w:pPr>
        <w:spacing w:after="0" w:line="144"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On November 19, 2015, our Registration Statement on Form S-1, as amended (File No. 333-207393) was declared effective in connection with the initial public offering of our common stock, pursuant to which we sold 5,666,667 shares at a public offering price of $9.00 per share. The initial public offering closed on November 24, 2015, as a result of which we received gross proceeds of approximately $51.0 million and net proceeds of approximately $45.5 million, after deducting underwriting discounts and commissions of approximately $3.6 million and offering-related transaction costs of approximately $1.9 million.</w:t>
      </w:r>
    </w:p>
    <w:p>
      <w:pPr>
        <w:spacing w:after="0" w:line="12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As of December 31, 2017, we have spent $45.5 million of our net proceeds from the IPO primarily to fund the Phase 3 clinical trials for AXS-02 and AXS-05, as well as general working capital purposes, which represents all of the funds raised in our IPO.</w:t>
      </w:r>
    </w:p>
    <w:p>
      <w:pPr>
        <w:spacing w:after="0" w:line="163"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7"/>
          <w:szCs w:val="17"/>
          <w:color w:val="auto"/>
        </w:rPr>
        <w:t>There has been no material change in the planned use of proceeds from our initial public offering as described in our final prospectus filed with the SEC pursuant to Rule 424(b) under the Securities Act on November 19, 2015.</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0" w:name="page111"/>
    <w:bookmarkEnd w:id="1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48"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The following Statement of Operations Data for the years ended December 31, 2017, 2016 and 2015 and Balance Sheet Data as of December 31, 2017, 2016 and 2015, as set forth below are derived from our audited consolidated financial statements included elsewhere in this Annual Report on Form 10-K. This financial data should be read in conjunction with “Item 7. Management’s Discussion and Analysis of Financial Condition and Results of Operations” and “Item 8. Financial Statements and Supplementary Data.” Our historical results are not necessarily indicative of the results that may be expected in the future.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6"/>
              </w:rPr>
              <w:t>2016</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72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Statements of operations data:</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2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Research and development</w:t>
            </w:r>
          </w:p>
        </w:tc>
        <w:tc>
          <w:tcPr>
            <w:tcW w:w="440" w:type="dxa"/>
            <w:vAlign w:val="bottom"/>
            <w:gridSpan w:val="2"/>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19,957,616</w:t>
            </w:r>
          </w:p>
        </w:tc>
        <w:tc>
          <w:tcPr>
            <w:tcW w:w="820" w:type="dxa"/>
            <w:vAlign w:val="bottom"/>
            <w:gridSpan w:val="2"/>
            <w:shd w:val="clear" w:color="auto" w:fill="CCEEFF"/>
          </w:tcPr>
          <w:p>
            <w:pPr>
              <w:jc w:val="center"/>
              <w:ind w:right="150"/>
              <w:spacing w:after="0" w:line="176" w:lineRule="exact"/>
              <w:rPr>
                <w:sz w:val="20"/>
                <w:szCs w:val="20"/>
                <w:color w:val="auto"/>
              </w:rPr>
            </w:pPr>
            <w:r>
              <w:rPr>
                <w:rFonts w:ascii="Arial" w:cs="Arial" w:eastAsia="Arial" w:hAnsi="Arial"/>
                <w:sz w:val="18"/>
                <w:szCs w:val="18"/>
                <w:color w:val="auto"/>
                <w:w w:val="99"/>
              </w:rPr>
              <w:t>$</w:t>
            </w:r>
          </w:p>
        </w:tc>
        <w:tc>
          <w:tcPr>
            <w:tcW w:w="94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auto"/>
                <w:w w:val="95"/>
              </w:rPr>
              <w:t>21,199,860</w:t>
            </w:r>
          </w:p>
        </w:tc>
        <w:tc>
          <w:tcPr>
            <w:tcW w:w="1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6,776,987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20" w:type="dxa"/>
            <w:vAlign w:val="bottom"/>
            <w:tcBorders>
              <w:bottom w:val="single" w:sz="8" w:color="CCEEFF"/>
            </w:tcBorders>
          </w:tcPr>
          <w:p>
            <w:pPr>
              <w:ind w:left="200"/>
              <w:spacing w:after="0" w:line="176" w:lineRule="exact"/>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spacing w:after="0" w:line="176" w:lineRule="exact"/>
              <w:rPr>
                <w:sz w:val="20"/>
                <w:szCs w:val="20"/>
                <w:color w:val="auto"/>
              </w:rPr>
            </w:pPr>
            <w:r>
              <w:rPr>
                <w:rFonts w:ascii="Arial" w:cs="Arial" w:eastAsia="Arial" w:hAnsi="Arial"/>
                <w:sz w:val="18"/>
                <w:szCs w:val="18"/>
                <w:color w:val="auto"/>
              </w:rPr>
              <w:t>7,206,691</w:t>
            </w:r>
          </w:p>
        </w:tc>
        <w:tc>
          <w:tcPr>
            <w:tcW w:w="2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right"/>
              <w:spacing w:after="0" w:line="176" w:lineRule="exact"/>
              <w:rPr>
                <w:sz w:val="20"/>
                <w:szCs w:val="20"/>
                <w:color w:val="auto"/>
              </w:rPr>
            </w:pPr>
            <w:r>
              <w:rPr>
                <w:rFonts w:ascii="Arial" w:cs="Arial" w:eastAsia="Arial" w:hAnsi="Arial"/>
                <w:sz w:val="18"/>
                <w:szCs w:val="18"/>
                <w:color w:val="auto"/>
              </w:rPr>
              <w:t>6,343,648</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2,419,289</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27,164,307</w:t>
            </w:r>
          </w:p>
        </w:tc>
        <w:tc>
          <w:tcPr>
            <w:tcW w:w="24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gridSpan w:val="4"/>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27,543,508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9,196,276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20" w:type="dxa"/>
            <w:vAlign w:val="bottom"/>
          </w:tcPr>
          <w:p>
            <w:pPr>
              <w:spacing w:after="0" w:line="170" w:lineRule="exact"/>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(27,164,307)</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4"/>
          </w:tcPr>
          <w:p>
            <w:pPr>
              <w:jc w:val="right"/>
              <w:spacing w:after="0" w:line="170" w:lineRule="exact"/>
              <w:rPr>
                <w:sz w:val="20"/>
                <w:szCs w:val="20"/>
                <w:color w:val="auto"/>
              </w:rPr>
            </w:pPr>
            <w:r>
              <w:rPr>
                <w:rFonts w:ascii="Arial" w:cs="Arial" w:eastAsia="Arial" w:hAnsi="Arial"/>
                <w:sz w:val="18"/>
                <w:szCs w:val="18"/>
                <w:color w:val="auto"/>
                <w:w w:val="90"/>
              </w:rPr>
              <w:t>(27,543,508)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line="170" w:lineRule="exact"/>
              <w:rPr>
                <w:sz w:val="20"/>
                <w:szCs w:val="20"/>
                <w:color w:val="auto"/>
              </w:rPr>
            </w:pPr>
            <w:r>
              <w:rPr>
                <w:rFonts w:ascii="Arial" w:cs="Arial" w:eastAsia="Arial" w:hAnsi="Arial"/>
                <w:sz w:val="18"/>
                <w:szCs w:val="18"/>
                <w:color w:val="auto"/>
              </w:rPr>
              <w:t>(9,196,276)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1"/>
              </w:rPr>
              <w:t>Interest and amortization of debt discount expense</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(1,340,199)</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auto"/>
              </w:rPr>
              <w:t>(132,424)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(736,048)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20" w:type="dxa"/>
            <w:vAlign w:val="bottom"/>
          </w:tcPr>
          <w:p>
            <w:pPr>
              <w:spacing w:after="0" w:line="176" w:lineRule="exact"/>
              <w:rPr>
                <w:sz w:val="20"/>
                <w:szCs w:val="20"/>
                <w:color w:val="auto"/>
              </w:rPr>
            </w:pPr>
            <w:r>
              <w:rPr>
                <w:rFonts w:ascii="Arial" w:cs="Arial" w:eastAsia="Arial" w:hAnsi="Arial"/>
                <w:sz w:val="18"/>
                <w:szCs w:val="18"/>
                <w:color w:val="auto"/>
              </w:rPr>
              <w:t>Tax credit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207,114</w:t>
            </w: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gridSpan w:val="4"/>
          </w:tcPr>
          <w:p>
            <w:pPr>
              <w:jc w:val="right"/>
              <w:spacing w:after="0" w:line="176" w:lineRule="exact"/>
              <w:rPr>
                <w:sz w:val="20"/>
                <w:szCs w:val="20"/>
                <w:color w:val="auto"/>
              </w:rPr>
            </w:pPr>
            <w:r>
              <w:rPr>
                <w:rFonts w:ascii="Arial" w:cs="Arial" w:eastAsia="Arial" w:hAnsi="Arial"/>
                <w:sz w:val="18"/>
                <w:szCs w:val="18"/>
                <w:color w:val="auto"/>
              </w:rPr>
              <w:t>474,279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Change in fair value of warrant liability</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(646,000)</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(108,539)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7"/>
                <w:szCs w:val="17"/>
                <w:color w:val="auto"/>
              </w:rPr>
              <w:t>Change in fair value of embedded derivative</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274,800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Loss on extinguishment of debt</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(2,444,516)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2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loss</w:t>
            </w:r>
          </w:p>
        </w:tc>
        <w:tc>
          <w:tcPr>
            <w:tcW w:w="12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130"/>
              <w:spacing w:after="0" w:line="170"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gridSpan w:val="2"/>
          </w:tcPr>
          <w:p>
            <w:pPr>
              <w:jc w:val="right"/>
              <w:spacing w:after="0" w:line="170" w:lineRule="exact"/>
              <w:rPr>
                <w:sz w:val="20"/>
                <w:szCs w:val="20"/>
                <w:color w:val="auto"/>
              </w:rPr>
            </w:pPr>
            <w:r>
              <w:rPr>
                <w:rFonts w:ascii="Arial" w:cs="Arial" w:eastAsia="Arial" w:hAnsi="Arial"/>
                <w:sz w:val="18"/>
                <w:szCs w:val="18"/>
                <w:color w:val="auto"/>
              </w:rPr>
              <w:t>(28,943,392)</w:t>
            </w:r>
          </w:p>
        </w:tc>
        <w:tc>
          <w:tcPr>
            <w:tcW w:w="24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center"/>
              <w:ind w:right="390"/>
              <w:spacing w:after="0" w:line="170"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gridSpan w:val="4"/>
          </w:tcPr>
          <w:p>
            <w:pPr>
              <w:jc w:val="right"/>
              <w:spacing w:after="0" w:line="170" w:lineRule="exact"/>
              <w:rPr>
                <w:sz w:val="20"/>
                <w:szCs w:val="20"/>
                <w:color w:val="auto"/>
              </w:rPr>
            </w:pPr>
            <w:r>
              <w:rPr>
                <w:rFonts w:ascii="Arial" w:cs="Arial" w:eastAsia="Arial" w:hAnsi="Arial"/>
                <w:sz w:val="18"/>
                <w:szCs w:val="18"/>
                <w:color w:val="auto"/>
                <w:w w:val="90"/>
              </w:rPr>
              <w:t>(27,201,653)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7"/>
              </w:rPr>
              <w:t>(12,210,579)</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Weighted average common shares outstanding—</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22,764,606</w:t>
            </w: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4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19,150,690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11,945,318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4"/>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720" w:type="dxa"/>
            <w:vAlign w:val="bottom"/>
          </w:tcPr>
          <w:p>
            <w:pPr>
              <w:spacing w:after="0" w:line="163" w:lineRule="exact"/>
              <w:rPr>
                <w:sz w:val="20"/>
                <w:szCs w:val="20"/>
                <w:color w:val="auto"/>
              </w:rPr>
            </w:pPr>
            <w:r>
              <w:rPr>
                <w:rFonts w:ascii="Arial" w:cs="Arial" w:eastAsia="Arial" w:hAnsi="Arial"/>
                <w:sz w:val="18"/>
                <w:szCs w:val="18"/>
                <w:color w:val="auto"/>
                <w:w w:val="99"/>
              </w:rPr>
              <w:t>Net loss per common share—basic and diluted</w:t>
            </w:r>
          </w:p>
        </w:tc>
        <w:tc>
          <w:tcPr>
            <w:tcW w:w="120" w:type="dxa"/>
            <w:vAlign w:val="bottom"/>
          </w:tcPr>
          <w:p>
            <w:pPr>
              <w:spacing w:after="0"/>
              <w:rPr>
                <w:sz w:val="14"/>
                <w:szCs w:val="14"/>
                <w:color w:val="auto"/>
              </w:rPr>
            </w:pPr>
          </w:p>
        </w:tc>
        <w:tc>
          <w:tcPr>
            <w:tcW w:w="320" w:type="dxa"/>
            <w:vAlign w:val="bottom"/>
            <w:tcBorders>
              <w:bottom w:val="single" w:sz="8" w:color="auto"/>
            </w:tcBorders>
          </w:tcPr>
          <w:p>
            <w:pPr>
              <w:jc w:val="right"/>
              <w:ind w:right="130"/>
              <w:spacing w:after="0" w:line="163"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gridSpan w:val="2"/>
          </w:tcPr>
          <w:p>
            <w:pPr>
              <w:jc w:val="right"/>
              <w:spacing w:after="0" w:line="163" w:lineRule="exact"/>
              <w:rPr>
                <w:sz w:val="20"/>
                <w:szCs w:val="20"/>
                <w:color w:val="auto"/>
              </w:rPr>
            </w:pPr>
            <w:r>
              <w:rPr>
                <w:rFonts w:ascii="Arial" w:cs="Arial" w:eastAsia="Arial" w:hAnsi="Arial"/>
                <w:sz w:val="18"/>
                <w:szCs w:val="18"/>
                <w:color w:val="auto"/>
              </w:rPr>
              <w:t>(1.27)</w:t>
            </w:r>
          </w:p>
        </w:tc>
        <w:tc>
          <w:tcPr>
            <w:tcW w:w="240" w:type="dxa"/>
            <w:vAlign w:val="bottom"/>
          </w:tcPr>
          <w:p>
            <w:pPr>
              <w:spacing w:after="0"/>
              <w:rPr>
                <w:sz w:val="14"/>
                <w:szCs w:val="14"/>
                <w:color w:val="auto"/>
              </w:rPr>
            </w:pPr>
          </w:p>
        </w:tc>
        <w:tc>
          <w:tcPr>
            <w:tcW w:w="580" w:type="dxa"/>
            <w:vAlign w:val="bottom"/>
            <w:tcBorders>
              <w:bottom w:val="single" w:sz="8" w:color="auto"/>
            </w:tcBorders>
          </w:tcPr>
          <w:p>
            <w:pPr>
              <w:jc w:val="center"/>
              <w:ind w:right="390"/>
              <w:spacing w:after="0" w:line="163" w:lineRule="exact"/>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(1.42)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10"/>
              <w:spacing w:after="0" w:line="163" w:lineRule="exact"/>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(1.02)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w w:val="95"/>
              </w:rPr>
              <w:t>As of December 31,</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center"/>
              <w:ind w:right="130"/>
              <w:spacing w:after="0" w:line="129"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72"/>
              <w:spacing w:after="0" w:line="129"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72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Balance sheet data:</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20" w:type="dxa"/>
            <w:vAlign w:val="bottom"/>
          </w:tcPr>
          <w:p>
            <w:pPr>
              <w:spacing w:after="0" w:line="176" w:lineRule="exact"/>
              <w:rPr>
                <w:sz w:val="20"/>
                <w:szCs w:val="20"/>
                <w:color w:val="auto"/>
              </w:rPr>
            </w:pPr>
            <w:r>
              <w:rPr>
                <w:rFonts w:ascii="Arial" w:cs="Arial" w:eastAsia="Arial" w:hAnsi="Arial"/>
                <w:sz w:val="18"/>
                <w:szCs w:val="18"/>
                <w:color w:val="auto"/>
              </w:rPr>
              <w:t>Cash</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2"/>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88"/>
              </w:rPr>
              <w:t>34,021,123</w:t>
            </w:r>
          </w:p>
        </w:tc>
        <w:tc>
          <w:tcPr>
            <w:tcW w:w="400" w:type="dxa"/>
            <w:vAlign w:val="bottom"/>
            <w:gridSpan w:val="3"/>
          </w:tcPr>
          <w:p>
            <w:pPr>
              <w:ind w:left="220"/>
              <w:spacing w:after="0" w:line="176" w:lineRule="exact"/>
              <w:rPr>
                <w:sz w:val="20"/>
                <w:szCs w:val="20"/>
                <w:color w:val="auto"/>
              </w:rPr>
            </w:pPr>
            <w:r>
              <w:rPr>
                <w:rFonts w:ascii="Arial" w:cs="Arial" w:eastAsia="Arial" w:hAnsi="Arial"/>
                <w:sz w:val="18"/>
                <w:szCs w:val="18"/>
                <w:color w:val="auto"/>
              </w:rPr>
              <w:t>$</w:t>
            </w:r>
          </w:p>
        </w:tc>
        <w:tc>
          <w:tcPr>
            <w:tcW w:w="980" w:type="dxa"/>
            <w:vAlign w:val="bottom"/>
            <w:gridSpan w:val="4"/>
          </w:tcPr>
          <w:p>
            <w:pPr>
              <w:jc w:val="right"/>
              <w:spacing w:after="0" w:line="176" w:lineRule="exact"/>
              <w:rPr>
                <w:sz w:val="20"/>
                <w:szCs w:val="20"/>
                <w:color w:val="auto"/>
              </w:rPr>
            </w:pPr>
            <w:r>
              <w:rPr>
                <w:rFonts w:ascii="Arial" w:cs="Arial" w:eastAsia="Arial" w:hAnsi="Arial"/>
                <w:sz w:val="18"/>
                <w:szCs w:val="18"/>
                <w:color w:val="auto"/>
                <w:w w:val="99"/>
              </w:rPr>
              <w:t>36,618,497</w:t>
            </w:r>
          </w:p>
        </w:tc>
        <w:tc>
          <w:tcPr>
            <w:tcW w:w="80" w:type="dxa"/>
            <w:vAlign w:val="bottom"/>
          </w:tcPr>
          <w:p>
            <w:pPr>
              <w:spacing w:after="0"/>
              <w:rPr>
                <w:sz w:val="15"/>
                <w:szCs w:val="15"/>
                <w:color w:val="auto"/>
              </w:rPr>
            </w:pPr>
          </w:p>
        </w:tc>
        <w:tc>
          <w:tcPr>
            <w:tcW w:w="24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48,036,260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w w:val="88"/>
              </w:rPr>
              <w:t>35,555,564</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38,212,608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49,076,156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20" w:type="dxa"/>
            <w:vAlign w:val="bottom"/>
          </w:tcPr>
          <w:p>
            <w:pPr>
              <w:spacing w:after="0" w:line="176" w:lineRule="exact"/>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88"/>
              </w:rPr>
              <w:t>12,175,336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4"/>
          </w:tcPr>
          <w:p>
            <w:pPr>
              <w:jc w:val="right"/>
              <w:spacing w:after="0" w:line="176" w:lineRule="exact"/>
              <w:rPr>
                <w:sz w:val="20"/>
                <w:szCs w:val="20"/>
                <w:color w:val="auto"/>
              </w:rPr>
            </w:pPr>
            <w:r>
              <w:rPr>
                <w:rFonts w:ascii="Arial" w:cs="Arial" w:eastAsia="Arial" w:hAnsi="Arial"/>
                <w:sz w:val="18"/>
                <w:szCs w:val="18"/>
                <w:color w:val="auto"/>
              </w:rPr>
              <w:t>7,170,712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2,631,895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Loan payable, long-term, net of discounts</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6,663,005</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auto"/>
              </w:rPr>
              <w:t>9,470,445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20" w:type="dxa"/>
            <w:vAlign w:val="bottom"/>
          </w:tcPr>
          <w:p>
            <w:pPr>
              <w:spacing w:after="0" w:line="176" w:lineRule="exact"/>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80" w:type="dxa"/>
            <w:vAlign w:val="bottom"/>
            <w:gridSpan w:val="5"/>
          </w:tcPr>
          <w:p>
            <w:pPr>
              <w:jc w:val="right"/>
              <w:spacing w:after="0" w:line="176" w:lineRule="exact"/>
              <w:rPr>
                <w:sz w:val="20"/>
                <w:szCs w:val="20"/>
                <w:color w:val="auto"/>
              </w:rPr>
            </w:pPr>
            <w:r>
              <w:rPr>
                <w:rFonts w:ascii="Arial" w:cs="Arial" w:eastAsia="Arial" w:hAnsi="Arial"/>
                <w:sz w:val="18"/>
                <w:szCs w:val="18"/>
                <w:color w:val="auto"/>
              </w:rPr>
              <w:t>(76,584,843)</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4"/>
          </w:tcPr>
          <w:p>
            <w:pPr>
              <w:jc w:val="right"/>
              <w:spacing w:after="0" w:line="176" w:lineRule="exact"/>
              <w:rPr>
                <w:sz w:val="20"/>
                <w:szCs w:val="20"/>
                <w:color w:val="auto"/>
              </w:rPr>
            </w:pPr>
            <w:r>
              <w:rPr>
                <w:rFonts w:ascii="Arial" w:cs="Arial" w:eastAsia="Arial" w:hAnsi="Arial"/>
                <w:sz w:val="18"/>
                <w:szCs w:val="18"/>
                <w:color w:val="auto"/>
                <w:w w:val="94"/>
              </w:rPr>
              <w:t>(47,641,451)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w w:val="97"/>
              </w:rPr>
              <w:t>(20,439,798)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w w:val="88"/>
              </w:rPr>
              <w:t>16,717,223</w:t>
            </w:r>
          </w:p>
        </w:tc>
        <w:tc>
          <w:tcPr>
            <w:tcW w:w="400" w:type="dxa"/>
            <w:vAlign w:val="bottom"/>
            <w:gridSpan w:val="3"/>
            <w:shd w:val="clear" w:color="auto" w:fill="CCEEFF"/>
          </w:tcPr>
          <w:p>
            <w:pPr>
              <w:ind w:left="220"/>
              <w:spacing w:after="0" w:line="176" w:lineRule="exact"/>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21,571,451</w:t>
            </w:r>
          </w:p>
        </w:tc>
        <w:tc>
          <w:tcPr>
            <w:tcW w:w="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46,444,261</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24"/>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431"/>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111" w:name="page112"/>
    <w:bookmarkEnd w:id="1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2" w:lineRule="exact"/>
        <w:rPr>
          <w:sz w:val="20"/>
          <w:szCs w:val="20"/>
          <w:color w:val="auto"/>
        </w:rPr>
      </w:pPr>
    </w:p>
    <w:p>
      <w:pPr>
        <w:ind w:right="40" w:firstLine="441"/>
        <w:spacing w:after="0" w:line="223" w:lineRule="auto"/>
        <w:rPr>
          <w:sz w:val="20"/>
          <w:szCs w:val="20"/>
          <w:color w:val="auto"/>
        </w:rPr>
      </w:pPr>
      <w:r>
        <w:rPr>
          <w:rFonts w:ascii="Arial" w:cs="Arial" w:eastAsia="Arial" w:hAnsi="Arial"/>
          <w:sz w:val="17"/>
          <w:szCs w:val="17"/>
          <w:color w:val="auto"/>
        </w:rPr>
        <w:t>The following discussion and analysis contains forward-looking statements about our plans and expectations of what may happen in the future. You should read the following discussion and analysis in conjunction with “Item 6. Selected Financial Data,” “Item 8. Financial Statements and Supplementary Data,” and our consolidated financial statements beginning on page F-1 of this report.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“Item 1A. Risk Factors.” See also the “Special Cautionary Notice Regarding Forward-Looking Statements” set forth at the beginning of this report.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40" w:firstLine="648"/>
        <w:spacing w:after="0" w:line="179" w:lineRule="exact"/>
        <w:rPr>
          <w:sz w:val="20"/>
          <w:szCs w:val="20"/>
          <w:color w:val="auto"/>
        </w:rPr>
      </w:pPr>
      <w:r>
        <w:rPr>
          <w:rFonts w:ascii="Arial" w:cs="Arial" w:eastAsia="Arial" w:hAnsi="Arial"/>
          <w:sz w:val="16"/>
          <w:szCs w:val="16"/>
          <w:color w:val="auto"/>
        </w:rPr>
        <w:t>We are a clinical-stage biopharmaceutical company developing novel therapies for the management of central nervous system, or CNS, disorders for which there are limited treatment options. By focusing on this therapeutic area, we are addressing significant and growing markets where current treatment options are limited or inadequate. Our product candidate portfolio includes five CNS product candidates, AXS</w:t>
      </w:r>
      <w:r>
        <w:rPr>
          <w:rFonts w:ascii="MS PGothic" w:cs="MS PGothic" w:eastAsia="MS PGothic" w:hAnsi="MS PGothic"/>
          <w:sz w:val="16"/>
          <w:szCs w:val="16"/>
          <w:color w:val="auto"/>
        </w:rPr>
        <w:t>‑</w:t>
      </w:r>
      <w:r>
        <w:rPr>
          <w:rFonts w:ascii="Arial" w:cs="Arial" w:eastAsia="Arial" w:hAnsi="Arial"/>
          <w:sz w:val="16"/>
          <w:szCs w:val="16"/>
          <w:color w:val="auto"/>
        </w:rPr>
        <w:t>05, AXS-09, AXS</w:t>
      </w:r>
      <w:r>
        <w:rPr>
          <w:rFonts w:ascii="MS PGothic" w:cs="MS PGothic" w:eastAsia="MS PGothic" w:hAnsi="MS PGothic"/>
          <w:sz w:val="16"/>
          <w:szCs w:val="16"/>
          <w:color w:val="auto"/>
        </w:rPr>
        <w:t>‑</w:t>
      </w:r>
      <w:r>
        <w:rPr>
          <w:rFonts w:ascii="Arial" w:cs="Arial" w:eastAsia="Arial" w:hAnsi="Arial"/>
          <w:sz w:val="16"/>
          <w:szCs w:val="16"/>
          <w:color w:val="auto"/>
        </w:rPr>
        <w:t>02, AXS-07, and AXS-06 which we are developing for multiple indications. We are conducting a Phase 3 trial with AXS-05 in treatment resistant depression, or TRD, which we refer to as the STRIDE-1 study, and a Phase 2/3 trial in agitation associated with Alzheimer's disease, or AD, which we refer to as the ADVANCE-1 study. Additionally, AXS-05 is being developed for smoking cessation. AXS-09 is being developed for CNS disorders. We are also conducting a Phase 3 trial with AXS-02 in knee osteoarthritis, or OA, associated with bone marrow lesions, or BMLs, pursuant to a Special Protocol Assessment, or SPA, which we refer to as the COAST-1 study. We also plan to initiate a Phase 3 trial with AXS-02 in chronic low back pain, or CLBP, associated with Modic changes, or MCs. AXS-07 is initially being developed for the acute treatment of migraine. Lastly, AXS-06 is being developed for the treatment of osteoarthritis and rheumatoid arthritis and for the reduction of the risk of nonsteroidal anti-inflammatory drug, or NSAID, associated gastric ulcers. Additionally, we are currently evaluating other preclinical product candidates, which we intend to develop for CNS disorders. We aim to become a fully integrated biopharmaceutical company that develops and commercializes differentiated therapies that expand the treatment options available to caregivers and improve the lives of patients living with CNS disorders.</w:t>
      </w:r>
    </w:p>
    <w:p>
      <w:pPr>
        <w:spacing w:after="0" w:line="167" w:lineRule="exact"/>
        <w:rPr>
          <w:sz w:val="20"/>
          <w:szCs w:val="20"/>
          <w:color w:val="auto"/>
        </w:rPr>
      </w:pPr>
    </w:p>
    <w:p>
      <w:pPr>
        <w:ind w:firstLine="648"/>
        <w:spacing w:after="0" w:line="182"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05, is an innovative oral fixed</w:t>
      </w:r>
      <w:r>
        <w:rPr>
          <w:rFonts w:ascii="MS PGothic" w:cs="MS PGothic" w:eastAsia="MS PGothic" w:hAnsi="MS PGothic"/>
          <w:sz w:val="16"/>
          <w:szCs w:val="16"/>
          <w:color w:val="auto"/>
        </w:rPr>
        <w:t>‑</w:t>
      </w:r>
      <w:r>
        <w:rPr>
          <w:rFonts w:ascii="Arial" w:cs="Arial" w:eastAsia="Arial" w:hAnsi="Arial"/>
          <w:sz w:val="16"/>
          <w:szCs w:val="16"/>
          <w:color w:val="auto"/>
        </w:rPr>
        <w:t>dose combination of dextromethorphan, or DM, and bupropion. We are developing AXS</w:t>
      </w:r>
      <w:r>
        <w:rPr>
          <w:rFonts w:ascii="MS PGothic" w:cs="MS PGothic" w:eastAsia="MS PGothic" w:hAnsi="MS PGothic"/>
          <w:sz w:val="16"/>
          <w:szCs w:val="16"/>
          <w:color w:val="auto"/>
        </w:rPr>
        <w:t>‑</w:t>
      </w:r>
      <w:r>
        <w:rPr>
          <w:rFonts w:ascii="Arial" w:cs="Arial" w:eastAsia="Arial" w:hAnsi="Arial"/>
          <w:sz w:val="16"/>
          <w:szCs w:val="16"/>
          <w:color w:val="auto"/>
        </w:rPr>
        <w:t>05 initially for the following three indications: TRD, agitation associated with AD, and as an aid to smoking cessation. DM is active at multiple CNS receptors but is rapidly and extensively metabolized in humans. As a result, it is difficult to attain potential therapeutic plasma levels of DM when it is dosed as a single agent. AXS</w:t>
      </w:r>
      <w:r>
        <w:rPr>
          <w:rFonts w:ascii="MS PGothic" w:cs="MS PGothic" w:eastAsia="MS PGothic" w:hAnsi="MS PGothic"/>
          <w:sz w:val="16"/>
          <w:szCs w:val="16"/>
          <w:color w:val="auto"/>
        </w:rPr>
        <w:t>‑</w:t>
      </w:r>
      <w:r>
        <w:rPr>
          <w:rFonts w:ascii="Arial" w:cs="Arial" w:eastAsia="Arial" w:hAnsi="Arial"/>
          <w:sz w:val="16"/>
          <w:szCs w:val="16"/>
          <w:color w:val="auto"/>
        </w:rPr>
        <w:t>05 uses bupropion as a novel drug delivery method to inhibit DM metabolism and increase its bioavailability. We have demonstrated in three Phase 1 trials that DM plasma levels are substantially increased into a potentially therapeutic range with the co</w:t>
      </w:r>
      <w:r>
        <w:rPr>
          <w:rFonts w:ascii="MS PGothic" w:cs="MS PGothic" w:eastAsia="MS PGothic" w:hAnsi="MS PGothic"/>
          <w:sz w:val="16"/>
          <w:szCs w:val="16"/>
          <w:color w:val="auto"/>
        </w:rPr>
        <w:t>‑</w:t>
      </w:r>
      <w:r>
        <w:rPr>
          <w:rFonts w:ascii="Arial" w:cs="Arial" w:eastAsia="Arial" w:hAnsi="Arial"/>
          <w:sz w:val="16"/>
          <w:szCs w:val="16"/>
          <w:color w:val="auto"/>
        </w:rPr>
        <w:t>administration of bupropion. Bupropion is itself active at distinct CNS receptors providing the potential for an additive or synergistic effect. We intend to seek FDA approval for AXS</w:t>
      </w:r>
      <w:r>
        <w:rPr>
          <w:rFonts w:ascii="MS PGothic" w:cs="MS PGothic" w:eastAsia="MS PGothic" w:hAnsi="MS PGothic"/>
          <w:sz w:val="16"/>
          <w:szCs w:val="16"/>
          <w:color w:val="auto"/>
        </w:rPr>
        <w:t>‑</w:t>
      </w:r>
      <w:r>
        <w:rPr>
          <w:rFonts w:ascii="Arial" w:cs="Arial" w:eastAsia="Arial" w:hAnsi="Arial"/>
          <w:sz w:val="16"/>
          <w:szCs w:val="16"/>
          <w:color w:val="auto"/>
        </w:rPr>
        <w:t>05 utilizing the 505(b)(2) regulatory development pathway.</w:t>
      </w:r>
    </w:p>
    <w:p>
      <w:pPr>
        <w:spacing w:after="0" w:line="167"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 xml:space="preserve">AXS-09 is a novel, oral medicine combination of esbupropion and DM, which is being developed for the treatment of CNS disorders. AXS-09 contains esbupropion, the chirally pure S-enantiomer of bupropion, as compared to the company’s first generation product candidate AXS-05 which contains racemic bupropion,equal amounts of the </w:t>
      </w:r>
      <w:r>
        <w:rPr>
          <w:rFonts w:ascii="Arial" w:cs="Arial" w:eastAsia="Arial" w:hAnsi="Arial"/>
          <w:sz w:val="16"/>
          <w:szCs w:val="16"/>
          <w:i w:val="1"/>
          <w:iCs w:val="1"/>
          <w:color w:val="auto"/>
        </w:rPr>
        <w:t>S</w:t>
      </w:r>
      <w:r>
        <w:rPr>
          <w:rFonts w:ascii="Arial" w:cs="Arial" w:eastAsia="Arial" w:hAnsi="Arial"/>
          <w:sz w:val="16"/>
          <w:szCs w:val="16"/>
          <w:color w:val="auto"/>
        </w:rPr>
        <w:t xml:space="preserve">- and </w:t>
      </w:r>
      <w:r>
        <w:rPr>
          <w:rFonts w:ascii="Arial" w:cs="Arial" w:eastAsia="Arial" w:hAnsi="Arial"/>
          <w:sz w:val="16"/>
          <w:szCs w:val="16"/>
          <w:i w:val="1"/>
          <w:iCs w:val="1"/>
          <w:color w:val="auto"/>
        </w:rPr>
        <w:t>R</w:t>
      </w:r>
      <w:r>
        <w:rPr>
          <w:rFonts w:ascii="Arial" w:cs="Arial" w:eastAsia="Arial" w:hAnsi="Arial"/>
          <w:sz w:val="16"/>
          <w:szCs w:val="16"/>
          <w:color w:val="auto"/>
        </w:rPr>
        <w:t xml:space="preserve">-enantiomers. We have demonstrated in a Phase 1 trial that DM plasma levels are substantially increased into a potentially therapeutic range with repeated administration of AXS-09. Results of this Phase 1 trial coupled with preclinical data also indicate the potential for enhanced absorption and therapeutic effect of the </w:t>
      </w:r>
      <w:r>
        <w:rPr>
          <w:rFonts w:ascii="Arial" w:cs="Arial" w:eastAsia="Arial" w:hAnsi="Arial"/>
          <w:sz w:val="16"/>
          <w:szCs w:val="16"/>
          <w:i w:val="1"/>
          <w:iCs w:val="1"/>
          <w:color w:val="auto"/>
        </w:rPr>
        <w:t>S</w:t>
      </w:r>
      <w:r>
        <w:rPr>
          <w:rFonts w:ascii="Arial" w:cs="Arial" w:eastAsia="Arial" w:hAnsi="Arial"/>
          <w:sz w:val="16"/>
          <w:szCs w:val="16"/>
          <w:color w:val="auto"/>
        </w:rPr>
        <w:t xml:space="preserve">-enantiomer as compared to the </w:t>
      </w:r>
      <w:r>
        <w:rPr>
          <w:rFonts w:ascii="Arial" w:cs="Arial" w:eastAsia="Arial" w:hAnsi="Arial"/>
          <w:sz w:val="16"/>
          <w:szCs w:val="16"/>
          <w:i w:val="1"/>
          <w:iCs w:val="1"/>
          <w:color w:val="auto"/>
        </w:rPr>
        <w:t>R</w:t>
      </w:r>
      <w:r>
        <w:rPr>
          <w:rFonts w:ascii="Arial" w:cs="Arial" w:eastAsia="Arial" w:hAnsi="Arial"/>
          <w:sz w:val="16"/>
          <w:szCs w:val="16"/>
          <w:color w:val="auto"/>
        </w:rPr>
        <w:t>-enantiomer.</w:t>
      </w:r>
    </w:p>
    <w:p>
      <w:pPr>
        <w:spacing w:after="0" w:line="161" w:lineRule="exact"/>
        <w:rPr>
          <w:sz w:val="20"/>
          <w:szCs w:val="20"/>
          <w:color w:val="auto"/>
        </w:rPr>
      </w:pPr>
    </w:p>
    <w:p>
      <w:pPr>
        <w:jc w:val="both"/>
        <w:ind w:right="140" w:firstLine="648"/>
        <w:spacing w:after="0" w:line="194" w:lineRule="exact"/>
        <w:rPr>
          <w:sz w:val="20"/>
          <w:szCs w:val="20"/>
          <w:color w:val="auto"/>
        </w:rPr>
      </w:pPr>
      <w:r>
        <w:rPr>
          <w:rFonts w:ascii="Arial" w:cs="Arial" w:eastAsia="Arial" w:hAnsi="Arial"/>
          <w:sz w:val="17"/>
          <w:szCs w:val="17"/>
          <w:color w:val="auto"/>
        </w:rPr>
        <w:t>AXS</w:t>
      </w:r>
      <w:r>
        <w:rPr>
          <w:rFonts w:ascii="MS PGothic" w:cs="MS PGothic" w:eastAsia="MS PGothic" w:hAnsi="MS PGothic"/>
          <w:sz w:val="17"/>
          <w:szCs w:val="17"/>
          <w:color w:val="auto"/>
        </w:rPr>
        <w:t>‑</w:t>
      </w:r>
      <w:r>
        <w:rPr>
          <w:rFonts w:ascii="Arial" w:cs="Arial" w:eastAsia="Arial" w:hAnsi="Arial"/>
          <w:sz w:val="17"/>
          <w:szCs w:val="17"/>
          <w:color w:val="auto"/>
        </w:rPr>
        <w:t>02, disodium zoledronate tetrahydrate, is a potentially first</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class, oral, targeted, non</w:t>
      </w:r>
      <w:r>
        <w:rPr>
          <w:rFonts w:ascii="MS PGothic" w:cs="MS PGothic" w:eastAsia="MS PGothic" w:hAnsi="MS PGothic"/>
          <w:sz w:val="17"/>
          <w:szCs w:val="17"/>
          <w:color w:val="auto"/>
        </w:rPr>
        <w:t>‑</w:t>
      </w:r>
      <w:r>
        <w:rPr>
          <w:rFonts w:ascii="Arial" w:cs="Arial" w:eastAsia="Arial" w:hAnsi="Arial"/>
          <w:sz w:val="17"/>
          <w:szCs w:val="17"/>
          <w:color w:val="auto"/>
        </w:rPr>
        <w:t>opioid therapeutic for chronic pain. AXS</w:t>
      </w:r>
      <w:r>
        <w:rPr>
          <w:rFonts w:ascii="MS PGothic" w:cs="MS PGothic" w:eastAsia="MS PGothic" w:hAnsi="MS PGothic"/>
          <w:sz w:val="17"/>
          <w:szCs w:val="17"/>
          <w:color w:val="auto"/>
        </w:rPr>
        <w:t>‑</w:t>
      </w:r>
      <w:r>
        <w:rPr>
          <w:rFonts w:ascii="Arial" w:cs="Arial" w:eastAsia="Arial" w:hAnsi="Arial"/>
          <w:sz w:val="17"/>
          <w:szCs w:val="17"/>
          <w:color w:val="auto"/>
        </w:rPr>
        <w:t>02 is a potent inhibitor of osteoclasts, which are bone remodeling cells that break down bone tissue. We are initially developing AXS</w:t>
      </w:r>
      <w:r>
        <w:rPr>
          <w:rFonts w:ascii="MS PGothic" w:cs="MS PGothic" w:eastAsia="MS PGothic" w:hAnsi="MS PGothic"/>
          <w:sz w:val="17"/>
          <w:szCs w:val="17"/>
          <w:color w:val="auto"/>
        </w:rPr>
        <w:t>‑</w:t>
      </w:r>
      <w:r>
        <w:rPr>
          <w:rFonts w:ascii="Arial" w:cs="Arial" w:eastAsia="Arial" w:hAnsi="Arial"/>
          <w:sz w:val="17"/>
          <w:szCs w:val="17"/>
          <w:color w:val="auto"/>
        </w:rPr>
        <w:t>02 for the treatment of pain in the following two conditions: knee OA associated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2" w:name="page113"/>
    <w:bookmarkEnd w:id="1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182" w:lineRule="exact"/>
        <w:rPr>
          <w:sz w:val="20"/>
          <w:szCs w:val="20"/>
          <w:color w:val="auto"/>
        </w:rPr>
      </w:pPr>
      <w:r>
        <w:rPr>
          <w:rFonts w:ascii="Arial" w:cs="Arial" w:eastAsia="Arial" w:hAnsi="Arial"/>
          <w:sz w:val="16"/>
          <w:szCs w:val="16"/>
          <w:color w:val="auto"/>
        </w:rPr>
        <w:t>with BMLs and CLBP associated with type 1 or mixed type 1 and type 2 MCs. These conditions exhibit target lesions or specific pathology that we believe may be addressed by the mechanisms of action of AXS</w:t>
      </w:r>
      <w:r>
        <w:rPr>
          <w:rFonts w:ascii="MS PGothic" w:cs="MS PGothic" w:eastAsia="MS PGothic" w:hAnsi="MS PGothic"/>
          <w:sz w:val="16"/>
          <w:szCs w:val="16"/>
          <w:color w:val="auto"/>
        </w:rPr>
        <w:t>‑</w:t>
      </w:r>
      <w:r>
        <w:rPr>
          <w:rFonts w:ascii="Arial" w:cs="Arial" w:eastAsia="Arial" w:hAnsi="Arial"/>
          <w:sz w:val="16"/>
          <w:szCs w:val="16"/>
          <w:color w:val="auto"/>
        </w:rPr>
        <w:t>02, such as inhibition of osteoclast activity. These mechanisms may result in a reduction of pain in these conditions. We have successfully completed a Phase 1 trial of AXS</w:t>
      </w:r>
      <w:r>
        <w:rPr>
          <w:rFonts w:ascii="MS PGothic" w:cs="MS PGothic" w:eastAsia="MS PGothic" w:hAnsi="MS PGothic"/>
          <w:sz w:val="16"/>
          <w:szCs w:val="16"/>
          <w:color w:val="auto"/>
        </w:rPr>
        <w:t>‑</w:t>
      </w:r>
      <w:r>
        <w:rPr>
          <w:rFonts w:ascii="Arial" w:cs="Arial" w:eastAsia="Arial" w:hAnsi="Arial"/>
          <w:sz w:val="16"/>
          <w:szCs w:val="16"/>
          <w:color w:val="auto"/>
        </w:rPr>
        <w:t>02 to characterize the pharmacokinetics of zoledronic acid and its effects on markers of bone resorption after oral administration of AXS</w:t>
      </w:r>
      <w:r>
        <w:rPr>
          <w:rFonts w:ascii="MS PGothic" w:cs="MS PGothic" w:eastAsia="MS PGothic" w:hAnsi="MS PGothic"/>
          <w:sz w:val="16"/>
          <w:szCs w:val="16"/>
          <w:color w:val="auto"/>
        </w:rPr>
        <w:t>‑</w:t>
      </w:r>
      <w:r>
        <w:rPr>
          <w:rFonts w:ascii="Arial" w:cs="Arial" w:eastAsia="Arial" w:hAnsi="Arial"/>
          <w:sz w:val="16"/>
          <w:szCs w:val="16"/>
          <w:color w:val="auto"/>
        </w:rPr>
        <w:t>02. The results of our Phase 1 trial demonstrated that oral administration of AXS</w:t>
      </w:r>
      <w:r>
        <w:rPr>
          <w:rFonts w:ascii="MS PGothic" w:cs="MS PGothic" w:eastAsia="MS PGothic" w:hAnsi="MS PGothic"/>
          <w:sz w:val="16"/>
          <w:szCs w:val="16"/>
          <w:color w:val="auto"/>
        </w:rPr>
        <w:t>‑</w:t>
      </w:r>
      <w:r>
        <w:rPr>
          <w:rFonts w:ascii="Arial" w:cs="Arial" w:eastAsia="Arial" w:hAnsi="Arial"/>
          <w:sz w:val="16"/>
          <w:szCs w:val="16"/>
          <w:color w:val="auto"/>
        </w:rPr>
        <w:t>02 tablets resulted in rapid absorption of zoledronic acid, which is the active molecule in AXS</w:t>
      </w:r>
      <w:r>
        <w:rPr>
          <w:rFonts w:ascii="MS PGothic" w:cs="MS PGothic" w:eastAsia="MS PGothic" w:hAnsi="MS PGothic"/>
          <w:sz w:val="16"/>
          <w:szCs w:val="16"/>
          <w:color w:val="auto"/>
        </w:rPr>
        <w:t>‑</w:t>
      </w:r>
      <w:r>
        <w:rPr>
          <w:rFonts w:ascii="Arial" w:cs="Arial" w:eastAsia="Arial" w:hAnsi="Arial"/>
          <w:sz w:val="16"/>
          <w:szCs w:val="16"/>
          <w:color w:val="auto"/>
        </w:rPr>
        <w:t>02 and the free acid form of disodium zoledronate tetrahydrate, and substantial suppression of bone resorption markers, which are proteins indicative of bone tissue breakdown. We intend to seek FDA approval for AXS</w:t>
      </w:r>
      <w:r>
        <w:rPr>
          <w:rFonts w:ascii="MS PGothic" w:cs="MS PGothic" w:eastAsia="MS PGothic" w:hAnsi="MS PGothic"/>
          <w:sz w:val="16"/>
          <w:szCs w:val="16"/>
          <w:color w:val="auto"/>
        </w:rPr>
        <w:t>‑</w:t>
      </w:r>
      <w:r>
        <w:rPr>
          <w:rFonts w:ascii="Arial" w:cs="Arial" w:eastAsia="Arial" w:hAnsi="Arial"/>
          <w:sz w:val="16"/>
          <w:szCs w:val="16"/>
          <w:color w:val="auto"/>
        </w:rPr>
        <w:t>02 utilizing the 505(b)(2) regulatory development pathway.</w:t>
      </w:r>
    </w:p>
    <w:p>
      <w:pPr>
        <w:spacing w:after="0" w:line="167" w:lineRule="exact"/>
        <w:rPr>
          <w:sz w:val="20"/>
          <w:szCs w:val="20"/>
          <w:color w:val="auto"/>
        </w:rPr>
      </w:pPr>
    </w:p>
    <w:p>
      <w:pPr>
        <w:ind w:right="80" w:firstLine="648"/>
        <w:spacing w:after="0" w:line="219" w:lineRule="auto"/>
        <w:rPr>
          <w:sz w:val="20"/>
          <w:szCs w:val="20"/>
          <w:color w:val="auto"/>
        </w:rPr>
      </w:pPr>
      <w:r>
        <w:rPr>
          <w:rFonts w:ascii="Arial" w:cs="Arial" w:eastAsia="Arial" w:hAnsi="Arial"/>
          <w:sz w:val="16"/>
          <w:szCs w:val="16"/>
          <w:color w:val="auto"/>
        </w:rPr>
        <w:t>AXS-07, is a novel, oral, fixed-dose combination of MoSEIC™, or Molecular Solubility Enhanced Inclusion Complex, meloxicam and rizatriptan. We are developing AXS-07 initially for the acute treatment of migraine. Meloxicam is a long-acting nonsteroidal anti-inflammatory drug, or NSAID, with COX-2, an enzyme involved in inflammation and pain pathways, preferential inhibition and potent pain-relieving effects. However standard meloxicam has an extended time to maximum plasma concentration, or T</w:t>
      </w:r>
      <w:r>
        <w:rPr>
          <w:rFonts w:ascii="Arial" w:cs="Arial" w:eastAsia="Arial" w:hAnsi="Arial"/>
          <w:sz w:val="26"/>
          <w:szCs w:val="26"/>
          <w:color w:val="auto"/>
          <w:vertAlign w:val="subscript"/>
        </w:rPr>
        <w:t>max</w:t>
      </w:r>
      <w:r>
        <w:rPr>
          <w:rFonts w:ascii="Arial" w:cs="Arial" w:eastAsia="Arial" w:hAnsi="Arial"/>
          <w:sz w:val="16"/>
          <w:szCs w:val="16"/>
          <w:color w:val="auto"/>
        </w:rPr>
        <w:t>, which delays its onset of action. AXS-07 utilizes our proprietary MoSEIC™</w:t>
      </w:r>
    </w:p>
    <w:p>
      <w:pPr>
        <w:spacing w:after="0" w:line="3" w:lineRule="exact"/>
        <w:rPr>
          <w:sz w:val="20"/>
          <w:szCs w:val="20"/>
          <w:color w:val="auto"/>
        </w:rPr>
      </w:pPr>
    </w:p>
    <w:p>
      <w:pPr>
        <w:ind w:right="80"/>
        <w:spacing w:after="0" w:line="211" w:lineRule="auto"/>
        <w:rPr>
          <w:sz w:val="20"/>
          <w:szCs w:val="20"/>
          <w:color w:val="auto"/>
        </w:rPr>
      </w:pPr>
      <w:r>
        <w:rPr>
          <w:rFonts w:ascii="Arial" w:cs="Arial" w:eastAsia="Arial" w:hAnsi="Arial"/>
          <w:sz w:val="18"/>
          <w:szCs w:val="18"/>
          <w:color w:val="auto"/>
        </w:rPr>
        <w:t>technology to substantially increase the solubility and speed the absorption of meloxicam while potentially maintaining durability of action. Meloxicam is a new molecular entity for migraine enabled by our MoSEIC™ technology. Rizatriptan is a 5-HT1B/D agonist that inhibits calcitonin gene-related peptide (CGRP)-mediated vasodilation, has been shown to have central trigeminal antinociceptive activity, and may reduce the release of inflammatory mediators from trigeminal nerves. Rizatriptan is approved as a single agent for the acute treatment of migraine. We intend to seek FDA approval for AXS-07 utilizing the 505(b)(2) regulatory development pathway.</w:t>
      </w:r>
    </w:p>
    <w:p>
      <w:pPr>
        <w:spacing w:after="0" w:line="162" w:lineRule="exact"/>
        <w:rPr>
          <w:sz w:val="20"/>
          <w:szCs w:val="20"/>
          <w:color w:val="auto"/>
        </w:rPr>
      </w:pPr>
    </w:p>
    <w:p>
      <w:pPr>
        <w:ind w:right="140" w:firstLine="648"/>
        <w:spacing w:after="0" w:line="222" w:lineRule="auto"/>
        <w:rPr>
          <w:sz w:val="20"/>
          <w:szCs w:val="20"/>
          <w:color w:val="auto"/>
        </w:rPr>
      </w:pPr>
      <w:r>
        <w:rPr>
          <w:rFonts w:ascii="Arial" w:cs="Arial" w:eastAsia="Arial" w:hAnsi="Arial"/>
          <w:sz w:val="16"/>
          <w:szCs w:val="16"/>
          <w:color w:val="auto"/>
        </w:rPr>
        <w:t>AXS-06, is a novel, oral, non-opioid, fixed-dose combination of MoSEIC™ meloxicam and esomeprazole. We are developing AXS-06 initially for the treatment of osteoarthritis and rheumatoid arthritis. Esomeprazole is a proton pump inhibitor which lowers stomach acidity and which has been shown to reduce the occurrence of NSAID-induced gastrointestinal ulcers. AXS-06 is designed to provide rapid, effective pain relief, and to reduce the risk of NSAID-induced ulcers, with convenient once-daily dosing. We have successfully completed a Phase 1 trial of AXS-06 to characterize the pharmacokinetics of meloxicam and esomeprazole after oral administration of AXS-06. The results of our Phase 1 trial demonstrated that the median T</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for meloxicam, the trial's primary endpoint, was nine times faster for AXS-06 as</w:t>
      </w:r>
    </w:p>
    <w:p>
      <w:pPr>
        <w:spacing w:after="0" w:line="1" w:lineRule="exact"/>
        <w:rPr>
          <w:sz w:val="20"/>
          <w:szCs w:val="20"/>
          <w:color w:val="auto"/>
        </w:rPr>
      </w:pPr>
    </w:p>
    <w:p>
      <w:pPr>
        <w:ind w:right="880"/>
        <w:spacing w:after="0" w:line="226" w:lineRule="auto"/>
        <w:rPr>
          <w:sz w:val="20"/>
          <w:szCs w:val="20"/>
          <w:color w:val="auto"/>
        </w:rPr>
      </w:pPr>
      <w:r>
        <w:rPr>
          <w:rFonts w:ascii="Arial" w:cs="Arial" w:eastAsia="Arial" w:hAnsi="Arial"/>
          <w:sz w:val="18"/>
          <w:szCs w:val="18"/>
          <w:color w:val="auto"/>
        </w:rPr>
        <w:t>compared to standard meloxicam. We intend to seek FDA approval for AXS 06 utilizing the 505(b)(2) regulatory development pathway.</w:t>
      </w:r>
    </w:p>
    <w:p>
      <w:pPr>
        <w:spacing w:after="0" w:line="161"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Since our incorporation in January 2012, our operations to date have included organizing and staffing our company, business planning, raising capital, developing our compounds, and engaging in other discovery and preclinical activities. Prior to our initial public offering, or IPO, in November 2015, we financed our operations primarily through private placements of our convertible notes.</w:t>
      </w:r>
    </w:p>
    <w:p>
      <w:pPr>
        <w:spacing w:after="0" w:line="122" w:lineRule="exact"/>
        <w:rPr>
          <w:sz w:val="20"/>
          <w:szCs w:val="20"/>
          <w:color w:val="auto"/>
        </w:rPr>
      </w:pPr>
    </w:p>
    <w:p>
      <w:pPr>
        <w:ind w:right="20" w:firstLine="648"/>
        <w:spacing w:after="0" w:line="259" w:lineRule="auto"/>
        <w:rPr>
          <w:sz w:val="20"/>
          <w:szCs w:val="20"/>
          <w:color w:val="auto"/>
        </w:rPr>
      </w:pPr>
      <w:r>
        <w:rPr>
          <w:rFonts w:ascii="Arial" w:cs="Arial" w:eastAsia="Arial" w:hAnsi="Arial"/>
          <w:sz w:val="16"/>
          <w:szCs w:val="16"/>
          <w:color w:val="auto"/>
        </w:rPr>
        <w:t>In November 2015, we completed our IPO, in which we sold 5,666,667 shares of common stock at an offering price to the public of $9.00 per share. We received gross proceeds of approximately $51.0 million and net proceeds of approximately $45.5 million, after deducting underwriting discounts and commissions and offering-related transaction costs.</w:t>
      </w:r>
    </w:p>
    <w:p>
      <w:pPr>
        <w:spacing w:after="0" w:line="107"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In November 2016, we entered into a loan and security agreement with Silicon Valley Bank, or SVB, for a term loan of up to $20.0 million. The initial tranche of $10.0 million was funded shortly after executing the loan agreement. As discussed in greater detail elsewhere in this Annual Report on Form 10-K, because we did not achieve the conditional criteria to access the second and third tranches before the specified dates, the additional $10.0 million in additional term loan advances expired.</w:t>
      </w:r>
    </w:p>
    <w:p>
      <w:pPr>
        <w:spacing w:after="0" w:line="122" w:lineRule="exact"/>
        <w:rPr>
          <w:sz w:val="20"/>
          <w:szCs w:val="20"/>
          <w:color w:val="auto"/>
        </w:rPr>
      </w:pPr>
    </w:p>
    <w:p>
      <w:pPr>
        <w:ind w:right="200" w:firstLine="648"/>
        <w:spacing w:after="0" w:line="238" w:lineRule="auto"/>
        <w:rPr>
          <w:sz w:val="20"/>
          <w:szCs w:val="20"/>
          <w:color w:val="auto"/>
        </w:rPr>
      </w:pPr>
      <w:r>
        <w:rPr>
          <w:rFonts w:ascii="Arial" w:cs="Arial" w:eastAsia="Arial" w:hAnsi="Arial"/>
          <w:sz w:val="17"/>
          <w:szCs w:val="17"/>
          <w:color w:val="auto"/>
        </w:rPr>
        <w:t>In March 2017, we completed an underwritten public offering, whereby we sold 4,304,813 shares of our common stock at a public offering price of $3.74 per share. We received gross proceeds of approximately $16.1 million and net proceeds of approximately $14.8 million, net of underwriting discounts and offering expenses.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13" w:name="page114"/>
    <w:bookmarkEnd w:id="1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In October 2017, we entered into a sales agreement, or the “Sales Agreement”, with Leerink Partners LLC or "Leerink", pursuant to which we may sell up to $30 million in shares of our common stock from time to time through Leerink, acting as its sales agent, in one or more at-the-market offerings. Leerink is entitled to receive a commission of 3.0% of the gross proceeds for any shares sold under the Sales Agreement. Gross sales of $0.1 million were made under the Sales Agreement during the year ended December 31, 2017.</w:t>
      </w:r>
    </w:p>
    <w:p>
      <w:pPr>
        <w:spacing w:after="0" w:line="122" w:lineRule="exact"/>
        <w:rPr>
          <w:sz w:val="20"/>
          <w:szCs w:val="20"/>
          <w:color w:val="auto"/>
        </w:rPr>
      </w:pPr>
    </w:p>
    <w:p>
      <w:pPr>
        <w:ind w:right="200" w:firstLine="648"/>
        <w:spacing w:after="0" w:line="244" w:lineRule="auto"/>
        <w:rPr>
          <w:sz w:val="20"/>
          <w:szCs w:val="20"/>
          <w:color w:val="auto"/>
        </w:rPr>
      </w:pPr>
      <w:r>
        <w:rPr>
          <w:rFonts w:ascii="Arial" w:cs="Arial" w:eastAsia="Arial" w:hAnsi="Arial"/>
          <w:sz w:val="16"/>
          <w:szCs w:val="16"/>
          <w:color w:val="auto"/>
        </w:rPr>
        <w:t>In December 2017, we completed a registered direct offering priced at the market, whereby we sold 1,783,587 shares of our common stock and warrants to purchase up to an aggregate of 1,783,587 shares of its common stock at a combined purchase price of $5.325 per share. Additionally, we issued warrants to the placement agent to purchase 107,015 shares of our common stock at an exercise price of $6.6562 per share. We received gross proceeds of approximately $9.5 million and net proceeds of approximately $8.8 million, net of underwriting discounts and offering expenses.</w:t>
      </w:r>
    </w:p>
    <w:p>
      <w:pPr>
        <w:spacing w:after="0" w:line="11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ability to become profitable depends on our ability to generate revenue. We do not expect to generate significant revenue unless and until we obtain marketing approval for and successfully commercialize one of our product candidates.</w:t>
      </w:r>
    </w:p>
    <w:p>
      <w:pPr>
        <w:spacing w:after="0" w:line="124"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We have incurred significant operating and net losses since inception. We incurred net losses of $28.9 million, $27.2 million, and $12.2 million for the years ended December 31, 2017, 2016, and 2015, respectively. Our accumulated deficit as of December 31, 2017 was $76.6 million, and we expect to incur significant expenses and increasing operating losses for the foreseeable future. We expect our expenses to increase in connection with our ongoing activities, as we continue the development and clinical trials of, and seek regulatory approval for, AXS</w:t>
      </w:r>
      <w:r>
        <w:rPr>
          <w:rFonts w:ascii="MS PGothic" w:cs="MS PGothic" w:eastAsia="MS PGothic" w:hAnsi="MS PGothic"/>
          <w:sz w:val="17"/>
          <w:szCs w:val="17"/>
          <w:color w:val="auto"/>
        </w:rPr>
        <w:t>‑</w:t>
      </w:r>
      <w:r>
        <w:rPr>
          <w:rFonts w:ascii="Arial" w:cs="Arial" w:eastAsia="Arial" w:hAnsi="Arial"/>
          <w:sz w:val="17"/>
          <w:szCs w:val="17"/>
          <w:color w:val="auto"/>
        </w:rPr>
        <w:t>02, AXS</w:t>
      </w:r>
      <w:r>
        <w:rPr>
          <w:rFonts w:ascii="MS PGothic" w:cs="MS PGothic" w:eastAsia="MS PGothic" w:hAnsi="MS PGothic"/>
          <w:sz w:val="17"/>
          <w:szCs w:val="17"/>
          <w:color w:val="auto"/>
        </w:rPr>
        <w:t>‑</w:t>
      </w:r>
      <w:r>
        <w:rPr>
          <w:rFonts w:ascii="Arial" w:cs="Arial" w:eastAsia="Arial" w:hAnsi="Arial"/>
          <w:sz w:val="17"/>
          <w:szCs w:val="17"/>
          <w:color w:val="auto"/>
        </w:rPr>
        <w:t>05, AXS-06, AXS-07, AXS-09, and any other product candidates that we develop or in</w:t>
      </w:r>
      <w:r>
        <w:rPr>
          <w:rFonts w:ascii="MS PGothic" w:cs="MS PGothic" w:eastAsia="MS PGothic" w:hAnsi="MS PGothic"/>
          <w:sz w:val="17"/>
          <w:szCs w:val="17"/>
          <w:color w:val="auto"/>
        </w:rPr>
        <w:t>‑</w:t>
      </w:r>
      <w:r>
        <w:rPr>
          <w:rFonts w:ascii="Arial" w:cs="Arial" w:eastAsia="Arial" w:hAnsi="Arial"/>
          <w:sz w:val="17"/>
          <w:szCs w:val="17"/>
          <w:color w:val="auto"/>
        </w:rPr>
        <w:t>license and advance to clinical development. If we obtain regulatory approval for a product candidate, we expect to incur significant expenses in order to create an infrastructure to support the commercialization of the product candidate, including manufacturing, sales, marketing, and distribution functions. Further, we have incurred and will continue to incur additional costs associated with operating as a public company. Accordingly, we will need additional financing to support our continuing operations. We will seek to fund our operations through public or private equity or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We have not generated any revenue since we commenced operations and we do not expect to generate any revenue in the near future. To the extent we enter into licensing or collaboration arrangements, we may have sources of revenue in the future. We expect that any revenue we generate will fluctuate from quarter to quarter as a result of the amount and timing of payments that we may recognize upon the sale of our product candidates, to the extent that any product candidates are successfully commercialized, and the amount and timing of fees, reimbursements, and milestone and other payments received under any future licensing or collaboration arrangements. If we fail to complete the development of our product candidates in a timely manner or obtain regulatory approval for them, our ability to generate future revenue, and our results of operations and financial position, would be materially and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Research and development expenses primarily consist of costs incurred in performing research and development activities, including preclinical studies, clinical trials, manufacturing costs, employee salaries and benefits,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contract services, including external research and development expenses incurred under arrangements with third parties, such as contract research organizations, or CROs; facilities costs; overhead costs; depreciation; and other related costs.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4" w:name="page115"/>
    <w:bookmarkEnd w:id="1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Research and development activities are central to our business model. We will incur substantial costs beyond our present and planned clinical trials in order to file a new drug application, or NDA, for any of our product candidates. It is difficult to determine with certainty the costs and duration of our current or future clinical trials and preclinical studies, or if, when, or to what extent we will generate revenue from the commercialization and sale of our product candidates if we obtain regulatory approval. We may never succeed in achieving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 Management considers many factors in developing the estimates and assumptions that are used in the preparation of these financial statements.</w:t>
      </w:r>
    </w:p>
    <w:p>
      <w:pPr>
        <w:spacing w:after="0" w:line="163"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auto"/>
        </w:rPr>
        <w:t>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research and development expenses by program for the years ended</w:t>
      </w:r>
    </w:p>
    <w:p>
      <w:pPr>
        <w:spacing w:after="0"/>
        <w:rPr>
          <w:sz w:val="20"/>
          <w:szCs w:val="20"/>
          <w:color w:val="auto"/>
        </w:rPr>
      </w:pPr>
      <w:r>
        <w:rPr>
          <w:rFonts w:ascii="Arial" w:cs="Arial" w:eastAsia="Arial" w:hAnsi="Arial"/>
          <w:sz w:val="18"/>
          <w:szCs w:val="18"/>
          <w:color w:val="auto"/>
        </w:rPr>
        <w:t>December 31, 2017, 2016 and 2015: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155"/>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0"/>
              </w:rPr>
              <w:t>December 31,</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3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12"/>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15"/>
              <w:spacing w:after="0" w:line="129"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72"/>
              <w:spacing w:after="0" w:line="129"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1"/>
                <w:szCs w:val="11"/>
                <w:color w:val="auto"/>
              </w:rPr>
            </w:pPr>
          </w:p>
        </w:tc>
      </w:tr>
      <w:tr>
        <w:trPr>
          <w:trHeight w:val="129"/>
        </w:trPr>
        <w:tc>
          <w:tcPr>
            <w:tcW w:w="3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76"/>
        </w:trPr>
        <w:tc>
          <w:tcPr>
            <w:tcW w:w="34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AXS-02</w:t>
            </w:r>
          </w:p>
        </w:tc>
        <w:tc>
          <w:tcPr>
            <w:tcW w:w="640" w:type="dxa"/>
            <w:vAlign w:val="bottom"/>
            <w:gridSpan w:val="2"/>
            <w:shd w:val="clear" w:color="auto" w:fill="CCEEFF"/>
          </w:tcPr>
          <w:p>
            <w:pPr>
              <w:jc w:val="right"/>
              <w:ind w:right="5"/>
              <w:spacing w:after="0" w:line="17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6,775,736</w:t>
            </w:r>
          </w:p>
        </w:tc>
        <w:tc>
          <w:tcPr>
            <w:tcW w:w="1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9,414,980</w:t>
            </w:r>
          </w:p>
        </w:tc>
        <w:tc>
          <w:tcPr>
            <w:tcW w:w="220" w:type="dxa"/>
            <w:vAlign w:val="bottom"/>
            <w:gridSpan w:val="2"/>
            <w:shd w:val="clear" w:color="auto" w:fill="CCEEFF"/>
          </w:tcPr>
          <w:p>
            <w:pPr>
              <w:jc w:val="right"/>
              <w:ind w:right="5"/>
              <w:spacing w:after="0" w:line="17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3,737,421</w:t>
            </w:r>
          </w:p>
        </w:tc>
        <w:tc>
          <w:tcPr>
            <w:tcW w:w="60" w:type="dxa"/>
            <w:vAlign w:val="bottom"/>
            <w:shd w:val="clear" w:color="auto" w:fill="CCEEFF"/>
          </w:tcPr>
          <w:p>
            <w:pPr>
              <w:spacing w:after="0"/>
              <w:rPr>
                <w:sz w:val="15"/>
                <w:szCs w:val="15"/>
                <w:color w:val="auto"/>
              </w:rPr>
            </w:pPr>
          </w:p>
        </w:tc>
      </w:tr>
      <w:tr>
        <w:trPr>
          <w:trHeight w:val="176"/>
        </w:trPr>
        <w:tc>
          <w:tcPr>
            <w:tcW w:w="3460" w:type="dxa"/>
            <w:vAlign w:val="bottom"/>
          </w:tcPr>
          <w:p>
            <w:pPr>
              <w:ind w:left="220"/>
              <w:spacing w:after="0" w:line="176" w:lineRule="exact"/>
              <w:rPr>
                <w:sz w:val="20"/>
                <w:szCs w:val="20"/>
                <w:color w:val="auto"/>
              </w:rPr>
            </w:pPr>
            <w:r>
              <w:rPr>
                <w:rFonts w:ascii="Arial" w:cs="Arial" w:eastAsia="Arial" w:hAnsi="Arial"/>
                <w:sz w:val="18"/>
                <w:szCs w:val="18"/>
                <w:color w:val="auto"/>
              </w:rPr>
              <w:t>AXS-05</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9,780,593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8,444,618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678,273</w:t>
            </w:r>
          </w:p>
        </w:tc>
        <w:tc>
          <w:tcPr>
            <w:tcW w:w="60" w:type="dxa"/>
            <w:vAlign w:val="bottom"/>
          </w:tcPr>
          <w:p>
            <w:pPr>
              <w:spacing w:after="0"/>
              <w:rPr>
                <w:sz w:val="15"/>
                <w:szCs w:val="15"/>
                <w:color w:val="auto"/>
              </w:rPr>
            </w:pPr>
          </w:p>
        </w:tc>
      </w:tr>
      <w:tr>
        <w:trPr>
          <w:trHeight w:val="176"/>
        </w:trPr>
        <w:tc>
          <w:tcPr>
            <w:tcW w:w="34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AXS-06</w:t>
            </w: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480,425</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353,957</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182,744</w:t>
            </w:r>
          </w:p>
        </w:tc>
        <w:tc>
          <w:tcPr>
            <w:tcW w:w="60" w:type="dxa"/>
            <w:vAlign w:val="bottom"/>
            <w:shd w:val="clear" w:color="auto" w:fill="CCEEFF"/>
          </w:tcPr>
          <w:p>
            <w:pPr>
              <w:spacing w:after="0"/>
              <w:rPr>
                <w:sz w:val="15"/>
                <w:szCs w:val="15"/>
                <w:color w:val="auto"/>
              </w:rPr>
            </w:pPr>
          </w:p>
        </w:tc>
      </w:tr>
      <w:tr>
        <w:trPr>
          <w:trHeight w:val="176"/>
        </w:trPr>
        <w:tc>
          <w:tcPr>
            <w:tcW w:w="3460" w:type="dxa"/>
            <w:vAlign w:val="bottom"/>
          </w:tcPr>
          <w:p>
            <w:pPr>
              <w:ind w:left="220"/>
              <w:spacing w:after="0" w:line="176" w:lineRule="exact"/>
              <w:rPr>
                <w:sz w:val="20"/>
                <w:szCs w:val="20"/>
                <w:color w:val="auto"/>
              </w:rPr>
            </w:pPr>
            <w:r>
              <w:rPr>
                <w:rFonts w:ascii="Arial" w:cs="Arial" w:eastAsia="Arial" w:hAnsi="Arial"/>
                <w:sz w:val="18"/>
                <w:szCs w:val="18"/>
                <w:color w:val="auto"/>
              </w:rPr>
              <w:t>AXS-07</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180,255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w:t>
            </w:r>
          </w:p>
        </w:tc>
      </w:tr>
      <w:tr>
        <w:trPr>
          <w:trHeight w:val="176"/>
        </w:trPr>
        <w:tc>
          <w:tcPr>
            <w:tcW w:w="34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research and development</w:t>
            </w: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2,126,978</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1,870,679</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1,555,648</w:t>
            </w:r>
          </w:p>
        </w:tc>
        <w:tc>
          <w:tcPr>
            <w:tcW w:w="60" w:type="dxa"/>
            <w:vAlign w:val="bottom"/>
            <w:shd w:val="clear" w:color="auto" w:fill="CCEEFF"/>
          </w:tcPr>
          <w:p>
            <w:pPr>
              <w:spacing w:after="0"/>
              <w:rPr>
                <w:sz w:val="15"/>
                <w:szCs w:val="15"/>
                <w:color w:val="auto"/>
              </w:rPr>
            </w:pPr>
          </w:p>
        </w:tc>
      </w:tr>
      <w:tr>
        <w:trPr>
          <w:trHeight w:val="176"/>
        </w:trPr>
        <w:tc>
          <w:tcPr>
            <w:tcW w:w="346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Stock-based compensation</w:t>
            </w:r>
          </w:p>
        </w:tc>
        <w:tc>
          <w:tcPr>
            <w:tcW w:w="4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613,629</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1,115,626</w:t>
            </w: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622,901</w:t>
            </w:r>
          </w:p>
        </w:tc>
        <w:tc>
          <w:tcPr>
            <w:tcW w:w="60" w:type="dxa"/>
            <w:vAlign w:val="bottom"/>
            <w:tcBorders>
              <w:bottom w:val="single" w:sz="8" w:color="CCEEFF"/>
            </w:tcBorders>
          </w:tcPr>
          <w:p>
            <w:pPr>
              <w:spacing w:after="0"/>
              <w:rPr>
                <w:sz w:val="15"/>
                <w:szCs w:val="15"/>
                <w:color w:val="auto"/>
              </w:rPr>
            </w:pPr>
          </w:p>
        </w:tc>
      </w:tr>
      <w:tr>
        <w:trPr>
          <w:trHeight w:val="176"/>
        </w:trPr>
        <w:tc>
          <w:tcPr>
            <w:tcW w:w="346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research and development expenses</w:t>
            </w:r>
          </w:p>
        </w:tc>
        <w:tc>
          <w:tcPr>
            <w:tcW w:w="4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19,957,616</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21,199,860</w:t>
            </w: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6,776,987</w:t>
            </w:r>
          </w:p>
        </w:tc>
        <w:tc>
          <w:tcPr>
            <w:tcW w:w="60" w:type="dxa"/>
            <w:vAlign w:val="bottom"/>
            <w:tcBorders>
              <w:bottom w:val="single" w:sz="8" w:color="CCEEFF"/>
            </w:tcBorders>
            <w:shd w:val="clear" w:color="auto" w:fill="CCEEFF"/>
          </w:tcPr>
          <w:p>
            <w:pPr>
              <w:spacing w:after="0"/>
              <w:rPr>
                <w:sz w:val="15"/>
                <w:szCs w:val="15"/>
                <w:color w:val="auto"/>
              </w:rPr>
            </w:pPr>
          </w:p>
        </w:tc>
      </w:tr>
    </w:tbl>
    <w:p>
      <w:pPr>
        <w:spacing w:after="0" w:line="188" w:lineRule="exact"/>
        <w:rPr>
          <w:sz w:val="20"/>
          <w:szCs w:val="20"/>
          <w:color w:val="auto"/>
        </w:rPr>
      </w:pPr>
    </w:p>
    <w:p>
      <w:pPr>
        <w:ind w:right="660" w:firstLine="648"/>
        <w:spacing w:after="0" w:line="235" w:lineRule="auto"/>
        <w:rPr>
          <w:sz w:val="20"/>
          <w:szCs w:val="20"/>
          <w:color w:val="auto"/>
        </w:rPr>
      </w:pPr>
      <w:r>
        <w:rPr>
          <w:rFonts w:ascii="Arial" w:cs="Arial" w:eastAsia="Arial" w:hAnsi="Arial"/>
          <w:sz w:val="18"/>
          <w:szCs w:val="18"/>
          <w:color w:val="auto"/>
        </w:rPr>
        <w:t>Other research and development expenses primarily consist of employee salaries and benefits, facilities and overhead costs, and expenses for terminated programs.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5" w:lineRule="exact"/>
        <w:rPr>
          <w:sz w:val="20"/>
          <w:szCs w:val="20"/>
          <w:color w:val="auto"/>
        </w:rPr>
      </w:pPr>
    </w:p>
    <w:p>
      <w:pPr>
        <w:ind w:right="440" w:firstLine="648"/>
        <w:spacing w:after="0" w:line="189" w:lineRule="exact"/>
        <w:rPr>
          <w:sz w:val="20"/>
          <w:szCs w:val="20"/>
          <w:color w:val="auto"/>
        </w:rPr>
      </w:pPr>
      <w:r>
        <w:rPr>
          <w:rFonts w:ascii="Arial" w:cs="Arial" w:eastAsia="Arial" w:hAnsi="Arial"/>
          <w:sz w:val="16"/>
          <w:szCs w:val="16"/>
          <w:color w:val="auto"/>
        </w:rPr>
        <w:t>General and administrative expenses primarily consist of salaries and related costs for personnel in executive, finance, and operational functions, including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and travel expenses. Other general and administrative expenses include facility</w:t>
      </w:r>
      <w:r>
        <w:rPr>
          <w:rFonts w:ascii="MS PGothic" w:cs="MS PGothic" w:eastAsia="MS PGothic" w:hAnsi="MS PGothic"/>
          <w:sz w:val="16"/>
          <w:szCs w:val="16"/>
          <w:color w:val="auto"/>
        </w:rPr>
        <w:t>‑</w:t>
      </w:r>
      <w:r>
        <w:rPr>
          <w:rFonts w:ascii="Arial" w:cs="Arial" w:eastAsia="Arial" w:hAnsi="Arial"/>
          <w:sz w:val="16"/>
          <w:szCs w:val="16"/>
          <w:color w:val="auto"/>
        </w:rPr>
        <w:t>related costs, insurance expense, and professional fees for legal and accounting services and patent filing and prosecution costs. General and administrative expenses are expensed when incurred.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Amortization of Debt Discount Expense</w:t>
      </w:r>
    </w:p>
    <w:p>
      <w:pPr>
        <w:spacing w:after="0" w:line="185" w:lineRule="exact"/>
        <w:rPr>
          <w:sz w:val="20"/>
          <w:szCs w:val="20"/>
          <w:color w:val="auto"/>
        </w:rPr>
      </w:pPr>
    </w:p>
    <w:p>
      <w:pPr>
        <w:ind w:right="200" w:firstLine="648"/>
        <w:spacing w:after="0" w:line="203" w:lineRule="exact"/>
        <w:rPr>
          <w:sz w:val="20"/>
          <w:szCs w:val="20"/>
          <w:color w:val="auto"/>
        </w:rPr>
      </w:pPr>
      <w:r>
        <w:rPr>
          <w:rFonts w:ascii="Arial" w:cs="Arial" w:eastAsia="Arial" w:hAnsi="Arial"/>
          <w:sz w:val="16"/>
          <w:szCs w:val="16"/>
          <w:color w:val="auto"/>
        </w:rPr>
        <w:t>Interest and amortization of debt discount expense primarily consists of cash interest and non</w:t>
      </w:r>
      <w:r>
        <w:rPr>
          <w:rFonts w:ascii="MS PGothic" w:cs="MS PGothic" w:eastAsia="MS PGothic" w:hAnsi="MS PGothic"/>
          <w:sz w:val="16"/>
          <w:szCs w:val="16"/>
          <w:color w:val="auto"/>
        </w:rPr>
        <w:t>‑</w:t>
      </w:r>
      <w:r>
        <w:rPr>
          <w:rFonts w:ascii="Arial" w:cs="Arial" w:eastAsia="Arial" w:hAnsi="Arial"/>
          <w:sz w:val="16"/>
          <w:szCs w:val="16"/>
          <w:color w:val="auto"/>
        </w:rPr>
        <w:t>cash costs related to our term loan with SVB, which was entered into in 2016, as well as cash and non-cash interest costs related to the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5" w:name="page116"/>
    <w:bookmarkEnd w:id="1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convertible debt we had outstanding in 2015. We record costs incurred in connection with the issuance of debt as a direct deduction from the debt liability. We amortize these costs over the term of our debt agreements as interest expense in our consolidated statement of operations. Interest and amortization of debt discount expense also includes the amortization of the premium recognized due to extinguishment of debt, as well as interest income earned on cash.</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Credit</w:t>
      </w:r>
    </w:p>
    <w:p>
      <w:pPr>
        <w:spacing w:after="0" w:line="185"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The tax credits represent the receipt of the New York City Biotechnology Tax Credit, or NYC Biotech credit, and receipt by Axsome Therapeutics Australia PTY, LTD, our Australian subsidiary, of the Australia Tax Incentive Credit, related to allowable research and development expenses incurred for our product candidates.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85" w:lineRule="exact"/>
        <w:rPr>
          <w:sz w:val="20"/>
          <w:szCs w:val="20"/>
          <w:color w:val="auto"/>
        </w:rPr>
      </w:pPr>
    </w:p>
    <w:p>
      <w:pPr>
        <w:jc w:val="both"/>
        <w:ind w:right="60" w:firstLine="648"/>
        <w:spacing w:after="0" w:line="187" w:lineRule="exact"/>
        <w:rPr>
          <w:sz w:val="20"/>
          <w:szCs w:val="20"/>
          <w:color w:val="auto"/>
        </w:rPr>
      </w:pPr>
      <w:r>
        <w:rPr>
          <w:rFonts w:ascii="Arial" w:cs="Arial" w:eastAsia="Arial" w:hAnsi="Arial"/>
          <w:sz w:val="18"/>
          <w:szCs w:val="18"/>
          <w:color w:val="auto"/>
        </w:rPr>
        <w:t>The warrants to purchase our common stock issued as part of the registered direct stock offering in December 2017 and warrants to purchase our common stock issued to the placement agent in connection with our convertible notes issued in 2014 were classified as a warrant liability and recorded at fair value. The warrant liability was subject to re</w:t>
      </w:r>
      <w:r>
        <w:rPr>
          <w:rFonts w:ascii="MS PGothic" w:cs="MS PGothic" w:eastAsia="MS PGothic" w:hAnsi="MS PGothic"/>
          <w:sz w:val="18"/>
          <w:szCs w:val="18"/>
          <w:color w:val="auto"/>
        </w:rPr>
        <w:t>‑</w:t>
      </w:r>
      <w:r>
        <w:rPr>
          <w:rFonts w:ascii="Arial" w:cs="Arial" w:eastAsia="Arial" w:hAnsi="Arial"/>
          <w:sz w:val="18"/>
          <w:szCs w:val="18"/>
          <w:color w:val="auto"/>
        </w:rPr>
        <w:t>measurement at each balance sheet date and any change in fair value was recognized in our statements of operations as a change in fair value of the warrant liability.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Embedded Derivative Liabilities</w:t>
      </w:r>
    </w:p>
    <w:p>
      <w:pPr>
        <w:spacing w:after="0" w:line="185" w:lineRule="exact"/>
        <w:rPr>
          <w:sz w:val="20"/>
          <w:szCs w:val="20"/>
          <w:color w:val="auto"/>
        </w:rPr>
      </w:pPr>
    </w:p>
    <w:p>
      <w:pPr>
        <w:ind w:right="80" w:firstLine="648"/>
        <w:spacing w:after="0" w:line="187" w:lineRule="exact"/>
        <w:rPr>
          <w:sz w:val="20"/>
          <w:szCs w:val="20"/>
          <w:color w:val="auto"/>
        </w:rPr>
      </w:pPr>
      <w:r>
        <w:rPr>
          <w:rFonts w:ascii="Arial" w:cs="Arial" w:eastAsia="Arial" w:hAnsi="Arial"/>
          <w:sz w:val="18"/>
          <w:szCs w:val="18"/>
          <w:color w:val="auto"/>
        </w:rPr>
        <w:t>We issued convertible notes from September 2014 through July 2015 that included an embedded derivative that required bifurcation from the host debt instrument. We aggregated these bifurcated features and reflected the values of these embedded derivatives in the account “embedded derivative liabilities” which was subject to re</w:t>
      </w:r>
      <w:r>
        <w:rPr>
          <w:rFonts w:ascii="MS PGothic" w:cs="MS PGothic" w:eastAsia="MS PGothic" w:hAnsi="MS PGothic"/>
          <w:sz w:val="18"/>
          <w:szCs w:val="18"/>
          <w:color w:val="auto"/>
        </w:rPr>
        <w:t>‑</w:t>
      </w:r>
      <w:r>
        <w:rPr>
          <w:rFonts w:ascii="Arial" w:cs="Arial" w:eastAsia="Arial" w:hAnsi="Arial"/>
          <w:sz w:val="18"/>
          <w:szCs w:val="18"/>
          <w:color w:val="auto"/>
        </w:rPr>
        <w:t>measurement at each balance sheet date and any change in fair value was recognized in our statements of operations as a change in fair value of the embedded derivative liabilities.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85"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color w:val="auto"/>
        </w:rPr>
        <w:t>During June 2014, we amended our convertible notes issued from June 2013 through October 2013 in order to allow the notes to automatically convert into shares of common stock at maturity. The amendment was deemed to be a substantive change resulting in a loss on extinguishment of debt with an offsetting premium to the convertible notes.</w:t>
      </w:r>
    </w:p>
    <w:p>
      <w:pPr>
        <w:spacing w:after="0" w:line="161"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During September 2015, we amended our outstanding convertible notes to provide that the principal and any accrued and unpaid interest would automatically convert into shares of our common stock upon the occurrence of an equity financing of at least $2.0 million in gross aggregate cash proceeds at a conversion price equal to the applicable fixed conversion price for the notes; provided, however, if the lowest price per share at which our shares of equity securities were sold in such equity financing was less than the applicable fixed conversion price, then the note conversion price would equal 75% of the lowest price per share at which our shares of equity securities were sold. The amendment was deemed to be a substantive change resulting in a loss on extinguishment of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89" w:lineRule="exact"/>
        <w:rPr>
          <w:sz w:val="20"/>
          <w:szCs w:val="20"/>
          <w:color w:val="auto"/>
        </w:rPr>
      </w:pPr>
    </w:p>
    <w:p>
      <w:pPr>
        <w:ind w:right="20" w:firstLine="648"/>
        <w:spacing w:after="0" w:line="239" w:lineRule="auto"/>
        <w:rPr>
          <w:sz w:val="20"/>
          <w:szCs w:val="20"/>
          <w:color w:val="auto"/>
        </w:rPr>
      </w:pPr>
      <w:r>
        <w:rPr>
          <w:rFonts w:ascii="Arial" w:cs="Arial" w:eastAsia="Arial" w:hAnsi="Arial"/>
          <w:sz w:val="16"/>
          <w:szCs w:val="16"/>
          <w:color w:val="auto"/>
        </w:rPr>
        <w:t>This discussion and analysis of our financial condition and results of operations is based on our consolidated financial statements, which have been prepared in accordance with generally accepted accounting principles in the United States of America, or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16" w:name="page117"/>
    <w:bookmarkEnd w:id="1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60" w:firstLine="648"/>
        <w:spacing w:after="0" w:line="238" w:lineRule="auto"/>
        <w:rPr>
          <w:sz w:val="20"/>
          <w:szCs w:val="20"/>
          <w:color w:val="auto"/>
        </w:rPr>
      </w:pPr>
      <w:r>
        <w:rPr>
          <w:rFonts w:ascii="Arial" w:cs="Arial" w:eastAsia="Arial" w:hAnsi="Arial"/>
          <w:sz w:val="17"/>
          <w:szCs w:val="17"/>
          <w:color w:val="auto"/>
        </w:rPr>
        <w:t>While our significant accounting policies are more fully described in Note 2 to our audited consolidated financial statements appearing elsewhere in this report, we believe the following accounting policies are the most critical to the judgments and estimates we use in the preparation of our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68" w:lineRule="exact"/>
        <w:rPr>
          <w:sz w:val="20"/>
          <w:szCs w:val="20"/>
          <w:color w:val="auto"/>
        </w:rPr>
      </w:pPr>
    </w:p>
    <w:p>
      <w:pPr>
        <w:ind w:right="40" w:firstLine="648"/>
        <w:spacing w:after="0" w:line="249" w:lineRule="auto"/>
        <w:rPr>
          <w:sz w:val="20"/>
          <w:szCs w:val="20"/>
          <w:color w:val="auto"/>
        </w:rPr>
      </w:pPr>
      <w:r>
        <w:rPr>
          <w:rFonts w:ascii="Arial" w:cs="Arial" w:eastAsia="Arial" w:hAnsi="Arial"/>
          <w:sz w:val="16"/>
          <w:szCs w:val="16"/>
          <w:color w:val="auto"/>
        </w:rPr>
        <w:t>We recognize the tax benefit from an uncertain tax position only if it is more likely than not to be sustained upon examination based on the technical merits of the position as well as consideration of the available facts and circumstances. When uncertain tax positions exist, we recognize the tax benefit of tax positions to the extent that the benefit will more likely than not be realized. As of December 31, 2017, we do not believe any material uncertain tax positions are present.</w:t>
      </w:r>
    </w:p>
    <w:p>
      <w:pPr>
        <w:spacing w:after="0" w:line="155"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As of December 31, 2017, we had federal and state net operating loss carryforwards of approximately $61 million which will begin expiring in 2033.</w:t>
      </w:r>
    </w:p>
    <w:p>
      <w:pPr>
        <w:spacing w:after="0" w:line="162" w:lineRule="exact"/>
        <w:rPr>
          <w:sz w:val="20"/>
          <w:szCs w:val="20"/>
          <w:color w:val="auto"/>
        </w:rPr>
      </w:pPr>
    </w:p>
    <w:p>
      <w:pPr>
        <w:ind w:right="20" w:firstLine="648"/>
        <w:spacing w:after="0" w:line="259" w:lineRule="auto"/>
        <w:rPr>
          <w:sz w:val="20"/>
          <w:szCs w:val="20"/>
          <w:color w:val="auto"/>
        </w:rPr>
      </w:pPr>
      <w:r>
        <w:rPr>
          <w:rFonts w:ascii="Arial" w:cs="Arial" w:eastAsia="Arial" w:hAnsi="Arial"/>
          <w:sz w:val="16"/>
          <w:szCs w:val="16"/>
          <w:color w:val="auto"/>
        </w:rPr>
        <w:t>Utilization of the net operating losses may be subject to a substantial annual limitation due to ownership change limitations provided by the Internal Revenue Code of 1986, as amended. The annual limitation may result in the expiration of our net operating losses before we can use them. We have recorded a valuation allowance on all of our deferred tax assets.</w:t>
      </w:r>
    </w:p>
    <w:p>
      <w:pPr>
        <w:spacing w:after="0" w:line="147" w:lineRule="exact"/>
        <w:rPr>
          <w:sz w:val="20"/>
          <w:szCs w:val="20"/>
          <w:color w:val="auto"/>
        </w:rPr>
      </w:pPr>
    </w:p>
    <w:p>
      <w:pPr>
        <w:ind w:right="80" w:firstLine="648"/>
        <w:spacing w:after="0" w:line="232" w:lineRule="auto"/>
        <w:rPr>
          <w:sz w:val="20"/>
          <w:szCs w:val="20"/>
          <w:color w:val="auto"/>
        </w:rPr>
      </w:pPr>
      <w:r>
        <w:rPr>
          <w:rFonts w:ascii="Arial" w:cs="Arial" w:eastAsia="Arial" w:hAnsi="Arial"/>
          <w:sz w:val="17"/>
          <w:szCs w:val="17"/>
          <w:color w:val="auto"/>
        </w:rPr>
        <w:t>On December 22, 2017, the U.S. President signed the Tax Cuts and Jobs Act, or the Act, into law. Effective January 1, 2018, among other changes, the Act (1) reduces the U.S. federal corporate tax rate from 35 percent to 21 percent, (2) changes the rules relating to net operating loss, or NOL, carryforwards and carrybacks, (3) eliminates the corporate alternative minimum tax, or AMT, and changes how existing AMT credits can be realized; and (4) requires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7" w:name="page118"/>
    <w:bookmarkEnd w:id="1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companies to pay a one-time transition tax on certain unrepatriated earnings of foreign subsidiaries. The impact on our financial statements for the period ended December 31, 2017 is immaterial, primarily because we have a valuation allowance on deferred tax assets in the U.S.</w:t>
      </w:r>
    </w:p>
    <w:p>
      <w:pPr>
        <w:spacing w:after="0" w:line="16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w:t>
      </w:r>
    </w:p>
    <w:p>
      <w:pPr>
        <w:spacing w:after="0" w:line="185" w:lineRule="exact"/>
        <w:rPr>
          <w:sz w:val="20"/>
          <w:szCs w:val="20"/>
          <w:color w:val="auto"/>
        </w:rPr>
      </w:pPr>
    </w:p>
    <w:p>
      <w:pPr>
        <w:ind w:right="100" w:firstLine="648"/>
        <w:spacing w:after="0" w:line="180" w:lineRule="exact"/>
        <w:rPr>
          <w:sz w:val="20"/>
          <w:szCs w:val="20"/>
          <w:color w:val="auto"/>
        </w:rPr>
      </w:pPr>
      <w:r>
        <w:rPr>
          <w:rFonts w:ascii="Arial" w:cs="Arial" w:eastAsia="Arial" w:hAnsi="Arial"/>
          <w:sz w:val="17"/>
          <w:szCs w:val="17"/>
          <w:color w:val="auto"/>
        </w:rPr>
        <w:t>For stock options issued to employees and members of the board of directors for their services, we estimate the grant date fair value of each option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The Black-Scholes model takes into account the expected volatility of our common stock, the risk-free interest rate, the estimated life of the option, the closing market price of our common stock and the exercise price. The estimates utilized in the Black-Scholes calculation involve inherent uncertainties and the application of management judgment. In addition, we recognize expense for equity awards expected to vest and account for forfeitures as they occur. For awards subject to service-based vesting conditions, we recognize stock-based compensation expense on a straight-line basis over the requisite service period, which is generally the vesting term. For awards subject to performance-based vesting conditions, we recognize stock-based compensation expense using the accelerated attribution method when it is probable that the performance condition will be achieved. The expense related to the stock-based compensation is recorded within the financial statement line item the grantee’s cash compensation is recorded in.</w:t>
      </w:r>
    </w:p>
    <w:p>
      <w:pPr>
        <w:spacing w:after="0" w:line="167" w:lineRule="exact"/>
        <w:rPr>
          <w:sz w:val="20"/>
          <w:szCs w:val="20"/>
          <w:color w:val="auto"/>
        </w:rPr>
      </w:pPr>
    </w:p>
    <w:p>
      <w:pPr>
        <w:ind w:firstLine="648"/>
        <w:spacing w:after="0" w:line="183" w:lineRule="exact"/>
        <w:rPr>
          <w:sz w:val="20"/>
          <w:szCs w:val="20"/>
          <w:color w:val="auto"/>
        </w:rPr>
      </w:pPr>
      <w:r>
        <w:rPr>
          <w:rFonts w:ascii="Arial" w:cs="Arial" w:eastAsia="Arial" w:hAnsi="Arial"/>
          <w:sz w:val="18"/>
          <w:szCs w:val="18"/>
          <w:color w:val="auto"/>
        </w:rPr>
        <w:t>For stock</w:t>
      </w:r>
      <w:r>
        <w:rPr>
          <w:rFonts w:ascii="MS PGothic" w:cs="MS PGothic" w:eastAsia="MS PGothic" w:hAnsi="MS PGothic"/>
          <w:sz w:val="18"/>
          <w:szCs w:val="18"/>
          <w:color w:val="auto"/>
        </w:rPr>
        <w:t>‑</w:t>
      </w:r>
      <w:r>
        <w:rPr>
          <w:rFonts w:ascii="Arial" w:cs="Arial" w:eastAsia="Arial" w:hAnsi="Arial"/>
          <w:sz w:val="18"/>
          <w:szCs w:val="18"/>
          <w:color w:val="auto"/>
        </w:rPr>
        <w:t>based payments issued to non</w:t>
      </w:r>
      <w:r>
        <w:rPr>
          <w:rFonts w:ascii="MS PGothic" w:cs="MS PGothic" w:eastAsia="MS PGothic" w:hAnsi="MS PGothic"/>
          <w:sz w:val="18"/>
          <w:szCs w:val="18"/>
          <w:color w:val="auto"/>
        </w:rPr>
        <w:t>‑</w:t>
      </w:r>
      <w:r>
        <w:rPr>
          <w:rFonts w:ascii="Arial" w:cs="Arial" w:eastAsia="Arial" w:hAnsi="Arial"/>
          <w:sz w:val="18"/>
          <w:szCs w:val="18"/>
          <w:color w:val="auto"/>
        </w:rPr>
        <w:t>employees, compensation expense is determined at the “measurement date,” which is the earlier of (i) the date at which a commitment for performance by the counterparty to earn the equity instrument is reached or (ii) the date at which the counterparty’s performance is complete. The expense is recognized over the vesting period of the award. Until the measurement date is reached, the total amount of compensation expense remains uncertain. We record compensation expense based on the fair value of the award at the reporting date. The awards to non</w:t>
      </w:r>
      <w:r>
        <w:rPr>
          <w:rFonts w:ascii="MS PGothic" w:cs="MS PGothic" w:eastAsia="MS PGothic" w:hAnsi="MS PGothic"/>
          <w:sz w:val="18"/>
          <w:szCs w:val="18"/>
          <w:color w:val="auto"/>
        </w:rPr>
        <w:t>‑</w:t>
      </w:r>
      <w:r>
        <w:rPr>
          <w:rFonts w:ascii="Arial" w:cs="Arial" w:eastAsia="Arial" w:hAnsi="Arial"/>
          <w:sz w:val="18"/>
          <w:szCs w:val="18"/>
          <w:color w:val="auto"/>
        </w:rPr>
        <w:t>employees are then revalued, or the total compensation is recalculated based on the then</w:t>
      </w:r>
      <w:r>
        <w:rPr>
          <w:rFonts w:ascii="MS PGothic" w:cs="MS PGothic" w:eastAsia="MS PGothic" w:hAnsi="MS PGothic"/>
          <w:sz w:val="18"/>
          <w:szCs w:val="18"/>
          <w:color w:val="auto"/>
        </w:rPr>
        <w:t>‑</w:t>
      </w:r>
      <w:r>
        <w:rPr>
          <w:rFonts w:ascii="Arial" w:cs="Arial" w:eastAsia="Arial" w:hAnsi="Arial"/>
          <w:sz w:val="18"/>
          <w:szCs w:val="18"/>
          <w:color w:val="auto"/>
        </w:rPr>
        <w:t>current fair value, at each subsequent reporting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2016</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our results of operations for the years ended December 31, 2017 and 2016:</w:t>
      </w:r>
    </w:p>
    <w:p>
      <w:pPr>
        <w:spacing w:after="0" w:line="191"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Year ended</w:t>
      </w:r>
    </w:p>
    <w:p>
      <w:pPr>
        <w:ind w:left="7140"/>
        <w:spacing w:after="0" w:line="221"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372"/>
              <w:spacing w:after="0" w:line="136"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52"/>
              <w:spacing w:after="0" w:line="136"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9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60" w:type="dxa"/>
            <w:vAlign w:val="bottom"/>
          </w:tcPr>
          <w:p>
            <w:pPr>
              <w:ind w:left="200"/>
              <w:spacing w:after="0" w:line="176" w:lineRule="exact"/>
              <w:rPr>
                <w:sz w:val="20"/>
                <w:szCs w:val="20"/>
                <w:color w:val="auto"/>
              </w:rPr>
            </w:pPr>
            <w:r>
              <w:rPr>
                <w:rFonts w:ascii="Arial" w:cs="Arial" w:eastAsia="Arial" w:hAnsi="Arial"/>
                <w:sz w:val="18"/>
                <w:szCs w:val="18"/>
                <w:color w:val="auto"/>
              </w:rPr>
              <w:t>Research and development</w:t>
            </w:r>
          </w:p>
        </w:tc>
        <w:tc>
          <w:tcPr>
            <w:tcW w:w="152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19,957,616</w:t>
            </w:r>
          </w:p>
        </w:tc>
        <w:tc>
          <w:tcPr>
            <w:tcW w:w="28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21,199,860</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General and administrative</w:t>
            </w:r>
          </w:p>
        </w:tc>
        <w:tc>
          <w:tcPr>
            <w:tcW w:w="13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7,206,691</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6,343,648</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operating expenses</w:t>
            </w:r>
          </w:p>
        </w:tc>
        <w:tc>
          <w:tcPr>
            <w:tcW w:w="1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27,164,307</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27,543,508</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Loss from operations</w:t>
            </w:r>
          </w:p>
        </w:tc>
        <w:tc>
          <w:tcPr>
            <w:tcW w:w="1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(27,164,307)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(27,543,508)</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60" w:type="dxa"/>
            <w:vAlign w:val="bottom"/>
          </w:tcPr>
          <w:p>
            <w:pPr>
              <w:spacing w:after="0" w:line="176" w:lineRule="exact"/>
              <w:rPr>
                <w:sz w:val="20"/>
                <w:szCs w:val="20"/>
                <w:color w:val="auto"/>
              </w:rPr>
            </w:pPr>
            <w:r>
              <w:rPr>
                <w:rFonts w:ascii="Arial" w:cs="Arial" w:eastAsia="Arial" w:hAnsi="Arial"/>
                <w:sz w:val="18"/>
                <w:szCs w:val="18"/>
                <w:color w:val="auto"/>
              </w:rPr>
              <w:t>Interest and amortization of debt discount expense</w:t>
            </w: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(1,340,199)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(132,424)</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Tax credit</w:t>
            </w: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207,114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474,279</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60" w:type="dxa"/>
            <w:vAlign w:val="bottom"/>
          </w:tcPr>
          <w:p>
            <w:pPr>
              <w:spacing w:after="0" w:line="176" w:lineRule="exact"/>
              <w:rPr>
                <w:sz w:val="20"/>
                <w:szCs w:val="20"/>
                <w:color w:val="auto"/>
              </w:rPr>
            </w:pPr>
            <w:r>
              <w:rPr>
                <w:rFonts w:ascii="Arial" w:cs="Arial" w:eastAsia="Arial" w:hAnsi="Arial"/>
                <w:sz w:val="18"/>
                <w:szCs w:val="18"/>
                <w:color w:val="auto"/>
              </w:rPr>
              <w:t>Change in fair value of warrant liability</w:t>
            </w: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(646,000)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ind w:right="32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6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loss</w:t>
            </w:r>
          </w:p>
        </w:tc>
        <w:tc>
          <w:tcPr>
            <w:tcW w:w="13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(28,943,392)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(27,201,653)</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60" w:firstLine="648"/>
        <w:spacing w:after="0" w:line="241"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Our research and development expenses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2017 were $20.0 million, compared to $21.2 million for the year ended December 31, 2016, a decrease of $1.2 million. The decrease was primarily due to the lower costs of our previously initiated clinical trials, offset by the initiation of our ADVANCE-1 study as well as an increase in personnel costs and stock compensation expense. We expect our research and development expenses to decrease modestly in 2018. This decrease will be driven by the pause in screening of our COAST-1 trial and cessation of the CREATE-1 study offset by continued enrollment in our STRIDE-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8" w:name="page119"/>
    <w:bookmarkEnd w:id="1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1 and ADVANCE-1 studies, initiation of a Phase 2 study in smoking cessation for AXS-05 and the initiation of a migraine study for AXS-07.</w:t>
      </w:r>
    </w:p>
    <w:p>
      <w:pPr>
        <w:spacing w:after="0" w:line="162"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Our general and administrative expenses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2017 were $7.2 million, as compared to $6.3 million for the year ended December 31, 2016, an increase of $0.9 million. The increase was primarily due to higher intellectual property costs, stock compensation expense and placement agent expenses associated with our registered direct offering completed in December 2017. We anticipate that our general and administrative expenses will decrease modestly in 2018.</w:t>
      </w:r>
    </w:p>
    <w:p>
      <w:pPr>
        <w:spacing w:after="0" w:line="162"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i w:val="1"/>
          <w:iCs w:val="1"/>
          <w:color w:val="auto"/>
        </w:rPr>
        <w:t xml:space="preserve">Interest and Amortization of Debt Discount Expense. </w:t>
      </w:r>
      <w:r>
        <w:rPr>
          <w:rFonts w:ascii="Arial" w:cs="Arial" w:eastAsia="Arial" w:hAnsi="Arial"/>
          <w:sz w:val="18"/>
          <w:szCs w:val="18"/>
          <w:color w:val="auto"/>
        </w:rPr>
        <w:t>Interest and amortization of debt discount expense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2017 was $1.3 million, as compared to $0.1 million for the year ended December 31, 2016, an increase of $1.2 million. The increase was related to interest and the amortization of the debt discount associated with our loan and security agreement with SVB which began in November 2016.</w:t>
      </w:r>
    </w:p>
    <w:p>
      <w:pPr>
        <w:spacing w:after="0" w:line="16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7"/>
          <w:szCs w:val="17"/>
          <w:i w:val="1"/>
          <w:iCs w:val="1"/>
          <w:color w:val="auto"/>
        </w:rPr>
        <w:t xml:space="preserve">Tax Credit. </w:t>
      </w:r>
      <w:r>
        <w:rPr>
          <w:rFonts w:ascii="Arial" w:cs="Arial" w:eastAsia="Arial" w:hAnsi="Arial"/>
          <w:sz w:val="17"/>
          <w:szCs w:val="17"/>
          <w:color w:val="auto"/>
        </w:rPr>
        <w:t>During the year ended December 31, 2017, the income of $0.2 million represents the receipt by Axsome</w:t>
      </w:r>
      <w:r>
        <w:rPr>
          <w:rFonts w:ascii="Arial" w:cs="Arial" w:eastAsia="Arial" w:hAnsi="Arial"/>
          <w:sz w:val="17"/>
          <w:szCs w:val="17"/>
          <w:i w:val="1"/>
          <w:iCs w:val="1"/>
          <w:color w:val="auto"/>
        </w:rPr>
        <w:t xml:space="preserve"> </w:t>
      </w:r>
      <w:r>
        <w:rPr>
          <w:rFonts w:ascii="Arial" w:cs="Arial" w:eastAsia="Arial" w:hAnsi="Arial"/>
          <w:sz w:val="17"/>
          <w:szCs w:val="17"/>
          <w:color w:val="auto"/>
        </w:rPr>
        <w:t>Therapeutics Australia PTY LTD, our Australian subsidiary, of the Australia Tax Incentive Credit related to the 2016 research and development expenses for our product candidates. In 2016, we received the NYC Biotech credit in the amount of $0.5 million related to the research and development expenses of our product candidates.</w:t>
      </w:r>
    </w:p>
    <w:p>
      <w:pPr>
        <w:spacing w:after="0" w:line="163" w:lineRule="exact"/>
        <w:rPr>
          <w:sz w:val="20"/>
          <w:szCs w:val="20"/>
          <w:color w:val="auto"/>
        </w:rPr>
      </w:pPr>
    </w:p>
    <w:p>
      <w:pPr>
        <w:ind w:right="200" w:firstLine="648"/>
        <w:spacing w:after="0" w:line="224" w:lineRule="auto"/>
        <w:rPr>
          <w:sz w:val="20"/>
          <w:szCs w:val="20"/>
          <w:color w:val="auto"/>
        </w:rPr>
      </w:pPr>
      <w:r>
        <w:rPr>
          <w:rFonts w:ascii="Arial" w:cs="Arial" w:eastAsia="Arial" w:hAnsi="Arial"/>
          <w:sz w:val="18"/>
          <w:szCs w:val="18"/>
          <w:i w:val="1"/>
          <w:iCs w:val="1"/>
          <w:color w:val="auto"/>
        </w:rPr>
        <w:t xml:space="preserve">Change in Fair Value of Warrant Liability. </w:t>
      </w:r>
      <w:r>
        <w:rPr>
          <w:rFonts w:ascii="Arial" w:cs="Arial" w:eastAsia="Arial" w:hAnsi="Arial"/>
          <w:sz w:val="18"/>
          <w:szCs w:val="18"/>
          <w:color w:val="auto"/>
        </w:rPr>
        <w:t>We recorded expense related to the change in fair value of our warrant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for the year ended December 31, 2017 of $0.6 million. There was no warrant liability recorded during the year ended December 31, 2016.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2015</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our results of operations for the years ended December 31, 2016 and 2015: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4"/>
          </w:tcPr>
          <w:p>
            <w:pPr>
              <w:ind w:left="260"/>
              <w:spacing w:after="0"/>
              <w:rPr>
                <w:sz w:val="20"/>
                <w:szCs w:val="20"/>
                <w:color w:val="auto"/>
              </w:rPr>
            </w:pPr>
            <w:r>
              <w:rPr>
                <w:rFonts w:ascii="Arial" w:cs="Arial" w:eastAsia="Arial" w:hAnsi="Arial"/>
                <w:sz w:val="14"/>
                <w:szCs w:val="14"/>
                <w:b w:val="1"/>
                <w:bCs w:val="1"/>
                <w:color w:val="auto"/>
              </w:rPr>
              <w:t>Year ended December 31,</w:t>
            </w:r>
          </w:p>
        </w:tc>
      </w:tr>
      <w:tr>
        <w:trPr>
          <w:trHeight w:val="129"/>
        </w:trPr>
        <w:tc>
          <w:tcPr>
            <w:tcW w:w="5180" w:type="dxa"/>
            <w:vAlign w:val="bottom"/>
            <w:tcBorders>
              <w:bottom w:val="single" w:sz="8" w:color="CCEEFF"/>
            </w:tcBorders>
          </w:tcPr>
          <w:p>
            <w:pPr>
              <w:spacing w:after="0"/>
              <w:rPr>
                <w:sz w:val="11"/>
                <w:szCs w:val="11"/>
                <w:color w:val="auto"/>
              </w:rPr>
            </w:pPr>
          </w:p>
        </w:tc>
        <w:tc>
          <w:tcPr>
            <w:tcW w:w="12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313"/>
              <w:spacing w:after="0" w:line="129"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292"/>
              <w:spacing w:after="0" w:line="129"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1"/>
                <w:szCs w:val="11"/>
                <w:color w:val="auto"/>
              </w:rPr>
            </w:pPr>
          </w:p>
        </w:tc>
      </w:tr>
      <w:tr>
        <w:trPr>
          <w:trHeight w:val="169"/>
        </w:trPr>
        <w:tc>
          <w:tcPr>
            <w:tcW w:w="51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expenses:</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r>
      <w:tr>
        <w:trPr>
          <w:trHeight w:val="176"/>
        </w:trPr>
        <w:tc>
          <w:tcPr>
            <w:tcW w:w="5180" w:type="dxa"/>
            <w:vAlign w:val="bottom"/>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13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w w:val="95"/>
              </w:rPr>
              <w:t>21,199,860</w:t>
            </w:r>
          </w:p>
        </w:tc>
        <w:tc>
          <w:tcPr>
            <w:tcW w:w="20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6,776,987</w:t>
            </w:r>
          </w:p>
        </w:tc>
        <w:tc>
          <w:tcPr>
            <w:tcW w:w="340" w:type="dxa"/>
            <w:vAlign w:val="bottom"/>
          </w:tcPr>
          <w:p>
            <w:pPr>
              <w:spacing w:after="0"/>
              <w:rPr>
                <w:sz w:val="15"/>
                <w:szCs w:val="15"/>
                <w:color w:val="auto"/>
              </w:rPr>
            </w:pPr>
          </w:p>
        </w:tc>
      </w:tr>
      <w:tr>
        <w:trPr>
          <w:trHeight w:val="176"/>
        </w:trPr>
        <w:tc>
          <w:tcPr>
            <w:tcW w:w="51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12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6,343,648</w:t>
            </w:r>
          </w:p>
        </w:tc>
        <w:tc>
          <w:tcPr>
            <w:tcW w:w="20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2,419,289</w:t>
            </w:r>
          </w:p>
        </w:tc>
        <w:tc>
          <w:tcPr>
            <w:tcW w:w="340" w:type="dxa"/>
            <w:vAlign w:val="bottom"/>
            <w:shd w:val="clear" w:color="auto" w:fill="CCEEFF"/>
          </w:tcPr>
          <w:p>
            <w:pPr>
              <w:spacing w:after="0"/>
              <w:rPr>
                <w:sz w:val="15"/>
                <w:szCs w:val="15"/>
                <w:color w:val="auto"/>
              </w:rPr>
            </w:pPr>
          </w:p>
        </w:tc>
      </w:tr>
      <w:tr>
        <w:trPr>
          <w:trHeight w:val="169"/>
        </w:trPr>
        <w:tc>
          <w:tcPr>
            <w:tcW w:w="518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operating expenses</w:t>
            </w:r>
          </w:p>
        </w:tc>
        <w:tc>
          <w:tcPr>
            <w:tcW w:w="1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27,543,508</w:t>
            </w:r>
          </w:p>
        </w:tc>
        <w:tc>
          <w:tcPr>
            <w:tcW w:w="2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9,196,276</w:t>
            </w:r>
          </w:p>
        </w:tc>
        <w:tc>
          <w:tcPr>
            <w:tcW w:w="340" w:type="dxa"/>
            <w:vAlign w:val="bottom"/>
            <w:tcBorders>
              <w:bottom w:val="single" w:sz="8" w:color="CCEEFF"/>
            </w:tcBorders>
          </w:tcPr>
          <w:p>
            <w:pPr>
              <w:spacing w:after="0"/>
              <w:rPr>
                <w:sz w:val="14"/>
                <w:szCs w:val="14"/>
                <w:color w:val="auto"/>
              </w:rPr>
            </w:pPr>
          </w:p>
        </w:tc>
      </w:tr>
      <w:tr>
        <w:trPr>
          <w:trHeight w:val="169"/>
        </w:trPr>
        <w:tc>
          <w:tcPr>
            <w:tcW w:w="51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Loss from operations</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(27,543,508)</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(9,196,276)</w:t>
            </w:r>
          </w:p>
        </w:tc>
        <w:tc>
          <w:tcPr>
            <w:tcW w:w="340" w:type="dxa"/>
            <w:vAlign w:val="bottom"/>
            <w:shd w:val="clear" w:color="auto" w:fill="CCEEFF"/>
          </w:tcPr>
          <w:p>
            <w:pPr>
              <w:spacing w:after="0"/>
              <w:rPr>
                <w:sz w:val="14"/>
                <w:szCs w:val="14"/>
                <w:color w:val="auto"/>
              </w:rPr>
            </w:pPr>
          </w:p>
        </w:tc>
      </w:tr>
      <w:tr>
        <w:trPr>
          <w:trHeight w:val="176"/>
        </w:trPr>
        <w:tc>
          <w:tcPr>
            <w:tcW w:w="5180" w:type="dxa"/>
            <w:vAlign w:val="bottom"/>
          </w:tcPr>
          <w:p>
            <w:pPr>
              <w:spacing w:after="0" w:line="176" w:lineRule="exact"/>
              <w:rPr>
                <w:sz w:val="20"/>
                <w:szCs w:val="20"/>
                <w:color w:val="auto"/>
              </w:rPr>
            </w:pPr>
            <w:r>
              <w:rPr>
                <w:rFonts w:ascii="Arial" w:cs="Arial" w:eastAsia="Arial" w:hAnsi="Arial"/>
                <w:sz w:val="18"/>
                <w:szCs w:val="18"/>
                <w:color w:val="auto"/>
              </w:rPr>
              <w:t>Interest and amortization of debt discount expense</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(132,424)</w:t>
            </w:r>
          </w:p>
        </w:tc>
        <w:tc>
          <w:tcPr>
            <w:tcW w:w="20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(736,048)</w:t>
            </w:r>
          </w:p>
        </w:tc>
        <w:tc>
          <w:tcPr>
            <w:tcW w:w="340" w:type="dxa"/>
            <w:vAlign w:val="bottom"/>
          </w:tcPr>
          <w:p>
            <w:pPr>
              <w:spacing w:after="0"/>
              <w:rPr>
                <w:sz w:val="15"/>
                <w:szCs w:val="15"/>
                <w:color w:val="auto"/>
              </w:rPr>
            </w:pPr>
          </w:p>
        </w:tc>
      </w:tr>
      <w:tr>
        <w:trPr>
          <w:trHeight w:val="176"/>
        </w:trPr>
        <w:tc>
          <w:tcPr>
            <w:tcW w:w="5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Tax credit</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474,279</w:t>
            </w: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400"/>
              <w:spacing w:after="0" w:line="176" w:lineRule="exact"/>
              <w:rPr>
                <w:sz w:val="20"/>
                <w:szCs w:val="20"/>
                <w:color w:val="auto"/>
              </w:rPr>
            </w:pPr>
            <w:r>
              <w:rPr>
                <w:rFonts w:ascii="Arial" w:cs="Arial" w:eastAsia="Arial" w:hAnsi="Arial"/>
                <w:sz w:val="18"/>
                <w:szCs w:val="18"/>
                <w:color w:val="auto"/>
              </w:rPr>
              <w:t>—</w:t>
            </w:r>
          </w:p>
        </w:tc>
      </w:tr>
      <w:tr>
        <w:trPr>
          <w:trHeight w:val="176"/>
        </w:trPr>
        <w:tc>
          <w:tcPr>
            <w:tcW w:w="5180" w:type="dxa"/>
            <w:vAlign w:val="bottom"/>
          </w:tcPr>
          <w:p>
            <w:pPr>
              <w:spacing w:after="0" w:line="176" w:lineRule="exact"/>
              <w:rPr>
                <w:sz w:val="20"/>
                <w:szCs w:val="20"/>
                <w:color w:val="auto"/>
              </w:rPr>
            </w:pPr>
            <w:r>
              <w:rPr>
                <w:rFonts w:ascii="Arial" w:cs="Arial" w:eastAsia="Arial" w:hAnsi="Arial"/>
                <w:sz w:val="18"/>
                <w:szCs w:val="18"/>
                <w:color w:val="auto"/>
              </w:rPr>
              <w:t>Change in fair value of warrant liability</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(108,539)</w:t>
            </w:r>
          </w:p>
        </w:tc>
        <w:tc>
          <w:tcPr>
            <w:tcW w:w="340" w:type="dxa"/>
            <w:vAlign w:val="bottom"/>
          </w:tcPr>
          <w:p>
            <w:pPr>
              <w:spacing w:after="0"/>
              <w:rPr>
                <w:sz w:val="15"/>
                <w:szCs w:val="15"/>
                <w:color w:val="auto"/>
              </w:rPr>
            </w:pPr>
          </w:p>
        </w:tc>
      </w:tr>
      <w:tr>
        <w:trPr>
          <w:trHeight w:val="176"/>
        </w:trPr>
        <w:tc>
          <w:tcPr>
            <w:tcW w:w="5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Change in fair value of embedded derivative liabilities</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274,800</w:t>
            </w:r>
          </w:p>
        </w:tc>
        <w:tc>
          <w:tcPr>
            <w:tcW w:w="340" w:type="dxa"/>
            <w:vAlign w:val="bottom"/>
            <w:shd w:val="clear" w:color="auto" w:fill="CCEEFF"/>
          </w:tcPr>
          <w:p>
            <w:pPr>
              <w:spacing w:after="0"/>
              <w:rPr>
                <w:sz w:val="15"/>
                <w:szCs w:val="15"/>
                <w:color w:val="auto"/>
              </w:rPr>
            </w:pPr>
          </w:p>
        </w:tc>
      </w:tr>
      <w:tr>
        <w:trPr>
          <w:trHeight w:val="176"/>
        </w:trPr>
        <w:tc>
          <w:tcPr>
            <w:tcW w:w="5180" w:type="dxa"/>
            <w:vAlign w:val="bottom"/>
          </w:tcPr>
          <w:p>
            <w:pPr>
              <w:spacing w:after="0" w:line="176" w:lineRule="exact"/>
              <w:rPr>
                <w:sz w:val="20"/>
                <w:szCs w:val="20"/>
                <w:color w:val="auto"/>
              </w:rPr>
            </w:pPr>
            <w:r>
              <w:rPr>
                <w:rFonts w:ascii="Arial" w:cs="Arial" w:eastAsia="Arial" w:hAnsi="Arial"/>
                <w:sz w:val="18"/>
                <w:szCs w:val="18"/>
                <w:color w:val="auto"/>
              </w:rPr>
              <w:t>Loss on extinguishment of debt</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(2,444,516)</w:t>
            </w:r>
          </w:p>
        </w:tc>
        <w:tc>
          <w:tcPr>
            <w:tcW w:w="340" w:type="dxa"/>
            <w:vAlign w:val="bottom"/>
          </w:tcPr>
          <w:p>
            <w:pPr>
              <w:spacing w:after="0"/>
              <w:rPr>
                <w:sz w:val="15"/>
                <w:szCs w:val="15"/>
                <w:color w:val="auto"/>
              </w:rPr>
            </w:pPr>
          </w:p>
        </w:tc>
      </w:tr>
      <w:tr>
        <w:trPr>
          <w:trHeight w:val="176"/>
        </w:trPr>
        <w:tc>
          <w:tcPr>
            <w:tcW w:w="518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loss</w:t>
            </w:r>
          </w:p>
        </w:tc>
        <w:tc>
          <w:tcPr>
            <w:tcW w:w="12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(27,201,653)</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(12,210,579)</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r>
    </w:tbl>
    <w:p>
      <w:pPr>
        <w:spacing w:after="0" w:line="188"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Our research and development expenses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2016 were $21.2 million, compared to $6.8 million for the year ended December 31, 2015, an increase of $14.4 million. The increase was primarily due to the conduct of our CREATE-1, STRIDE-1, and COAST-1 studies, as well as an increase in personnel costs and stock compensation expense.</w:t>
      </w:r>
    </w:p>
    <w:p>
      <w:pPr>
        <w:spacing w:after="0" w:line="163"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Our general and administrative expenses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2016 were $6.3 million, as compared to $2.4 million for the year ended December 31, 2015, an increase of $3.9 million. The increase was primarily due to external fees associated with operating as a public company, as well as an increase in personnel costs and stock compensation expense.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9" w:name="page120"/>
    <w:bookmarkEnd w:id="1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i w:val="1"/>
          <w:iCs w:val="1"/>
          <w:color w:val="auto"/>
        </w:rPr>
        <w:t xml:space="preserve">Interest and Amortization of Debt Discount Expense. </w:t>
      </w:r>
      <w:r>
        <w:rPr>
          <w:rFonts w:ascii="Arial" w:cs="Arial" w:eastAsia="Arial" w:hAnsi="Arial"/>
          <w:sz w:val="18"/>
          <w:szCs w:val="18"/>
          <w:color w:val="auto"/>
        </w:rPr>
        <w:t>Interest and amortization of debt discount expense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2016 was $0.1 million, as compared to $0.7 million for the year ended December 31, 2015, a decrease of $0.6 million. In 2016, the expense was related to interest and the amortization of the debt discount associated with our loan and security agreement with SVB. In 2015, the expense was non-cash interest expense related to our then-outstanding convertible notes.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Tax Credit. </w:t>
      </w:r>
      <w:r>
        <w:rPr>
          <w:rFonts w:ascii="Arial" w:cs="Arial" w:eastAsia="Arial" w:hAnsi="Arial"/>
          <w:sz w:val="17"/>
          <w:szCs w:val="17"/>
          <w:color w:val="auto"/>
        </w:rPr>
        <w:t>During the year ended December 31, 2016, we received the NYC Biotech credit in the amount of</w:t>
      </w:r>
    </w:p>
    <w:p>
      <w:pPr>
        <w:spacing w:after="0" w:line="229" w:lineRule="auto"/>
        <w:rPr>
          <w:sz w:val="20"/>
          <w:szCs w:val="20"/>
          <w:color w:val="auto"/>
        </w:rPr>
      </w:pPr>
      <w:r>
        <w:rPr>
          <w:rFonts w:ascii="Arial" w:cs="Arial" w:eastAsia="Arial" w:hAnsi="Arial"/>
          <w:sz w:val="16"/>
          <w:szCs w:val="16"/>
          <w:color w:val="auto"/>
        </w:rPr>
        <w:t>$0.5 million related to the research and development expenses of our product candidates. There was no tax credit received</w:t>
      </w:r>
    </w:p>
    <w:p>
      <w:pPr>
        <w:spacing w:after="0"/>
        <w:rPr>
          <w:sz w:val="20"/>
          <w:szCs w:val="20"/>
          <w:color w:val="auto"/>
        </w:rPr>
      </w:pPr>
      <w:r>
        <w:rPr>
          <w:rFonts w:ascii="Arial" w:cs="Arial" w:eastAsia="Arial" w:hAnsi="Arial"/>
          <w:sz w:val="18"/>
          <w:szCs w:val="18"/>
          <w:color w:val="auto"/>
        </w:rPr>
        <w:t>during the year ended December 31, 2015.</w:t>
      </w:r>
    </w:p>
    <w:p>
      <w:pPr>
        <w:spacing w:after="0" w:line="169"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i w:val="1"/>
          <w:iCs w:val="1"/>
          <w:color w:val="auto"/>
        </w:rPr>
        <w:t xml:space="preserve">Change in Fair Value of Warrant Liability. </w:t>
      </w:r>
      <w:r>
        <w:rPr>
          <w:rFonts w:ascii="Arial" w:cs="Arial" w:eastAsia="Arial" w:hAnsi="Arial"/>
          <w:sz w:val="18"/>
          <w:szCs w:val="18"/>
          <w:color w:val="auto"/>
        </w:rPr>
        <w:t>There was no warrant liability recorded during the year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2016. We recorded expense related to the change in fair value of our warrant liability for the year ended December 31, 2015 of $0.1 million.</w:t>
      </w:r>
    </w:p>
    <w:p>
      <w:pPr>
        <w:spacing w:after="0" w:line="163" w:lineRule="exact"/>
        <w:rPr>
          <w:sz w:val="20"/>
          <w:szCs w:val="20"/>
          <w:color w:val="auto"/>
        </w:rPr>
      </w:pPr>
    </w:p>
    <w:p>
      <w:pPr>
        <w:ind w:right="360" w:firstLine="648"/>
        <w:spacing w:after="0" w:line="224" w:lineRule="auto"/>
        <w:rPr>
          <w:sz w:val="20"/>
          <w:szCs w:val="20"/>
          <w:color w:val="auto"/>
        </w:rPr>
      </w:pPr>
      <w:r>
        <w:rPr>
          <w:rFonts w:ascii="Arial" w:cs="Arial" w:eastAsia="Arial" w:hAnsi="Arial"/>
          <w:sz w:val="18"/>
          <w:szCs w:val="18"/>
          <w:i w:val="1"/>
          <w:iCs w:val="1"/>
          <w:color w:val="auto"/>
        </w:rPr>
        <w:t xml:space="preserve">Change in Fair Value of Embedded Derivative Liabilities. </w:t>
      </w:r>
      <w:r>
        <w:rPr>
          <w:rFonts w:ascii="Arial" w:cs="Arial" w:eastAsia="Arial" w:hAnsi="Arial"/>
          <w:sz w:val="18"/>
          <w:szCs w:val="18"/>
          <w:color w:val="auto"/>
        </w:rPr>
        <w:t>There was no embedded derivative liability recorded</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year ended December 31, 2016. We recorded income related to the change in fair value of our embedded derivative liabilities of $0.3 million for the year ended December 31, 2015.</w:t>
      </w:r>
    </w:p>
    <w:p>
      <w:pPr>
        <w:spacing w:after="0" w:line="163"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i w:val="1"/>
          <w:iCs w:val="1"/>
          <w:color w:val="auto"/>
        </w:rPr>
        <w:t xml:space="preserve">Loss on Extinguishment of Debt. </w:t>
      </w:r>
      <w:r>
        <w:rPr>
          <w:rFonts w:ascii="Arial" w:cs="Arial" w:eastAsia="Arial" w:hAnsi="Arial"/>
          <w:sz w:val="18"/>
          <w:szCs w:val="18"/>
          <w:color w:val="auto"/>
        </w:rPr>
        <w:t>During the year ended December 31, 2015, we amended the conversion provision</w:t>
      </w:r>
      <w:r>
        <w:rPr>
          <w:rFonts w:ascii="Arial" w:cs="Arial" w:eastAsia="Arial" w:hAnsi="Arial"/>
          <w:sz w:val="18"/>
          <w:szCs w:val="18"/>
          <w:i w:val="1"/>
          <w:iCs w:val="1"/>
          <w:color w:val="auto"/>
        </w:rPr>
        <w:t xml:space="preserve"> </w:t>
      </w:r>
      <w:r>
        <w:rPr>
          <w:rFonts w:ascii="Arial" w:cs="Arial" w:eastAsia="Arial" w:hAnsi="Arial"/>
          <w:sz w:val="18"/>
          <w:szCs w:val="18"/>
          <w:color w:val="auto"/>
        </w:rPr>
        <w:t>in our convertible notes issued from September 2014 through July 2015. The amendment was deemed to be a substantive change resulting in a $2.4 million loss on extinguishment of debt. No notes were outstanding in 2016 and no such adjustment occurred during the year ended December 31, 2016.</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40" w:firstLine="648"/>
        <w:spacing w:after="0" w:line="259" w:lineRule="auto"/>
        <w:rPr>
          <w:sz w:val="20"/>
          <w:szCs w:val="20"/>
          <w:color w:val="auto"/>
        </w:rPr>
      </w:pPr>
      <w:r>
        <w:rPr>
          <w:rFonts w:ascii="Arial" w:cs="Arial" w:eastAsia="Arial" w:hAnsi="Arial"/>
          <w:sz w:val="16"/>
          <w:szCs w:val="16"/>
          <w:color w:val="auto"/>
        </w:rPr>
        <w:t>In November 2015, we completed our IPO, in which we sold 5,666,667 shares of common stock at a public offering price of $9.00 per share. We received gross proceeds of approximately $51.0 million and net proceeds of approximately $45.5 million, after deducting underwriting discounts and commissions and offering-related transaction costs.</w:t>
      </w:r>
    </w:p>
    <w:p>
      <w:pPr>
        <w:spacing w:after="0" w:line="107" w:lineRule="exact"/>
        <w:rPr>
          <w:sz w:val="20"/>
          <w:szCs w:val="20"/>
          <w:color w:val="auto"/>
        </w:rPr>
      </w:pPr>
    </w:p>
    <w:p>
      <w:pPr>
        <w:ind w:right="120" w:firstLine="648"/>
        <w:spacing w:after="0" w:line="232" w:lineRule="auto"/>
        <w:rPr>
          <w:sz w:val="20"/>
          <w:szCs w:val="20"/>
          <w:color w:val="auto"/>
        </w:rPr>
      </w:pPr>
      <w:r>
        <w:rPr>
          <w:rFonts w:ascii="Arial" w:cs="Arial" w:eastAsia="Arial" w:hAnsi="Arial"/>
          <w:sz w:val="17"/>
          <w:szCs w:val="17"/>
          <w:color w:val="auto"/>
        </w:rPr>
        <w:t>In November 2016, we entered into a loan and security agreement with SVB for a term loan of up to $20.0 million. The initial tranche of $10.0 million was funded shortly after executing the loan agreement. As discussed elsewhere in this Annual Report on Form 10-K, because we did not achieve the conditional criteria to access the second and third tranches before the specified dates, the $10.0 million in additional term loan advances expired.</w:t>
      </w:r>
    </w:p>
    <w:p>
      <w:pPr>
        <w:spacing w:after="0" w:line="41"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On December 1, 2016, we filed a shelf registration statement with the SEC for the issuance of common stock, preferred stock, warrants, rights, debt securities and units up to an aggregate amount of $150.0 million, which we refer to as the 2016 Shelf Registration Statement. On December 16, 2016, the 2016 Shelf Registration Statement was declared effective by the SEC. As discussed in greater detail below, we completed an offering of common stock in March 2017, entered into a sales agreement pursuant to which we may sell shares of our common stock from time to time in an at-the-market offering in October 2017, and completed a registered direct offering priced at the market in December 2017, each utilizing the 2016 Shelf Registration Statement. In the future, we may conduct additional offerings of one or more of these securities utilizing the 2016 Shelf Registration Statement in such amounts, prices and terms to be announced when and if the securities are offered. At the time any of our securities covered by the 2016 Shelf Registration Statement are offered for sale, a prospectus supplement will be prepared and filed with the SEC containing specific information about the terms of any such offering.</w:t>
      </w:r>
    </w:p>
    <w:p>
      <w:pPr>
        <w:spacing w:after="0" w:line="28" w:lineRule="exact"/>
        <w:rPr>
          <w:sz w:val="20"/>
          <w:szCs w:val="20"/>
          <w:color w:val="auto"/>
        </w:rPr>
      </w:pPr>
    </w:p>
    <w:p>
      <w:pPr>
        <w:ind w:right="220" w:firstLine="648"/>
        <w:spacing w:after="0" w:line="238" w:lineRule="auto"/>
        <w:rPr>
          <w:sz w:val="20"/>
          <w:szCs w:val="20"/>
          <w:color w:val="auto"/>
        </w:rPr>
      </w:pPr>
      <w:r>
        <w:rPr>
          <w:rFonts w:ascii="Arial" w:cs="Arial" w:eastAsia="Arial" w:hAnsi="Arial"/>
          <w:sz w:val="17"/>
          <w:szCs w:val="17"/>
          <w:color w:val="auto"/>
        </w:rPr>
        <w:t>In March 2017, we completed an underwritten public offering, whereby we sold 4,304,813 shares of our common stock at a public offering price of $3.74 per share. We received gross proceeds of approximately $16.1 million and net proceeds of approximately $14.8 million, net of underwriting discounts and offering expenses.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0" w:name="page121"/>
    <w:bookmarkEnd w:id="1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80" w:firstLine="648"/>
        <w:spacing w:after="0" w:line="216" w:lineRule="auto"/>
        <w:rPr>
          <w:sz w:val="20"/>
          <w:szCs w:val="20"/>
          <w:color w:val="auto"/>
        </w:rPr>
      </w:pPr>
      <w:r>
        <w:rPr>
          <w:rFonts w:ascii="Arial" w:cs="Arial" w:eastAsia="Arial" w:hAnsi="Arial"/>
          <w:sz w:val="18"/>
          <w:szCs w:val="18"/>
          <w:color w:val="auto"/>
        </w:rPr>
        <w:t>In October 2017, we entered into the Sales Agreement with Leerink, pursuant to which we may sell up to $30 million in shares of our common stock from time to time through Leerink, acting as our sales agent, in one or more at-the-market offerings. Leerink is entitled to receive a commission of 3.0% of the gross proceeds for any shares sold under the Sales Agreement. Gross sales of $0.1 million were made under the Sales Agreement during the year ended December 31, 2017.</w:t>
      </w:r>
    </w:p>
    <w:p>
      <w:pPr>
        <w:spacing w:after="0" w:line="122"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In December 2017, we completed a registered direct offering priced at the market, whereby we sold an aggregate of $9.5 million worth of units, or Units, at a purchase price of $5.325 per Unit, with each Unit consisting of (i)one share of our common stock, and (ii) a warrant to purchase one share of our common stock, or Common Warrant, at an exercise price equal to $5.25 per share. We sold an aggregate of 1,783,587 Units in the offering for gross proceeds of approximately $9.5 million and net proceeds of approximately $8.8 million, net of underwriting discounts and offering expenses. Additionally, we issued warrants to purchase up to 107,015 shares of our common stock at an exercise price of $6.6562 per share to certain investors affiliated with H.C. Wainwright &amp; Co., LLC, placement agent for the offering, which we refer to as the Placement Agent Warrants. The Placement Agent Warrants have the same terms as the Common Warrants, except for the difference in exercise price noted above.</w:t>
      </w:r>
    </w:p>
    <w:p>
      <w:pPr>
        <w:spacing w:after="0" w:line="54" w:lineRule="exact"/>
        <w:rPr>
          <w:sz w:val="20"/>
          <w:szCs w:val="20"/>
          <w:color w:val="auto"/>
        </w:rPr>
      </w:pPr>
    </w:p>
    <w:p>
      <w:pPr>
        <w:jc w:val="both"/>
        <w:ind w:right="100" w:firstLine="648"/>
        <w:spacing w:after="0" w:line="249" w:lineRule="auto"/>
        <w:rPr>
          <w:sz w:val="20"/>
          <w:szCs w:val="20"/>
          <w:color w:val="auto"/>
        </w:rPr>
      </w:pPr>
      <w:r>
        <w:rPr>
          <w:rFonts w:ascii="Arial" w:cs="Arial" w:eastAsia="Arial" w:hAnsi="Arial"/>
          <w:sz w:val="16"/>
          <w:szCs w:val="16"/>
          <w:color w:val="auto"/>
        </w:rPr>
        <w:t>At December 31, 2017, we had cash of $34.0 million. We currently anticipate our cash to be sufficient to fund our anticipated operating cash requirements into the third quarter of 2019. Because the process of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primary sources and uses of cash for the periods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0" w:type="dxa"/>
            <w:vAlign w:val="bottom"/>
            <w:gridSpan w:val="6"/>
          </w:tcPr>
          <w:p>
            <w:pPr>
              <w:ind w:left="8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296"/>
              <w:spacing w:after="0" w:line="129" w:lineRule="exact"/>
              <w:rPr>
                <w:sz w:val="20"/>
                <w:szCs w:val="20"/>
                <w:color w:val="auto"/>
              </w:rPr>
            </w:pPr>
            <w:r>
              <w:rPr>
                <w:rFonts w:ascii="Arial" w:cs="Arial" w:eastAsia="Arial" w:hAnsi="Arial"/>
                <w:sz w:val="14"/>
                <w:szCs w:val="14"/>
                <w:b w:val="1"/>
                <w:bCs w:val="1"/>
                <w:color w:val="auto"/>
              </w:rPr>
              <w:t>2017</w:t>
            </w:r>
          </w:p>
        </w:tc>
        <w:tc>
          <w:tcPr>
            <w:tcW w:w="1220" w:type="dxa"/>
            <w:vAlign w:val="bottom"/>
            <w:tcBorders>
              <w:top w:val="single" w:sz="8" w:color="auto"/>
            </w:tcBorders>
            <w:gridSpan w:val="2"/>
          </w:tcPr>
          <w:p>
            <w:pPr>
              <w:jc w:val="right"/>
              <w:ind w:right="290"/>
              <w:spacing w:after="0" w:line="129" w:lineRule="exact"/>
              <w:rPr>
                <w:sz w:val="20"/>
                <w:szCs w:val="20"/>
                <w:color w:val="auto"/>
              </w:rPr>
            </w:pPr>
            <w:r>
              <w:rPr>
                <w:rFonts w:ascii="Arial" w:cs="Arial" w:eastAsia="Arial" w:hAnsi="Arial"/>
                <w:sz w:val="14"/>
                <w:szCs w:val="14"/>
                <w:b w:val="1"/>
                <w:bCs w:val="1"/>
                <w:color w:val="auto"/>
              </w:rPr>
              <w:t>2016</w:t>
            </w:r>
          </w:p>
        </w:tc>
        <w:tc>
          <w:tcPr>
            <w:tcW w:w="1180" w:type="dxa"/>
            <w:vAlign w:val="bottom"/>
            <w:tcBorders>
              <w:top w:val="single" w:sz="8" w:color="auto"/>
            </w:tcBorders>
            <w:gridSpan w:val="2"/>
          </w:tcPr>
          <w:p>
            <w:pPr>
              <w:jc w:val="right"/>
              <w:ind w:right="270"/>
              <w:spacing w:after="0" w:line="129"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9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cash (used in) provided by:</w:t>
            </w:r>
          </w:p>
        </w:tc>
        <w:tc>
          <w:tcPr>
            <w:tcW w:w="1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00" w:type="dxa"/>
            <w:vAlign w:val="bottom"/>
          </w:tcPr>
          <w:p>
            <w:pPr>
              <w:ind w:left="200"/>
              <w:spacing w:after="0" w:line="176" w:lineRule="exact"/>
              <w:rPr>
                <w:sz w:val="20"/>
                <w:szCs w:val="20"/>
                <w:color w:val="auto"/>
              </w:rPr>
            </w:pPr>
            <w:r>
              <w:rPr>
                <w:rFonts w:ascii="Arial" w:cs="Arial" w:eastAsia="Arial" w:hAnsi="Arial"/>
                <w:sz w:val="18"/>
                <w:szCs w:val="18"/>
                <w:color w:val="auto"/>
              </w:rPr>
              <w:t>Operating activities</w:t>
            </w:r>
          </w:p>
        </w:tc>
        <w:tc>
          <w:tcPr>
            <w:tcW w:w="17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w w:val="90"/>
              </w:rPr>
              <w:t>(26,471,652)</w:t>
            </w:r>
          </w:p>
        </w:tc>
        <w:tc>
          <w:tcPr>
            <w:tcW w:w="12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(21,281,304)</w:t>
            </w:r>
          </w:p>
        </w:tc>
        <w:tc>
          <w:tcPr>
            <w:tcW w:w="11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(7,438,991)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Investing activities</w:t>
            </w:r>
          </w:p>
        </w:tc>
        <w:tc>
          <w:tcPr>
            <w:tcW w:w="1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(9,898)</w:t>
            </w:r>
          </w:p>
        </w:tc>
        <w:tc>
          <w:tcPr>
            <w:tcW w:w="12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(104,561)</w:t>
            </w:r>
          </w:p>
        </w:tc>
        <w:tc>
          <w:tcPr>
            <w:tcW w:w="11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(20,195)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00" w:type="dxa"/>
            <w:vAlign w:val="bottom"/>
          </w:tcPr>
          <w:p>
            <w:pPr>
              <w:ind w:left="200"/>
              <w:spacing w:after="0" w:line="176" w:lineRule="exact"/>
              <w:rPr>
                <w:sz w:val="20"/>
                <w:szCs w:val="20"/>
                <w:color w:val="auto"/>
              </w:rPr>
            </w:pPr>
            <w:r>
              <w:rPr>
                <w:rFonts w:ascii="Arial" w:cs="Arial" w:eastAsia="Arial" w:hAnsi="Arial"/>
                <w:sz w:val="18"/>
                <w:szCs w:val="18"/>
                <w:color w:val="auto"/>
              </w:rPr>
              <w:t>Financing activities</w:t>
            </w: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w w:val="95"/>
              </w:rPr>
              <w:t>23,884,176</w:t>
            </w:r>
          </w:p>
        </w:tc>
        <w:tc>
          <w:tcPr>
            <w:tcW w:w="12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9,968,102</w:t>
            </w:r>
          </w:p>
        </w:tc>
        <w:tc>
          <w:tcPr>
            <w:tcW w:w="11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52,877,631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0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increase (decrease) in cash</w:t>
            </w:r>
          </w:p>
        </w:tc>
        <w:tc>
          <w:tcPr>
            <w:tcW w:w="16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(2,597,374)</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 (11,417,763)</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$ 45,418,445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Net cash used in operating activities for the year ended December 31, 2017 was $26.5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$21.3 million for the year ended December 31, 2016. The increase of $5.2 million in net cash used was primarily related to a reduction in accounts payable and accrued expenses, an increase in general and administrative expenses, which includes $0.2 million in placement agent expense associated with our registered direct offering in December 2017, the change in the fair value of warrants, and interest and amortization of debt issuance costs related to our term loan with SVB.</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Net cash used in operating activities for the year ended December 31, 2016 was $21.3 million as compared to</w:t>
      </w:r>
    </w:p>
    <w:p>
      <w:pPr>
        <w:spacing w:after="0" w:line="229" w:lineRule="auto"/>
        <w:rPr>
          <w:sz w:val="20"/>
          <w:szCs w:val="20"/>
          <w:color w:val="auto"/>
        </w:rPr>
      </w:pPr>
      <w:r>
        <w:rPr>
          <w:rFonts w:ascii="Arial" w:cs="Arial" w:eastAsia="Arial" w:hAnsi="Arial"/>
          <w:sz w:val="16"/>
          <w:szCs w:val="16"/>
          <w:color w:val="auto"/>
        </w:rPr>
        <w:t>$7.4 million for the year ended December 31, 2015. The increase of $13.9 million in net cash used was primarily related to</w:t>
      </w:r>
    </w:p>
    <w:p>
      <w:pPr>
        <w:spacing w:after="0" w:line="229" w:lineRule="auto"/>
        <w:rPr>
          <w:sz w:val="20"/>
          <w:szCs w:val="20"/>
          <w:color w:val="auto"/>
        </w:rPr>
      </w:pPr>
      <w:r>
        <w:rPr>
          <w:rFonts w:ascii="Arial" w:cs="Arial" w:eastAsia="Arial" w:hAnsi="Arial"/>
          <w:sz w:val="16"/>
          <w:szCs w:val="16"/>
          <w:color w:val="auto"/>
        </w:rPr>
        <w:t>an increase in expenditures for our clinical programs, including our CREATE-1, STRIDE-1, and COAST-1 studies, as well as</w:t>
      </w:r>
    </w:p>
    <w:p>
      <w:pPr>
        <w:spacing w:after="0"/>
        <w:rPr>
          <w:sz w:val="20"/>
          <w:szCs w:val="20"/>
          <w:color w:val="auto"/>
        </w:rPr>
      </w:pPr>
      <w:r>
        <w:rPr>
          <w:rFonts w:ascii="Arial" w:cs="Arial" w:eastAsia="Arial" w:hAnsi="Arial"/>
          <w:sz w:val="18"/>
          <w:szCs w:val="18"/>
          <w:color w:val="auto"/>
        </w:rPr>
        <w:t>an increase in general and administrative expenses related to operating as a public company.</w:t>
      </w:r>
    </w:p>
    <w:p>
      <w:pPr>
        <w:spacing w:after="0" w:line="169"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in investing activities for the purchase of equipment was less than $0.1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2017 and $0.1 million for the year ended December 31, 2016. Cash used in investing activities was less than $0.1 million for the year ended December 31, 2015.</w:t>
      </w:r>
    </w:p>
    <w:p>
      <w:pPr>
        <w:spacing w:after="0" w:line="163" w:lineRule="exact"/>
        <w:rPr>
          <w:sz w:val="20"/>
          <w:szCs w:val="20"/>
          <w:color w:val="auto"/>
        </w:rPr>
      </w:pPr>
    </w:p>
    <w:p>
      <w:pPr>
        <w:ind w:right="740" w:firstLine="648"/>
        <w:spacing w:after="0" w:line="289"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Net cash provided by financing activities for the year ended December 31, 2017 was</w:t>
      </w:r>
      <w:r>
        <w:rPr>
          <w:rFonts w:ascii="Arial" w:cs="Arial" w:eastAsia="Arial" w:hAnsi="Arial"/>
          <w:sz w:val="16"/>
          <w:szCs w:val="16"/>
          <w:i w:val="1"/>
          <w:iCs w:val="1"/>
          <w:color w:val="auto"/>
        </w:rPr>
        <w:t xml:space="preserve"> </w:t>
      </w:r>
      <w:r>
        <w:rPr>
          <w:rFonts w:ascii="Arial" w:cs="Arial" w:eastAsia="Arial" w:hAnsi="Arial"/>
          <w:sz w:val="16"/>
          <w:szCs w:val="16"/>
          <w:color w:val="auto"/>
        </w:rPr>
        <w:t>$23.9 million, which included the net proceeds from the sale of common stock in the March 2017 public offering of</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11" w:right="1399" w:bottom="1440" w:gutter="0" w:footer="0" w:header="0"/>
        </w:sectPr>
      </w:pPr>
    </w:p>
    <w:bookmarkStart w:id="121" w:name="page122"/>
    <w:bookmarkEnd w:id="1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$14.8 million, the December 2017 registered direct offering of $8.8 million, $0.1 million in proceeds from sales made through at-the-market offerings, as well as $0.5 million from the exercise of options and warrants, partially offset by principal repayment on our term loan of $0.3 million. Net cash provided by financing activities for the year ended December 31, 2016 was $10.0 million, which consisted of the net proceeds received from the term loan with SVB. Net cash provided by financing activities for the year ended December 31, 2015 was $52.9 million, which included the net proceeds of $45.5 million received from our IPO in November 2015 as well as net proceeds of $7.4 million received from convertible notes issued in 2015.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89"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We have not achieved profitability since our inception and we expect to continue to incur significant losses for the foreseeable future. We expect our losses to increase as we continue the development of and seek regulatory approvals for our product candidates and begin to commercialize any approved products. We are subject to all of the risks pertinent to the development of new product candidates, and we may encounter unforeseen expenses, difficulties, complications, delays, and other unknown factors that may harm our business.</w:t>
      </w:r>
    </w:p>
    <w:p>
      <w:pPr>
        <w:spacing w:after="0" w:line="162"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We anticipate that we will need to raise substantial additional financing in the future to fund our operations. In order to meet these additional cash requirements, we may incur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65" w:lineRule="exact"/>
        <w:rPr>
          <w:sz w:val="20"/>
          <w:szCs w:val="20"/>
          <w:color w:val="auto"/>
        </w:rPr>
      </w:pPr>
    </w:p>
    <w:p>
      <w:pPr>
        <w:ind w:left="660" w:hanging="333"/>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clinical studies and other related activities;</w:t>
      </w:r>
    </w:p>
    <w:p>
      <w:pPr>
        <w:spacing w:after="0" w:line="117" w:lineRule="exact"/>
        <w:rPr>
          <w:rFonts w:ascii="Arial" w:cs="Arial" w:eastAsia="Arial" w:hAnsi="Arial"/>
          <w:sz w:val="18"/>
          <w:szCs w:val="18"/>
          <w:color w:val="auto"/>
        </w:rPr>
      </w:pPr>
    </w:p>
    <w:p>
      <w:pPr>
        <w:ind w:left="660" w:right="640" w:hanging="333"/>
        <w:spacing w:after="0" w:line="235"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enter into collaborative agreements for the development and commercialization of our product candidates;</w:t>
      </w:r>
    </w:p>
    <w:p>
      <w:pPr>
        <w:spacing w:after="0" w:line="94" w:lineRule="exact"/>
        <w:rPr>
          <w:rFonts w:ascii="Arial" w:cs="Arial" w:eastAsia="Arial" w:hAnsi="Arial"/>
          <w:sz w:val="18"/>
          <w:szCs w:val="18"/>
          <w:color w:val="auto"/>
        </w:rPr>
      </w:pPr>
    </w:p>
    <w:p>
      <w:pPr>
        <w:ind w:left="660" w:hanging="333"/>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number and development requirements of any other product candidates that we pursue;</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reviews of our product candidates;</w:t>
      </w:r>
    </w:p>
    <w:p>
      <w:pPr>
        <w:spacing w:after="0" w:line="117" w:lineRule="exact"/>
        <w:rPr>
          <w:rFonts w:ascii="Arial" w:cs="Arial" w:eastAsia="Arial" w:hAnsi="Arial"/>
          <w:sz w:val="18"/>
          <w:szCs w:val="18"/>
          <w:color w:val="auto"/>
        </w:rPr>
      </w:pPr>
    </w:p>
    <w:p>
      <w:pPr>
        <w:ind w:left="660" w:right="140" w:hanging="333"/>
        <w:spacing w:after="0" w:line="235"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94" w:lineRule="exact"/>
        <w:rPr>
          <w:rFonts w:ascii="Arial" w:cs="Arial" w:eastAsia="Arial" w:hAnsi="Arial"/>
          <w:sz w:val="18"/>
          <w:szCs w:val="18"/>
          <w:color w:val="auto"/>
        </w:rPr>
      </w:pPr>
    </w:p>
    <w:p>
      <w:pPr>
        <w:ind w:left="660" w:hanging="333"/>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 candidates;</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general and administrative expenses related to being a public company;</w:t>
      </w:r>
    </w:p>
    <w:p>
      <w:pPr>
        <w:spacing w:after="0" w:line="117" w:lineRule="exact"/>
        <w:rPr>
          <w:rFonts w:ascii="Arial" w:cs="Arial" w:eastAsia="Arial" w:hAnsi="Arial"/>
          <w:sz w:val="18"/>
          <w:szCs w:val="18"/>
          <w:color w:val="auto"/>
        </w:rPr>
      </w:pPr>
    </w:p>
    <w:p>
      <w:pPr>
        <w:ind w:left="660" w:right="480" w:hanging="333"/>
        <w:spacing w:after="0" w:line="235"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 and</w:t>
      </w:r>
    </w:p>
    <w:p>
      <w:pPr>
        <w:spacing w:after="0" w:line="94" w:lineRule="exact"/>
        <w:rPr>
          <w:rFonts w:ascii="Arial" w:cs="Arial" w:eastAsia="Arial" w:hAnsi="Arial"/>
          <w:sz w:val="18"/>
          <w:szCs w:val="18"/>
          <w:color w:val="auto"/>
        </w:rPr>
      </w:pPr>
    </w:p>
    <w:p>
      <w:pPr>
        <w:ind w:left="660" w:right="800" w:hanging="333"/>
        <w:spacing w:after="0" w:line="203" w:lineRule="exact"/>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involved in preparing, filing, and prosecuting patent applications, maintaining and enforcing our intellectual property rights, and defending our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9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Please see “Risk Factors” for additional risks associated with our substantial capital requirements.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22" w:name="page123"/>
    <w:bookmarkEnd w:id="1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contractual obligations as of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Arial" w:cs="Arial" w:eastAsia="Arial" w:hAnsi="Arial"/>
                <w:sz w:val="14"/>
                <w:szCs w:val="14"/>
                <w:b w:val="1"/>
                <w:bCs w:val="1"/>
                <w:color w:val="auto"/>
              </w:rPr>
              <w:t>Less than</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More than</w:t>
            </w:r>
          </w:p>
        </w:tc>
      </w:tr>
      <w:tr>
        <w:trPr>
          <w:trHeight w:val="171"/>
        </w:trPr>
        <w:tc>
          <w:tcPr>
            <w:tcW w:w="3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jc w:val="right"/>
              <w:ind w:right="239"/>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jc w:val="right"/>
              <w:ind w:right="102"/>
              <w:spacing w:after="0"/>
              <w:rPr>
                <w:sz w:val="20"/>
                <w:szCs w:val="20"/>
                <w:color w:val="auto"/>
              </w:rPr>
            </w:pPr>
            <w:r>
              <w:rPr>
                <w:rFonts w:ascii="Arial" w:cs="Arial" w:eastAsia="Arial" w:hAnsi="Arial"/>
                <w:sz w:val="14"/>
                <w:szCs w:val="14"/>
                <w:b w:val="1"/>
                <w:bCs w:val="1"/>
                <w:color w:val="auto"/>
              </w:rPr>
              <w:t>one year</w:t>
            </w:r>
          </w:p>
        </w:tc>
        <w:tc>
          <w:tcPr>
            <w:tcW w:w="2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jc w:val="right"/>
              <w:ind w:right="39"/>
              <w:spacing w:after="0"/>
              <w:rPr>
                <w:sz w:val="20"/>
                <w:szCs w:val="20"/>
                <w:color w:val="auto"/>
              </w:rPr>
            </w:pPr>
            <w:r>
              <w:rPr>
                <w:rFonts w:ascii="Arial" w:cs="Arial" w:eastAsia="Arial" w:hAnsi="Arial"/>
                <w:sz w:val="14"/>
                <w:szCs w:val="14"/>
                <w:b w:val="1"/>
                <w:bCs w:val="1"/>
                <w:color w:val="auto"/>
              </w:rPr>
              <w:t>1 - 3 years</w:t>
            </w:r>
          </w:p>
        </w:tc>
        <w:tc>
          <w:tcPr>
            <w:tcW w:w="2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gridSpan w:val="3"/>
          </w:tcPr>
          <w:p>
            <w:pPr>
              <w:ind w:left="60"/>
              <w:spacing w:after="0"/>
              <w:rPr>
                <w:sz w:val="20"/>
                <w:szCs w:val="20"/>
                <w:color w:val="auto"/>
              </w:rPr>
            </w:pPr>
            <w:r>
              <w:rPr>
                <w:rFonts w:ascii="Arial" w:cs="Arial" w:eastAsia="Arial" w:hAnsi="Arial"/>
                <w:sz w:val="14"/>
                <w:szCs w:val="14"/>
                <w:b w:val="1"/>
                <w:bCs w:val="1"/>
                <w:color w:val="auto"/>
              </w:rPr>
              <w:t>3 - 5 years</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4"/>
                <w:szCs w:val="14"/>
                <w:b w:val="1"/>
                <w:bCs w:val="1"/>
                <w:color w:val="auto"/>
                <w:w w:val="91"/>
              </w:rPr>
              <w:t>5 years</w:t>
            </w:r>
          </w:p>
        </w:tc>
      </w:tr>
      <w:tr>
        <w:trPr>
          <w:trHeight w:val="169"/>
        </w:trPr>
        <w:tc>
          <w:tcPr>
            <w:tcW w:w="38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Term loan</w:t>
            </w:r>
          </w:p>
        </w:tc>
        <w:tc>
          <w:tcPr>
            <w:tcW w:w="116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10,977,708</w:t>
            </w:r>
          </w:p>
        </w:tc>
        <w:tc>
          <w:tcPr>
            <w:tcW w:w="108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4,055,069</w:t>
            </w:r>
          </w:p>
        </w:tc>
        <w:tc>
          <w:tcPr>
            <w:tcW w:w="108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6,922,639</w:t>
            </w:r>
          </w:p>
        </w:tc>
        <w:tc>
          <w:tcPr>
            <w:tcW w:w="500" w:type="dxa"/>
            <w:vAlign w:val="bottom"/>
            <w:gridSpan w:val="2"/>
            <w:shd w:val="clear" w:color="auto" w:fill="CCEEFF"/>
          </w:tcPr>
          <w:p>
            <w:pPr>
              <w:jc w:val="right"/>
              <w:ind w:right="147"/>
              <w:spacing w:after="0" w:line="170"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00"/>
              <w:spacing w:after="0" w:line="170" w:lineRule="exact"/>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380"/>
              <w:spacing w:after="0" w:line="170" w:lineRule="exact"/>
              <w:rPr>
                <w:sz w:val="20"/>
                <w:szCs w:val="20"/>
                <w:color w:val="auto"/>
              </w:rPr>
            </w:pPr>
            <w:r>
              <w:rPr>
                <w:rFonts w:ascii="Arial" w:cs="Arial" w:eastAsia="Arial" w:hAnsi="Arial"/>
                <w:sz w:val="18"/>
                <w:szCs w:val="18"/>
                <w:color w:val="auto"/>
              </w:rPr>
              <w:t>—</w:t>
            </w:r>
          </w:p>
        </w:tc>
      </w:tr>
      <w:tr>
        <w:trPr>
          <w:trHeight w:val="176"/>
        </w:trPr>
        <w:tc>
          <w:tcPr>
            <w:tcW w:w="3820" w:type="dxa"/>
            <w:vAlign w:val="bottom"/>
          </w:tcPr>
          <w:p>
            <w:pPr>
              <w:spacing w:after="0" w:line="170" w:lineRule="exact"/>
              <w:rPr>
                <w:sz w:val="20"/>
                <w:szCs w:val="20"/>
                <w:color w:val="auto"/>
              </w:rPr>
            </w:pPr>
            <w:r>
              <w:rPr>
                <w:rFonts w:ascii="Arial" w:cs="Arial" w:eastAsia="Arial" w:hAnsi="Arial"/>
                <w:sz w:val="18"/>
                <w:szCs w:val="18"/>
                <w:color w:val="auto"/>
              </w:rPr>
              <w:t>Total contractual obligations</w:t>
            </w:r>
          </w:p>
        </w:tc>
        <w:tc>
          <w:tcPr>
            <w:tcW w:w="20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10,977,708</w:t>
            </w:r>
          </w:p>
        </w:tc>
        <w:tc>
          <w:tcPr>
            <w:tcW w:w="20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4,055,069</w:t>
            </w:r>
          </w:p>
        </w:tc>
        <w:tc>
          <w:tcPr>
            <w:tcW w:w="20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6,922,639</w:t>
            </w:r>
          </w:p>
        </w:tc>
        <w:tc>
          <w:tcPr>
            <w:tcW w:w="2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7"/>
              <w:spacing w:after="0" w:line="169" w:lineRule="exact"/>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ind w:left="200"/>
              <w:spacing w:after="0" w:line="17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ind w:left="380"/>
              <w:spacing w:after="0" w:line="170"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r>
    </w:tbl>
    <w:p>
      <w:pPr>
        <w:spacing w:after="0" w:line="202" w:lineRule="exact"/>
        <w:rPr>
          <w:sz w:val="20"/>
          <w:szCs w:val="20"/>
          <w:color w:val="auto"/>
        </w:rPr>
      </w:pPr>
    </w:p>
    <w:p>
      <w:pPr>
        <w:ind w:right="160" w:firstLine="648"/>
        <w:spacing w:after="0" w:line="229" w:lineRule="auto"/>
        <w:rPr>
          <w:sz w:val="20"/>
          <w:szCs w:val="20"/>
          <w:color w:val="auto"/>
        </w:rPr>
      </w:pPr>
      <w:r>
        <w:rPr>
          <w:rFonts w:ascii="Arial" w:cs="Arial" w:eastAsia="Arial" w:hAnsi="Arial"/>
          <w:sz w:val="17"/>
          <w:szCs w:val="17"/>
          <w:color w:val="auto"/>
        </w:rPr>
        <w:t>Under three exclusive license agreements with Antecip Bioventures II LLC, or Antecip, an entity owned by our Chief Executive Officer and Chairman of the Board, Herriot Tabuteau, M.D., we are obligated to make specified royalty payments ranging from 1.5% to 4.5%, subject to up to a 50% reduction depending on required payments to third parties, on net sales of licensed products. The amount, timing, and likelihood of such payments are not known. For a more detailed description of these agreements, please see “Business—Material License Agreements.”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2016 Loan and Security Agreement—Silicon Valley Bank</w:t>
      </w:r>
    </w:p>
    <w:p>
      <w:pPr>
        <w:spacing w:after="0" w:line="67"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In November 2016, we entered into a loan and security agreement with Silicon Valley Bank, or SVB, for a term loan of up to $20.0 million. The initial tranche of $10.0 million was funded shortly after executing the loan agreement. We are scheduled to make interest only payments on the loan until December 1, 2017, which period may be extended under certain circumstances. Under the terms of the loan, we had the opportunity, but not the obligation to, draw two additional tranches of $5.0 million each prior to November 9, 2017 and December 31, 2017, subject to the achievement of certain clinical and financial milestones. Because we did not achieve the conditional criteria to access the second and third tranches before the specified dates, the $10.0 million in additional term loan advances expired.</w:t>
      </w:r>
    </w:p>
    <w:p>
      <w:pPr>
        <w:spacing w:after="0" w:line="162" w:lineRule="exact"/>
        <w:rPr>
          <w:sz w:val="20"/>
          <w:szCs w:val="20"/>
          <w:color w:val="auto"/>
        </w:rPr>
      </w:pPr>
    </w:p>
    <w:p>
      <w:pPr>
        <w:jc w:val="both"/>
        <w:ind w:right="20" w:firstLine="648"/>
        <w:spacing w:after="0" w:line="249" w:lineRule="auto"/>
        <w:rPr>
          <w:sz w:val="20"/>
          <w:szCs w:val="20"/>
          <w:color w:val="auto"/>
        </w:rPr>
      </w:pPr>
      <w:r>
        <w:rPr>
          <w:rFonts w:ascii="Arial" w:cs="Arial" w:eastAsia="Arial" w:hAnsi="Arial"/>
          <w:sz w:val="16"/>
          <w:szCs w:val="16"/>
          <w:color w:val="auto"/>
        </w:rPr>
        <w:t>The SVB loan accrues interest at an annual rate equal to 4.50% plus the prime rate, which is the greater of 3.50% or the Wall Street Journal prime rate, and is payable monthly. Following the interest only payment period, we will begin making monthly payments of principal and interest until the maturity date of November 1, 2020. In addition, we are required to pay a final payment fee of 8.5% of the principal amount extended to us on the date of repayment of the outstanding loan.</w:t>
      </w:r>
    </w:p>
    <w:p>
      <w:pPr>
        <w:spacing w:after="0" w:line="20"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We may prepay all, but not less than all, of the SVB loan subject to a prepayment premium of 3.0% of the outstanding principal if prepaid within two years of the effective date of the loan, 2.0% of the outstanding principal if prepaid during the third year of the loan, and 1.0% of the outstanding principal if prepaid after the third year. The term loan is collateralized by a security interest in all of our assets except intellectual property. Our intellectual property is subject to a negative pledge.</w:t>
      </w:r>
    </w:p>
    <w:p>
      <w:pPr>
        <w:spacing w:after="0" w:line="4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In connection with the loan, SVB and Life Science Loans, LLC, received warrants to purchase an aggregate 65,228 shares of our common stock at an exercise price of $7.41 per share, which are exercisable for seven years from the date of issuance.</w:t>
      </w:r>
    </w:p>
    <w:p>
      <w:pPr>
        <w:spacing w:after="0" w:line="42" w:lineRule="exact"/>
        <w:rPr>
          <w:sz w:val="20"/>
          <w:szCs w:val="20"/>
          <w:color w:val="auto"/>
        </w:rPr>
      </w:pPr>
    </w:p>
    <w:p>
      <w:pPr>
        <w:ind w:right="200" w:firstLine="648"/>
        <w:spacing w:after="0" w:line="249" w:lineRule="auto"/>
        <w:rPr>
          <w:sz w:val="20"/>
          <w:szCs w:val="20"/>
          <w:color w:val="auto"/>
        </w:rPr>
      </w:pPr>
      <w:r>
        <w:rPr>
          <w:rFonts w:ascii="Arial" w:cs="Arial" w:eastAsia="Arial" w:hAnsi="Arial"/>
          <w:sz w:val="16"/>
          <w:szCs w:val="16"/>
          <w:color w:val="auto"/>
        </w:rPr>
        <w:t>We allocated the proceeds of $10.0 million based on the relative fair values of the debt instrument and the warrant instrument. The relative fair value of the warrants of approximately $0.3 million at the time of issuance, which was determined using the Black-Scholes option-pricing model, was recorded as additional paid-in capital and reduced the carrying value of the debt. The discount on the debt is being amortized to interest expense over the term of the debt.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Shelf Registration Statement</w:t>
      </w:r>
    </w:p>
    <w:p>
      <w:pPr>
        <w:spacing w:after="0" w:line="67" w:lineRule="exact"/>
        <w:rPr>
          <w:sz w:val="20"/>
          <w:szCs w:val="20"/>
          <w:color w:val="auto"/>
        </w:rPr>
      </w:pPr>
    </w:p>
    <w:p>
      <w:pPr>
        <w:ind w:right="320" w:firstLine="648"/>
        <w:spacing w:after="0" w:line="289" w:lineRule="auto"/>
        <w:rPr>
          <w:sz w:val="20"/>
          <w:szCs w:val="20"/>
          <w:color w:val="auto"/>
        </w:rPr>
      </w:pPr>
      <w:r>
        <w:rPr>
          <w:rFonts w:ascii="Arial" w:cs="Arial" w:eastAsia="Arial" w:hAnsi="Arial"/>
          <w:sz w:val="16"/>
          <w:szCs w:val="16"/>
          <w:color w:val="auto"/>
        </w:rPr>
        <w:t>On December 1, 2016, we filed a shelf registration statement with the SEC for the issuance of common stock, preferred stock, warrants, rights, debt securities and units up to an aggregate amount of $150.0 million, which we refer to</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23" w:name="page124"/>
    <w:bookmarkEnd w:id="1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as the 2016 Shelf Registration Statement. On December 16, 2016, the 2016 Shelf Registration Statement was declared effective by the SEC. At the time any of the securities covered by the 2016 Shelf Registration Statement are offered for sale, a prospectus supplement will be prepared and filed with the SEC containing specific information about the terms of any such offering.</w:t>
      </w:r>
    </w:p>
    <w:p>
      <w:pPr>
        <w:spacing w:after="0" w:line="3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89" w:lineRule="exact"/>
        <w:rPr>
          <w:sz w:val="20"/>
          <w:szCs w:val="20"/>
          <w:color w:val="auto"/>
        </w:rPr>
      </w:pPr>
    </w:p>
    <w:p>
      <w:pPr>
        <w:ind w:right="60" w:firstLine="648"/>
        <w:spacing w:after="0" w:line="203" w:lineRule="exact"/>
        <w:rPr>
          <w:sz w:val="20"/>
          <w:szCs w:val="20"/>
          <w:color w:val="auto"/>
        </w:rPr>
      </w:pPr>
      <w:r>
        <w:rPr>
          <w:rFonts w:ascii="Arial" w:cs="Arial" w:eastAsia="Arial" w:hAnsi="Arial"/>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by applicable SEC regulations.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89"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right="220" w:firstLine="1282"/>
        <w:spacing w:after="0" w:line="221" w:lineRule="auto"/>
        <w:rPr>
          <w:sz w:val="20"/>
          <w:szCs w:val="20"/>
          <w:color w:val="auto"/>
        </w:rPr>
      </w:pPr>
      <w:r>
        <w:rPr>
          <w:rFonts w:ascii="Arial" w:cs="Arial" w:eastAsia="Arial" w:hAnsi="Arial"/>
          <w:sz w:val="17"/>
          <w:szCs w:val="17"/>
          <w:color w:val="auto"/>
        </w:rPr>
        <w:t xml:space="preserve">In February 2016, the Financial Accounting Standards Board, or “FASB”, issued Accounting Standards Update, or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supersedes FASB Topic 840, Leases (Topic 840) and provides principles for the recognition, measurement, presentation and disclosure of leases for both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twelve months regardless of classification. Leases with a term of twelve months or less will be accounted for similarly to existing guidance for operating leases. The standard will be effective for annual and interim periods beginning after December 15, 2018, with early adoption permitted upon issuance. The Company is currently evaluating the potential impact of the new guidance.</w:t>
      </w:r>
    </w:p>
    <w:p>
      <w:pPr>
        <w:spacing w:after="0" w:line="59" w:lineRule="exact"/>
        <w:rPr>
          <w:sz w:val="20"/>
          <w:szCs w:val="20"/>
          <w:color w:val="auto"/>
        </w:rPr>
      </w:pPr>
    </w:p>
    <w:p>
      <w:pPr>
        <w:ind w:right="40" w:firstLine="648"/>
        <w:spacing w:after="0" w:line="212"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 Classification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Certain Cash Receipts and Cash Payments, </w:t>
      </w:r>
      <w:r>
        <w:rPr>
          <w:rFonts w:ascii="Arial" w:cs="Arial" w:eastAsia="Arial" w:hAnsi="Arial"/>
          <w:sz w:val="18"/>
          <w:szCs w:val="18"/>
          <w:color w:val="auto"/>
        </w:rPr>
        <w:t>which is guidance to address diversity in practice with respect to how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cash receipts and cash payments are presented and classified in the statement of cash flows. The updated guidance addresses eight specific cash flow issues with the objective of reducing the existing diversity that occurs in practice. The guidance is effective for annual and interim periods beginning after December 15, 2017. The Company will adopt this guidance effective January 1, 2018. The adoption of the guidance is not anticipated to have a material impact on the Company’s financial statements.</w:t>
      </w:r>
    </w:p>
    <w:p>
      <w:pPr>
        <w:spacing w:after="0" w:line="57"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 xml:space="preserve">In May 2017, the FASB issued No. ASU 2017-09, </w:t>
      </w:r>
      <w:r>
        <w:rPr>
          <w:rFonts w:ascii="Arial" w:cs="Arial" w:eastAsia="Arial" w:hAnsi="Arial"/>
          <w:sz w:val="18"/>
          <w:szCs w:val="18"/>
          <w:i w:val="1"/>
          <w:iCs w:val="1"/>
          <w:color w:val="auto"/>
        </w:rPr>
        <w:t>Compensation-Stock Compensation (Topic 718): Scope of</w:t>
      </w:r>
      <w:r>
        <w:rPr>
          <w:rFonts w:ascii="Arial" w:cs="Arial" w:eastAsia="Arial" w:hAnsi="Arial"/>
          <w:sz w:val="18"/>
          <w:szCs w:val="18"/>
          <w:color w:val="auto"/>
        </w:rPr>
        <w:t xml:space="preserve"> </w:t>
      </w:r>
      <w:r>
        <w:rPr>
          <w:rFonts w:ascii="Arial" w:cs="Arial" w:eastAsia="Arial" w:hAnsi="Arial"/>
          <w:sz w:val="18"/>
          <w:szCs w:val="18"/>
          <w:i w:val="1"/>
          <w:iCs w:val="1"/>
          <w:color w:val="auto"/>
        </w:rPr>
        <w:t>Modification Accounting</w:t>
      </w:r>
      <w:r>
        <w:rPr>
          <w:rFonts w:ascii="Arial" w:cs="Arial" w:eastAsia="Arial" w:hAnsi="Arial"/>
          <w:sz w:val="18"/>
          <w:szCs w:val="18"/>
          <w:color w:val="auto"/>
        </w:rPr>
        <w:t>. ASU 2017-09 provides clarity and reduces both (1) diversity in practice and (2) cost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complexity when applying the guidance in Topic 718, to a change to the terms or conditions of a share-based payment award. The amendments in ASU 2017-09 should be applied prospectively to an award modified on or after the adoption date. This ASU is effective for fiscal years beginning after December 15, 2017, including interim periods within those years. The Company will adopt this guidance effective January 1, 2018. The adoption of the guidance is not anticipated to have a material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24" w:name="page125"/>
    <w:bookmarkEnd w:id="1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1860"/>
        <w:spacing w:after="0" w:line="456" w:lineRule="auto"/>
        <w:rPr>
          <w:sz w:val="20"/>
          <w:szCs w:val="20"/>
          <w:color w:val="auto"/>
        </w:rPr>
      </w:pPr>
      <w:r>
        <w:rPr>
          <w:rFonts w:ascii="Arial" w:cs="Arial" w:eastAsia="Arial" w:hAnsi="Arial"/>
          <w:sz w:val="18"/>
          <w:szCs w:val="18"/>
          <w:b w:val="1"/>
          <w:bCs w:val="1"/>
          <w:color w:val="auto"/>
        </w:rPr>
        <w:t xml:space="preserve">ITEM 7A. QUANTITATIVE AND QUALITATIVE DISCLOSURE ABOUT MARKET RISK </w:t>
      </w:r>
      <w:r>
        <w:rPr>
          <w:rFonts w:ascii="Arial" w:cs="Arial" w:eastAsia="Arial" w:hAnsi="Arial"/>
          <w:sz w:val="18"/>
          <w:szCs w:val="18"/>
          <w:i w:val="1"/>
          <w:iCs w:val="1"/>
          <w:color w:val="auto"/>
        </w:rPr>
        <w:t>Interest Rate Risk</w:t>
      </w:r>
    </w:p>
    <w:p>
      <w:pPr>
        <w:spacing w:after="0" w:line="1" w:lineRule="exact"/>
        <w:rPr>
          <w:sz w:val="20"/>
          <w:szCs w:val="20"/>
          <w:color w:val="auto"/>
        </w:rPr>
      </w:pPr>
    </w:p>
    <w:p>
      <w:pPr>
        <w:ind w:firstLine="648"/>
        <w:spacing w:after="0" w:line="183" w:lineRule="exact"/>
        <w:rPr>
          <w:sz w:val="20"/>
          <w:szCs w:val="20"/>
          <w:color w:val="auto"/>
        </w:rPr>
      </w:pPr>
      <w:r>
        <w:rPr>
          <w:rFonts w:ascii="Arial" w:cs="Arial" w:eastAsia="Arial" w:hAnsi="Arial"/>
          <w:sz w:val="18"/>
          <w:szCs w:val="18"/>
          <w:color w:val="auto"/>
        </w:rPr>
        <w:t>We are exposed to market risks in the ordinary course of our business. These market risks are principally limited to interest rate fluctuations. We had cash of $34.0 million as of December 31, 2017. The primary objective of our investment activities is to preserve principal and liquidity while maximizing income without significantly increasing risk. We do not enter into investments for trading or speculative purposes. Due to the short</w:t>
      </w:r>
      <w:r>
        <w:rPr>
          <w:rFonts w:ascii="MS PGothic" w:cs="MS PGothic" w:eastAsia="MS PGothic" w:hAnsi="MS PGothic"/>
          <w:sz w:val="18"/>
          <w:szCs w:val="18"/>
          <w:color w:val="auto"/>
        </w:rPr>
        <w:t>‑</w:t>
      </w:r>
      <w:r>
        <w:rPr>
          <w:rFonts w:ascii="Arial" w:cs="Arial" w:eastAsia="Arial" w:hAnsi="Arial"/>
          <w:sz w:val="18"/>
          <w:szCs w:val="18"/>
          <w:color w:val="auto"/>
        </w:rPr>
        <w:t>term nature of our investment portfolio, we do not believe an immediate 10% increase in interest rates would have a material effect on the fair market value of our portfolio, and, accordingly, we do not expect our operating results or cash flows to be materially affected by a sudden change in market interest rates.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85" w:lineRule="exact"/>
        <w:rPr>
          <w:sz w:val="20"/>
          <w:szCs w:val="20"/>
          <w:color w:val="auto"/>
        </w:rPr>
      </w:pPr>
    </w:p>
    <w:p>
      <w:pPr>
        <w:ind w:right="60" w:firstLine="648"/>
        <w:spacing w:after="0" w:line="187" w:lineRule="exact"/>
        <w:rPr>
          <w:sz w:val="20"/>
          <w:szCs w:val="20"/>
          <w:color w:val="auto"/>
        </w:rPr>
      </w:pPr>
      <w:r>
        <w:rPr>
          <w:rFonts w:ascii="Arial" w:cs="Arial" w:eastAsia="Arial" w:hAnsi="Arial"/>
          <w:sz w:val="18"/>
          <w:szCs w:val="18"/>
          <w:color w:val="auto"/>
        </w:rPr>
        <w:t>We contract with vendors and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in several foreign countries. Several of these contracts are denominated in Euros, British pounds, and Australian dollars. We are therefore subject to fluctuations in foreign currency rates in connection with these agreements, and recognize foreign exchange gains or losses in our statement of operations. We have not historically hedged our foreign currency exchange rate risk. To date, we have not incurred any material effects from foreign currency changes on these contracts.</w:t>
      </w:r>
    </w:p>
    <w:p>
      <w:pPr>
        <w:spacing w:after="0" w:line="162"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We do not believe a 10% change in these currencies on December 31, 2017 would have had a material effect on our results of operations or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Risk</w:t>
      </w:r>
    </w:p>
    <w:p>
      <w:pPr>
        <w:spacing w:after="0" w:line="185"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Inflation generally affects us by increasing our cost of labor and pricing of contracts. We do not believe that inflation has had a material effect on our business, financial condition, or results of operations during the year ended December 31, 2017.</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48"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Our consolidated financial statements and the notes thereto, included in Part IV, Item 15(a), part 1, are incorporated by reference into this Item 8.</w:t>
      </w:r>
    </w:p>
    <w:p>
      <w:pPr>
        <w:spacing w:after="0" w:line="117" w:lineRule="exact"/>
        <w:rPr>
          <w:sz w:val="20"/>
          <w:szCs w:val="20"/>
          <w:color w:val="auto"/>
        </w:rPr>
      </w:pPr>
    </w:p>
    <w:p>
      <w:pPr>
        <w:ind w:right="1140"/>
        <w:spacing w:after="0" w:line="237"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81" w:lineRule="exact"/>
        <w:rPr>
          <w:sz w:val="20"/>
          <w:szCs w:val="20"/>
          <w:color w:val="auto"/>
        </w:rPr>
      </w:pPr>
    </w:p>
    <w:p>
      <w:pPr>
        <w:ind w:right="20" w:firstLine="648"/>
        <w:spacing w:after="0" w:line="235"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Our management, with the participation of our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and principal financial officer, evaluated the effectiveness of our disclosure controls and procedures as of December 31, 2017. The term "disclosure controls and procedures," as defined in Rules 13a-15(e) and 15d-15(e) under the Exchange Act, mean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Disclosure controls include, without limitation, controls and procedures designed to ensure that information required to be disclosed by a company in the reports that it files or submits under the Exchange Act is accumulated and communicated to management, including our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5" w:name="page126"/>
    <w:bookmarkEnd w:id="1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19"/>
        <w:spacing w:after="0" w:line="238" w:lineRule="auto"/>
        <w:rPr>
          <w:sz w:val="20"/>
          <w:szCs w:val="20"/>
          <w:color w:val="auto"/>
        </w:rPr>
      </w:pPr>
      <w:r>
        <w:rPr>
          <w:rFonts w:ascii="Arial" w:cs="Arial" w:eastAsia="Arial" w:hAnsi="Arial"/>
          <w:sz w:val="17"/>
          <w:szCs w:val="17"/>
          <w:color w:val="auto"/>
        </w:rPr>
        <w:t>evaluating the cost-benefit relationship of possible controls and procedures. Based on the evaluation of our disclosure controls and procedures as of December 31, 2017, our principal executive officer and principal financial officer concluded that, as of such date, our disclosure controls and procedures were effective at the reasonable level.</w:t>
      </w:r>
    </w:p>
    <w:p>
      <w:pPr>
        <w:spacing w:after="0" w:line="53" w:lineRule="exact"/>
        <w:rPr>
          <w:sz w:val="20"/>
          <w:szCs w:val="20"/>
          <w:color w:val="auto"/>
        </w:rPr>
      </w:pPr>
    </w:p>
    <w:p>
      <w:pPr>
        <w:ind w:right="19" w:firstLine="648"/>
        <w:spacing w:after="0" w:line="212" w:lineRule="auto"/>
        <w:rPr>
          <w:sz w:val="20"/>
          <w:szCs w:val="20"/>
          <w:color w:val="auto"/>
        </w:rPr>
      </w:pPr>
      <w:r>
        <w:rPr>
          <w:rFonts w:ascii="Arial" w:cs="Arial" w:eastAsia="Arial" w:hAnsi="Arial"/>
          <w:sz w:val="18"/>
          <w:szCs w:val="18"/>
          <w:i w:val="1"/>
          <w:iCs w:val="1"/>
          <w:color w:val="auto"/>
        </w:rPr>
        <w:t xml:space="preserve">Management’s Annual Report on Internal Control over Financial Reporting. </w:t>
      </w:r>
      <w:r>
        <w:rPr>
          <w:rFonts w:ascii="Arial" w:cs="Arial" w:eastAsia="Arial" w:hAnsi="Arial"/>
          <w:sz w:val="18"/>
          <w:szCs w:val="18"/>
          <w:color w:val="auto"/>
        </w:rPr>
        <w:t>Our management is responsible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establishing and maintaining adequate internal control over financial reporting (as defined in Rule 13a-15(f) or Rule 15d-15(f) under the Exchange Act). Our management assessed the effectiveness of our internal control over financial reporting as of December 31, 2017. In making this assessment, our management used the criteria established in Internal Control – Integrated Framework (2013) issued by the Committee of Sponsoring Organizations of the Treadway Commission, or COSO Framework. Our management has concluded that, as of December 31, 2017, our internal control over financial reporting was effective based on these criteria.</w:t>
      </w:r>
    </w:p>
    <w:p>
      <w:pPr>
        <w:spacing w:after="0" w:line="57" w:lineRule="exact"/>
        <w:rPr>
          <w:sz w:val="20"/>
          <w:szCs w:val="20"/>
          <w:color w:val="auto"/>
        </w:rPr>
      </w:pPr>
    </w:p>
    <w:p>
      <w:pPr>
        <w:ind w:right="19" w:firstLine="648"/>
        <w:spacing w:after="0" w:line="238" w:lineRule="auto"/>
        <w:rPr>
          <w:sz w:val="20"/>
          <w:szCs w:val="20"/>
          <w:color w:val="auto"/>
        </w:rPr>
      </w:pPr>
      <w:r>
        <w:rPr>
          <w:rFonts w:ascii="Arial" w:cs="Arial" w:eastAsia="Arial" w:hAnsi="Arial"/>
          <w:sz w:val="17"/>
          <w:szCs w:val="17"/>
          <w:color w:val="auto"/>
        </w:rPr>
        <w:t>This annual report does not include an attestation report of our independent registered public accounting firm regarding internal control over financial reporting. Management's report was not subject to the attestation by our independent registered public accounting firm because emerging growth companies are exempt from this requirement.</w:t>
      </w:r>
    </w:p>
    <w:p>
      <w:pPr>
        <w:spacing w:after="0" w:line="53" w:lineRule="exact"/>
        <w:rPr>
          <w:sz w:val="20"/>
          <w:szCs w:val="20"/>
          <w:color w:val="auto"/>
        </w:rPr>
      </w:pPr>
    </w:p>
    <w:p>
      <w:pPr>
        <w:ind w:right="19" w:firstLine="648"/>
        <w:spacing w:after="0" w:line="212" w:lineRule="auto"/>
        <w:rPr>
          <w:sz w:val="20"/>
          <w:szCs w:val="20"/>
          <w:color w:val="auto"/>
        </w:rPr>
      </w:pPr>
      <w:r>
        <w:rPr>
          <w:rFonts w:ascii="Arial" w:cs="Arial" w:eastAsia="Arial" w:hAnsi="Arial"/>
          <w:sz w:val="18"/>
          <w:szCs w:val="18"/>
          <w:i w:val="1"/>
          <w:iCs w:val="1"/>
          <w:color w:val="auto"/>
        </w:rPr>
        <w:t xml:space="preserve">Inherent Limitations on Effectiveness of Controls. </w:t>
      </w:r>
      <w:r>
        <w:rPr>
          <w:rFonts w:ascii="Arial" w:cs="Arial" w:eastAsia="Arial" w:hAnsi="Arial"/>
          <w:sz w:val="18"/>
          <w:szCs w:val="18"/>
          <w:color w:val="auto"/>
        </w:rPr>
        <w:t>Our management, including our principal executive officer and</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ind w:left="4180"/>
        <w:spacing w:after="0"/>
        <w:rPr>
          <w:sz w:val="20"/>
          <w:szCs w:val="20"/>
          <w:color w:val="auto"/>
        </w:rPr>
      </w:pPr>
      <w:r>
        <w:rPr>
          <w:rFonts w:ascii="Arial" w:cs="Arial" w:eastAsia="Arial" w:hAnsi="Arial"/>
          <w:sz w:val="18"/>
          <w:szCs w:val="18"/>
          <w:b w:val="1"/>
          <w:bCs w:val="1"/>
          <w:color w:val="auto"/>
        </w:rPr>
        <w:t>PART III</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48" w:lineRule="exact"/>
        <w:rPr>
          <w:sz w:val="20"/>
          <w:szCs w:val="20"/>
          <w:color w:val="auto"/>
        </w:rPr>
      </w:pPr>
    </w:p>
    <w:p>
      <w:pPr>
        <w:ind w:right="239" w:firstLine="648"/>
        <w:spacing w:after="0" w:line="258" w:lineRule="auto"/>
        <w:rPr>
          <w:sz w:val="20"/>
          <w:szCs w:val="20"/>
          <w:color w:val="auto"/>
        </w:rPr>
      </w:pPr>
      <w:r>
        <w:rPr>
          <w:rFonts w:ascii="Arial" w:cs="Arial" w:eastAsia="Arial" w:hAnsi="Arial"/>
          <w:sz w:val="17"/>
          <w:szCs w:val="17"/>
          <w:color w:val="auto"/>
        </w:rPr>
        <w:t>The information required by this Item is incorporated herein by reference from our Proxy Statement for our 2018 Annual Meeting of Stockholders or will be included in an amendment to this Annual Report on Form 10-K.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48" w:lineRule="exact"/>
        <w:rPr>
          <w:sz w:val="20"/>
          <w:szCs w:val="20"/>
          <w:color w:val="auto"/>
        </w:rPr>
      </w:pPr>
    </w:p>
    <w:p>
      <w:pPr>
        <w:ind w:right="239" w:firstLine="648"/>
        <w:spacing w:after="0" w:line="258" w:lineRule="auto"/>
        <w:rPr>
          <w:sz w:val="20"/>
          <w:szCs w:val="20"/>
          <w:color w:val="auto"/>
        </w:rPr>
      </w:pPr>
      <w:r>
        <w:rPr>
          <w:rFonts w:ascii="Arial" w:cs="Arial" w:eastAsia="Arial" w:hAnsi="Arial"/>
          <w:sz w:val="17"/>
          <w:szCs w:val="17"/>
          <w:color w:val="auto"/>
        </w:rPr>
        <w:t>The information required by this Item is incorporated herein by reference from our Proxy Statement for our 2018 Annual Meeting of Stockholders or will be included in an amendment to this Annual Report on Form 10-K.</w:t>
      </w:r>
    </w:p>
    <w:p>
      <w:pPr>
        <w:spacing w:after="0" w:line="102" w:lineRule="exact"/>
        <w:rPr>
          <w:sz w:val="20"/>
          <w:szCs w:val="20"/>
          <w:color w:val="auto"/>
        </w:rPr>
      </w:pPr>
    </w:p>
    <w:p>
      <w:pPr>
        <w:ind w:right="719"/>
        <w:spacing w:after="0" w:line="237"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2" w:lineRule="exact"/>
        <w:rPr>
          <w:sz w:val="20"/>
          <w:szCs w:val="20"/>
          <w:color w:val="auto"/>
        </w:rPr>
      </w:pPr>
    </w:p>
    <w:p>
      <w:pPr>
        <w:ind w:right="239" w:firstLine="648"/>
        <w:spacing w:after="0" w:line="258" w:lineRule="auto"/>
        <w:rPr>
          <w:sz w:val="20"/>
          <w:szCs w:val="20"/>
          <w:color w:val="auto"/>
        </w:rPr>
      </w:pPr>
      <w:r>
        <w:rPr>
          <w:rFonts w:ascii="Arial" w:cs="Arial" w:eastAsia="Arial" w:hAnsi="Arial"/>
          <w:sz w:val="17"/>
          <w:szCs w:val="17"/>
          <w:color w:val="auto"/>
        </w:rPr>
        <w:t>The information required by this Item is incorporated herein by reference from our Proxy Statement for our 2018 Annual Meeting of Stockholders or will be included in an amendment to this Annual Report on Form 10-K.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48" w:lineRule="exact"/>
        <w:rPr>
          <w:sz w:val="20"/>
          <w:szCs w:val="20"/>
          <w:color w:val="auto"/>
        </w:rPr>
      </w:pPr>
    </w:p>
    <w:p>
      <w:pPr>
        <w:ind w:right="239" w:firstLine="648"/>
        <w:spacing w:after="0" w:line="258" w:lineRule="auto"/>
        <w:rPr>
          <w:sz w:val="20"/>
          <w:szCs w:val="20"/>
          <w:color w:val="auto"/>
        </w:rPr>
      </w:pPr>
      <w:r>
        <w:rPr>
          <w:rFonts w:ascii="Arial" w:cs="Arial" w:eastAsia="Arial" w:hAnsi="Arial"/>
          <w:sz w:val="17"/>
          <w:szCs w:val="17"/>
          <w:color w:val="auto"/>
        </w:rPr>
        <w:t>The information required by this Item is incorporated herein by reference from our Proxy Statement for our 2018 Annual Meeting of Stockholders or will be included in an amendment to this Annual Report on Form 10-K.</w:t>
      </w: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26" w:name="page127"/>
    <w:bookmarkEnd w:id="1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48" w:lineRule="exact"/>
        <w:rPr>
          <w:sz w:val="20"/>
          <w:szCs w:val="20"/>
          <w:color w:val="auto"/>
        </w:rPr>
      </w:pPr>
    </w:p>
    <w:p>
      <w:pPr>
        <w:ind w:right="239" w:firstLine="648"/>
        <w:spacing w:after="0" w:line="258" w:lineRule="auto"/>
        <w:rPr>
          <w:sz w:val="20"/>
          <w:szCs w:val="20"/>
          <w:color w:val="auto"/>
        </w:rPr>
      </w:pPr>
      <w:r>
        <w:rPr>
          <w:rFonts w:ascii="Arial" w:cs="Arial" w:eastAsia="Arial" w:hAnsi="Arial"/>
          <w:sz w:val="17"/>
          <w:szCs w:val="17"/>
          <w:color w:val="auto"/>
        </w:rPr>
        <w:t>The information required by this Item is incorporated herein by reference from our Proxy Statement for our 2018 Annual Meeting of Stockholders or will be included in an amendment to this Annual Report on Form 10-K.</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27" w:name="page128"/>
    <w:bookmarkEnd w:id="1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ind w:left="1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1.</w:t>
            </w:r>
          </w:p>
        </w:tc>
        <w:tc>
          <w:tcPr>
            <w:tcW w:w="7460" w:type="dxa"/>
            <w:vAlign w:val="bottom"/>
            <w:gridSpan w:val="7"/>
          </w:tcPr>
          <w:p>
            <w:pPr>
              <w:ind w:left="620"/>
              <w:spacing w:after="0"/>
              <w:rPr>
                <w:sz w:val="20"/>
                <w:szCs w:val="20"/>
                <w:color w:val="auto"/>
              </w:rPr>
            </w:pPr>
            <w:r>
              <w:rPr>
                <w:rFonts w:ascii="Arial" w:cs="Arial" w:eastAsia="Arial" w:hAnsi="Arial"/>
                <w:sz w:val="18"/>
                <w:szCs w:val="18"/>
                <w:color w:val="auto"/>
              </w:rPr>
              <w:t>Consolidated Financial Statements</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1"/>
        </w:trPr>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40" w:type="dxa"/>
            <w:vAlign w:val="bottom"/>
            <w:gridSpan w:val="10"/>
          </w:tcPr>
          <w:p>
            <w:pPr>
              <w:jc w:val="right"/>
              <w:spacing w:after="0"/>
              <w:rPr>
                <w:sz w:val="20"/>
                <w:szCs w:val="20"/>
                <w:color w:val="auto"/>
              </w:rPr>
            </w:pPr>
            <w:r>
              <w:rPr>
                <w:rFonts w:ascii="Arial" w:cs="Arial" w:eastAsia="Arial" w:hAnsi="Arial"/>
                <w:sz w:val="18"/>
                <w:szCs w:val="18"/>
                <w:color w:val="auto"/>
                <w:w w:val="92"/>
              </w:rPr>
              <w:t>The following consolidated financial statements of Axsome Therapeutics, Inc. are filed as part of this report.</w:t>
            </w:r>
          </w:p>
        </w:tc>
      </w:tr>
      <w:tr>
        <w:trPr>
          <w:trHeight w:val="432"/>
        </w:trPr>
        <w:tc>
          <w:tcPr>
            <w:tcW w:w="14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Contents</w:t>
            </w:r>
          </w:p>
        </w:tc>
        <w:tc>
          <w:tcPr>
            <w:tcW w:w="2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Page</w:t>
            </w:r>
          </w:p>
        </w:tc>
      </w:tr>
      <w:tr>
        <w:trPr>
          <w:trHeight w:val="20"/>
        </w:trPr>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40" w:type="dxa"/>
            <w:vAlign w:val="bottom"/>
          </w:tcPr>
          <w:p>
            <w:pPr>
              <w:spacing w:after="0"/>
              <w:rPr>
                <w:sz w:val="24"/>
                <w:szCs w:val="24"/>
                <w:color w:val="auto"/>
              </w:rPr>
            </w:pPr>
          </w:p>
        </w:tc>
        <w:tc>
          <w:tcPr>
            <w:tcW w:w="42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30">
              <w:r>
                <w:rPr>
                  <w:rFonts w:ascii="Arial" w:cs="Arial" w:eastAsia="Arial" w:hAnsi="Arial"/>
                  <w:sz w:val="18"/>
                  <w:szCs w:val="18"/>
                  <w:color w:val="0000EE"/>
                  <w:w w:val="90"/>
                </w:rPr>
                <w:t>Report of Independent Registered Public Accounting Firm</w:t>
              </w:r>
            </w:hyperlink>
          </w:p>
        </w:tc>
        <w:tc>
          <w:tcPr>
            <w:tcW w:w="414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F-1</w:t>
            </w:r>
          </w:p>
        </w:tc>
      </w:tr>
      <w:tr>
        <w:trPr>
          <w:trHeight w:val="331"/>
        </w:trPr>
        <w:tc>
          <w:tcPr>
            <w:tcW w:w="140" w:type="dxa"/>
            <w:vAlign w:val="bottom"/>
          </w:tcPr>
          <w:p>
            <w:pPr>
              <w:spacing w:after="0"/>
              <w:rPr>
                <w:sz w:val="24"/>
                <w:szCs w:val="24"/>
                <w:color w:val="auto"/>
              </w:rPr>
            </w:pPr>
          </w:p>
        </w:tc>
        <w:tc>
          <w:tcPr>
            <w:tcW w:w="8340" w:type="dxa"/>
            <w:vAlign w:val="bottom"/>
            <w:gridSpan w:val="9"/>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Consolidated Balance Sheets as of December 31, 2017 and 2016</w:t>
              </w:r>
            </w:hyperlink>
          </w:p>
        </w:tc>
        <w:tc>
          <w:tcPr>
            <w:tcW w:w="10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F-2</w:t>
            </w:r>
          </w:p>
        </w:tc>
      </w:tr>
      <w:tr>
        <w:trPr>
          <w:trHeight w:val="20"/>
        </w:trPr>
        <w:tc>
          <w:tcPr>
            <w:tcW w:w="1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331"/>
        </w:trPr>
        <w:tc>
          <w:tcPr>
            <w:tcW w:w="140" w:type="dxa"/>
            <w:vAlign w:val="bottom"/>
          </w:tcPr>
          <w:p>
            <w:pPr>
              <w:spacing w:after="0"/>
              <w:rPr>
                <w:sz w:val="24"/>
                <w:szCs w:val="24"/>
                <w:color w:val="auto"/>
              </w:rPr>
            </w:pPr>
          </w:p>
        </w:tc>
        <w:tc>
          <w:tcPr>
            <w:tcW w:w="8340" w:type="dxa"/>
            <w:vAlign w:val="bottom"/>
            <w:gridSpan w:val="9"/>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Consolidated Statements of Operations for the Years Ended December 31, 2017, 2016 and 2015</w:t>
              </w:r>
            </w:hyperlink>
          </w:p>
        </w:tc>
        <w:tc>
          <w:tcPr>
            <w:tcW w:w="10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r>
      <w:tr>
        <w:trPr>
          <w:trHeight w:val="20"/>
        </w:trPr>
        <w:tc>
          <w:tcPr>
            <w:tcW w:w="1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34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331"/>
        </w:trPr>
        <w:tc>
          <w:tcPr>
            <w:tcW w:w="140" w:type="dxa"/>
            <w:vAlign w:val="bottom"/>
          </w:tcPr>
          <w:p>
            <w:pPr>
              <w:spacing w:after="0"/>
              <w:rPr>
                <w:sz w:val="24"/>
                <w:szCs w:val="24"/>
                <w:color w:val="auto"/>
              </w:rPr>
            </w:pPr>
          </w:p>
        </w:tc>
        <w:tc>
          <w:tcPr>
            <w:tcW w:w="8340" w:type="dxa"/>
            <w:vAlign w:val="bottom"/>
            <w:gridSpan w:val="9"/>
          </w:tcPr>
          <w:p>
            <w:pPr>
              <w:spacing w:after="0"/>
              <w:rPr>
                <w:rFonts w:ascii="Arial" w:cs="Arial" w:eastAsia="Arial" w:hAnsi="Arial"/>
                <w:sz w:val="18"/>
                <w:szCs w:val="18"/>
                <w:color w:val="0000EE"/>
                <w:w w:val="95"/>
              </w:rPr>
            </w:pPr>
            <w:hyperlink w:anchor="page133">
              <w:r>
                <w:rPr>
                  <w:rFonts w:ascii="Arial" w:cs="Arial" w:eastAsia="Arial" w:hAnsi="Arial"/>
                  <w:sz w:val="18"/>
                  <w:szCs w:val="18"/>
                  <w:color w:val="0000EE"/>
                  <w:w w:val="95"/>
                </w:rPr>
                <w:t>Consolidated Statements of Stockholders’ Equity (Deficit) for the Years Ended December 31, 2017, 2016 and</w:t>
              </w:r>
            </w:hyperlink>
          </w:p>
        </w:tc>
        <w:tc>
          <w:tcPr>
            <w:tcW w:w="10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r>
      <w:tr>
        <w:trPr>
          <w:trHeight w:val="156"/>
        </w:trPr>
        <w:tc>
          <w:tcPr>
            <w:tcW w:w="140" w:type="dxa"/>
            <w:vAlign w:val="bottom"/>
          </w:tcPr>
          <w:p>
            <w:pPr>
              <w:spacing w:after="0"/>
              <w:rPr>
                <w:sz w:val="13"/>
                <w:szCs w:val="13"/>
                <w:color w:val="auto"/>
              </w:rPr>
            </w:pPr>
          </w:p>
        </w:tc>
        <w:tc>
          <w:tcPr>
            <w:tcW w:w="340" w:type="dxa"/>
            <w:vAlign w:val="bottom"/>
            <w:tcBorders>
              <w:top w:val="single" w:sz="8" w:color="0000EE"/>
              <w:bottom w:val="single" w:sz="8" w:color="0000EE"/>
            </w:tcBorders>
          </w:tcPr>
          <w:p>
            <w:pPr>
              <w:spacing w:after="0" w:line="156" w:lineRule="exact"/>
              <w:rPr>
                <w:rFonts w:ascii="Arial" w:cs="Arial" w:eastAsia="Arial" w:hAnsi="Arial"/>
                <w:sz w:val="18"/>
                <w:szCs w:val="18"/>
                <w:color w:val="0000EE"/>
                <w:w w:val="79"/>
              </w:rPr>
            </w:pPr>
            <w:hyperlink w:anchor="page133">
              <w:r>
                <w:rPr>
                  <w:rFonts w:ascii="Arial" w:cs="Arial" w:eastAsia="Arial" w:hAnsi="Arial"/>
                  <w:sz w:val="18"/>
                  <w:szCs w:val="18"/>
                  <w:color w:val="0000EE"/>
                  <w:w w:val="79"/>
                </w:rPr>
                <w:t>2015</w:t>
              </w:r>
            </w:hyperlink>
          </w:p>
        </w:tc>
        <w:tc>
          <w:tcPr>
            <w:tcW w:w="540" w:type="dxa"/>
            <w:vAlign w:val="bottom"/>
            <w:tcBorders>
              <w:top w:val="single" w:sz="8" w:color="0000EE"/>
            </w:tcBorders>
          </w:tcPr>
          <w:p>
            <w:pPr>
              <w:spacing w:after="0"/>
              <w:rPr>
                <w:sz w:val="13"/>
                <w:szCs w:val="13"/>
                <w:color w:val="auto"/>
              </w:rPr>
            </w:pPr>
          </w:p>
        </w:tc>
        <w:tc>
          <w:tcPr>
            <w:tcW w:w="2520" w:type="dxa"/>
            <w:vAlign w:val="bottom"/>
            <w:tcBorders>
              <w:top w:val="single" w:sz="8" w:color="0000EE"/>
            </w:tcBorders>
          </w:tcPr>
          <w:p>
            <w:pPr>
              <w:spacing w:after="0"/>
              <w:rPr>
                <w:sz w:val="13"/>
                <w:szCs w:val="13"/>
                <w:color w:val="auto"/>
              </w:rPr>
            </w:pPr>
          </w:p>
        </w:tc>
        <w:tc>
          <w:tcPr>
            <w:tcW w:w="800" w:type="dxa"/>
            <w:vAlign w:val="bottom"/>
            <w:tcBorders>
              <w:top w:val="single" w:sz="8" w:color="0000EE"/>
            </w:tcBorders>
          </w:tcPr>
          <w:p>
            <w:pPr>
              <w:spacing w:after="0"/>
              <w:rPr>
                <w:sz w:val="13"/>
                <w:szCs w:val="13"/>
                <w:color w:val="auto"/>
              </w:rPr>
            </w:pPr>
          </w:p>
        </w:tc>
        <w:tc>
          <w:tcPr>
            <w:tcW w:w="420" w:type="dxa"/>
            <w:vAlign w:val="bottom"/>
            <w:tcBorders>
              <w:top w:val="single" w:sz="8" w:color="0000EE"/>
            </w:tcBorders>
          </w:tcPr>
          <w:p>
            <w:pPr>
              <w:spacing w:after="0"/>
              <w:rPr>
                <w:sz w:val="13"/>
                <w:szCs w:val="13"/>
                <w:color w:val="auto"/>
              </w:rPr>
            </w:pPr>
          </w:p>
        </w:tc>
        <w:tc>
          <w:tcPr>
            <w:tcW w:w="22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940" w:type="dxa"/>
            <w:vAlign w:val="bottom"/>
            <w:tcBorders>
              <w:top w:val="single" w:sz="8" w:color="0000EE"/>
            </w:tcBorders>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40" w:type="dxa"/>
            <w:vAlign w:val="bottom"/>
          </w:tcPr>
          <w:p>
            <w:pPr>
              <w:spacing w:after="0"/>
              <w:rPr>
                <w:sz w:val="24"/>
                <w:szCs w:val="24"/>
                <w:color w:val="auto"/>
              </w:rPr>
            </w:pPr>
          </w:p>
        </w:tc>
        <w:tc>
          <w:tcPr>
            <w:tcW w:w="8340" w:type="dxa"/>
            <w:vAlign w:val="bottom"/>
            <w:gridSpan w:val="9"/>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Consolidated Statements of Cash Flows for the Years Ended December 31, 2017, 2016 and 2015</w:t>
              </w:r>
            </w:hyperlink>
          </w:p>
        </w:tc>
        <w:tc>
          <w:tcPr>
            <w:tcW w:w="10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r>
      <w:tr>
        <w:trPr>
          <w:trHeight w:val="331"/>
        </w:trPr>
        <w:tc>
          <w:tcPr>
            <w:tcW w:w="140" w:type="dxa"/>
            <w:vAlign w:val="bottom"/>
          </w:tcPr>
          <w:p>
            <w:pPr>
              <w:spacing w:after="0"/>
              <w:rPr>
                <w:sz w:val="24"/>
                <w:szCs w:val="24"/>
                <w:color w:val="auto"/>
              </w:rPr>
            </w:pPr>
          </w:p>
        </w:tc>
        <w:tc>
          <w:tcPr>
            <w:tcW w:w="6940" w:type="dxa"/>
            <w:vAlign w:val="bottom"/>
            <w:tcBorders>
              <w:top w:val="single" w:sz="8" w:color="0000EE"/>
            </w:tcBorders>
            <w:gridSpan w:val="7"/>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Notes to the Consolidated Financial Statements</w:t>
              </w:r>
            </w:hyperlink>
          </w:p>
        </w:tc>
        <w:tc>
          <w:tcPr>
            <w:tcW w:w="14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r>
      <w:tr>
        <w:trPr>
          <w:trHeight w:val="20"/>
        </w:trPr>
        <w:tc>
          <w:tcPr>
            <w:tcW w:w="14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40" w:type="dxa"/>
            <w:vAlign w:val="bottom"/>
          </w:tcPr>
          <w:p>
            <w:pPr>
              <w:spacing w:after="0"/>
              <w:rPr>
                <w:sz w:val="24"/>
                <w:szCs w:val="24"/>
                <w:color w:val="auto"/>
              </w:rPr>
            </w:pPr>
          </w:p>
        </w:tc>
        <w:tc>
          <w:tcPr>
            <w:tcW w:w="880" w:type="dxa"/>
            <w:vAlign w:val="bottom"/>
            <w:gridSpan w:val="2"/>
          </w:tcPr>
          <w:p>
            <w:pPr>
              <w:jc w:val="right"/>
              <w:ind w:right="30"/>
              <w:spacing w:after="0"/>
              <w:rPr>
                <w:sz w:val="20"/>
                <w:szCs w:val="20"/>
                <w:color w:val="auto"/>
              </w:rPr>
            </w:pPr>
            <w:r>
              <w:rPr>
                <w:rFonts w:ascii="Arial" w:cs="Arial" w:eastAsia="Arial" w:hAnsi="Arial"/>
                <w:sz w:val="18"/>
                <w:szCs w:val="18"/>
                <w:color w:val="auto"/>
              </w:rPr>
              <w:t>2.</w:t>
            </w:r>
          </w:p>
        </w:tc>
        <w:tc>
          <w:tcPr>
            <w:tcW w:w="7460" w:type="dxa"/>
            <w:vAlign w:val="bottom"/>
            <w:gridSpan w:val="7"/>
          </w:tcPr>
          <w:p>
            <w:pPr>
              <w:ind w:left="600"/>
              <w:spacing w:after="0"/>
              <w:rPr>
                <w:sz w:val="20"/>
                <w:szCs w:val="20"/>
                <w:color w:val="auto"/>
              </w:rPr>
            </w:pPr>
            <w:r>
              <w:rPr>
                <w:rFonts w:ascii="Arial" w:cs="Arial" w:eastAsia="Arial" w:hAnsi="Arial"/>
                <w:sz w:val="18"/>
                <w:szCs w:val="18"/>
                <w:color w:val="auto"/>
              </w:rPr>
              <w:t>Consolidated Financial Statement Schedules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0" w:type="dxa"/>
            <w:vAlign w:val="bottom"/>
            <w:gridSpan w:val="8"/>
          </w:tcPr>
          <w:p>
            <w:pPr>
              <w:ind w:left="180"/>
              <w:spacing w:after="0"/>
              <w:rPr>
                <w:sz w:val="20"/>
                <w:szCs w:val="20"/>
                <w:color w:val="auto"/>
              </w:rPr>
            </w:pPr>
            <w:r>
              <w:rPr>
                <w:rFonts w:ascii="Arial" w:cs="Arial" w:eastAsia="Arial" w:hAnsi="Arial"/>
                <w:sz w:val="18"/>
                <w:szCs w:val="18"/>
                <w:color w:val="auto"/>
                <w:w w:val="93"/>
              </w:rPr>
              <w:t>All schedules are omitted as the information required is inapplicable or the information is presented in the</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8480" w:type="dxa"/>
            <w:vAlign w:val="bottom"/>
            <w:gridSpan w:val="10"/>
          </w:tcPr>
          <w:p>
            <w:pPr>
              <w:spacing w:after="0"/>
              <w:rPr>
                <w:sz w:val="20"/>
                <w:szCs w:val="20"/>
                <w:color w:val="auto"/>
              </w:rPr>
            </w:pPr>
            <w:r>
              <w:rPr>
                <w:rFonts w:ascii="Arial" w:cs="Arial" w:eastAsia="Arial" w:hAnsi="Arial"/>
                <w:sz w:val="18"/>
                <w:szCs w:val="18"/>
                <w:color w:val="auto"/>
              </w:rPr>
              <w:t>consolidated financial statements or the related notes.</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0"/>
        </w:trPr>
        <w:tc>
          <w:tcPr>
            <w:tcW w:w="1020" w:type="dxa"/>
            <w:vAlign w:val="bottom"/>
            <w:gridSpan w:val="3"/>
          </w:tcPr>
          <w:p>
            <w:pPr>
              <w:jc w:val="right"/>
              <w:ind w:right="30"/>
              <w:spacing w:after="0"/>
              <w:rPr>
                <w:sz w:val="20"/>
                <w:szCs w:val="20"/>
                <w:color w:val="auto"/>
              </w:rPr>
            </w:pPr>
            <w:r>
              <w:rPr>
                <w:rFonts w:ascii="Arial" w:cs="Arial" w:eastAsia="Arial" w:hAnsi="Arial"/>
                <w:sz w:val="18"/>
                <w:szCs w:val="18"/>
                <w:color w:val="auto"/>
              </w:rPr>
              <w:t>3.</w:t>
            </w:r>
          </w:p>
        </w:tc>
        <w:tc>
          <w:tcPr>
            <w:tcW w:w="7460" w:type="dxa"/>
            <w:vAlign w:val="bottom"/>
            <w:gridSpan w:val="7"/>
          </w:tcPr>
          <w:p>
            <w:pPr>
              <w:ind w:left="600"/>
              <w:spacing w:after="0"/>
              <w:rPr>
                <w:sz w:val="20"/>
                <w:szCs w:val="20"/>
                <w:color w:val="auto"/>
              </w:rPr>
            </w:pPr>
            <w:r>
              <w:rPr>
                <w:rFonts w:ascii="Arial" w:cs="Arial" w:eastAsia="Arial" w:hAnsi="Arial"/>
                <w:sz w:val="18"/>
                <w:szCs w:val="18"/>
                <w:color w:val="auto"/>
              </w:rPr>
              <w:t>Exhibits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0" w:type="dxa"/>
            <w:vAlign w:val="bottom"/>
            <w:gridSpan w:val="8"/>
          </w:tcPr>
          <w:p>
            <w:pPr>
              <w:ind w:left="180"/>
              <w:spacing w:after="0"/>
              <w:rPr>
                <w:sz w:val="20"/>
                <w:szCs w:val="20"/>
                <w:color w:val="auto"/>
              </w:rPr>
            </w:pPr>
            <w:r>
              <w:rPr>
                <w:rFonts w:ascii="Arial" w:cs="Arial" w:eastAsia="Arial" w:hAnsi="Arial"/>
                <w:sz w:val="18"/>
                <w:szCs w:val="18"/>
                <w:color w:val="auto"/>
                <w:w w:val="93"/>
              </w:rPr>
              <w:t>The list of exhibits filed with this report is set forth in the Exhibit Index following the signature page and is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480" w:type="dxa"/>
            <w:vAlign w:val="bottom"/>
            <w:gridSpan w:val="10"/>
          </w:tcPr>
          <w:p>
            <w:pPr>
              <w:spacing w:after="0"/>
              <w:rPr>
                <w:sz w:val="20"/>
                <w:szCs w:val="20"/>
                <w:color w:val="auto"/>
              </w:rPr>
            </w:pPr>
            <w:r>
              <w:rPr>
                <w:rFonts w:ascii="Arial" w:cs="Arial" w:eastAsia="Arial" w:hAnsi="Arial"/>
                <w:sz w:val="18"/>
                <w:szCs w:val="18"/>
                <w:color w:val="auto"/>
              </w:rPr>
              <w:t>incorporated herein by reference.</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28" w:name="page129"/>
    <w:bookmarkEnd w:id="1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8520" w:type="dxa"/>
            <w:vAlign w:val="bottom"/>
            <w:gridSpan w:val="8"/>
            <w:vMerge w:val="restart"/>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Report of Independent Registered Public Accounting Firm</w:t>
              </w:r>
            </w:hyperlink>
          </w:p>
        </w:tc>
        <w:tc>
          <w:tcPr>
            <w:tcW w:w="46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8520" w:type="dxa"/>
            <w:vAlign w:val="bottom"/>
            <w:gridSpan w:val="8"/>
            <w:vMerge w:val="continue"/>
          </w:tcPr>
          <w:p>
            <w:pPr>
              <w:spacing w:after="0"/>
              <w:rPr>
                <w:sz w:val="15"/>
                <w:szCs w:val="15"/>
                <w:color w:val="auto"/>
              </w:rPr>
            </w:pPr>
          </w:p>
        </w:tc>
        <w:tc>
          <w:tcPr>
            <w:tcW w:w="380" w:type="dxa"/>
            <w:vAlign w:val="bottom"/>
            <w:tcBorders>
              <w:top w:val="single" w:sz="8" w:color="auto"/>
            </w:tcBorders>
          </w:tcPr>
          <w:p>
            <w:pPr>
              <w:ind w:left="140"/>
              <w:spacing w:after="0" w:line="182" w:lineRule="exact"/>
              <w:rPr>
                <w:sz w:val="20"/>
                <w:szCs w:val="20"/>
                <w:color w:val="auto"/>
              </w:rPr>
            </w:pPr>
            <w:r>
              <w:rPr>
                <w:rFonts w:ascii="Arial" w:cs="Arial" w:eastAsia="Arial" w:hAnsi="Arial"/>
                <w:sz w:val="18"/>
                <w:szCs w:val="18"/>
                <w:color w:val="auto"/>
                <w:w w:val="82"/>
              </w:rPr>
              <w:t>F</w:t>
            </w:r>
            <w:r>
              <w:rPr>
                <w:rFonts w:ascii="MS PGothic" w:cs="MS PGothic" w:eastAsia="MS PGothic" w:hAnsi="MS PGothic"/>
                <w:sz w:val="18"/>
                <w:szCs w:val="18"/>
                <w:color w:val="auto"/>
                <w:w w:val="82"/>
              </w:rPr>
              <w:t>‑</w:t>
            </w:r>
            <w:r>
              <w:rPr>
                <w:rFonts w:ascii="Arial" w:cs="Arial" w:eastAsia="Arial" w:hAnsi="Arial"/>
                <w:sz w:val="18"/>
                <w:szCs w:val="18"/>
                <w:color w:val="auto"/>
                <w:w w:val="82"/>
              </w:rPr>
              <w:t>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0" w:type="dxa"/>
            <w:vAlign w:val="bottom"/>
            <w:tcBorders>
              <w:top w:val="single" w:sz="8" w:color="0000EE"/>
            </w:tcBorders>
            <w:gridSpan w:val="2"/>
          </w:tcPr>
          <w:p>
            <w:pPr>
              <w:spacing w:after="0" w:line="156" w:lineRule="exact"/>
              <w:rPr>
                <w:rFonts w:ascii="Arial" w:cs="Arial" w:eastAsia="Arial" w:hAnsi="Arial"/>
                <w:sz w:val="18"/>
                <w:szCs w:val="18"/>
                <w:color w:val="0000EE"/>
                <w:w w:val="87"/>
              </w:rPr>
            </w:pPr>
            <w:hyperlink w:anchor="page131">
              <w:r>
                <w:rPr>
                  <w:rFonts w:ascii="Arial" w:cs="Arial" w:eastAsia="Arial" w:hAnsi="Arial"/>
                  <w:sz w:val="18"/>
                  <w:szCs w:val="18"/>
                  <w:color w:val="0000EE"/>
                  <w:w w:val="87"/>
                </w:rPr>
                <w:t>Consolidated Balance Sheets as of December 31, 2017 and</w:t>
              </w:r>
            </w:hyperlink>
          </w:p>
        </w:tc>
        <w:tc>
          <w:tcPr>
            <w:tcW w:w="2680" w:type="dxa"/>
            <w:vAlign w:val="bottom"/>
            <w:gridSpan w:val="2"/>
          </w:tcPr>
          <w:p>
            <w:pPr>
              <w:jc w:val="center"/>
              <w:ind w:right="2240"/>
              <w:spacing w:after="0" w:line="156" w:lineRule="exact"/>
              <w:rPr>
                <w:rFonts w:ascii="Arial" w:cs="Arial" w:eastAsia="Arial" w:hAnsi="Arial"/>
                <w:sz w:val="18"/>
                <w:szCs w:val="18"/>
                <w:color w:val="0000EE"/>
                <w:w w:val="99"/>
              </w:rPr>
            </w:pPr>
            <w:hyperlink w:anchor="page131">
              <w:r>
                <w:rPr>
                  <w:rFonts w:ascii="Arial" w:cs="Arial" w:eastAsia="Arial" w:hAnsi="Arial"/>
                  <w:sz w:val="18"/>
                  <w:szCs w:val="18"/>
                  <w:color w:val="0000EE"/>
                  <w:w w:val="99"/>
                </w:rPr>
                <w:t>2016</w:t>
              </w:r>
            </w:hyperlink>
          </w:p>
        </w:tc>
        <w:tc>
          <w:tcPr>
            <w:tcW w:w="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gridSpan w:val="2"/>
          </w:tcPr>
          <w:p>
            <w:pPr>
              <w:ind w:left="140"/>
              <w:spacing w:after="0" w:line="156" w:lineRule="exact"/>
              <w:rPr>
                <w:sz w:val="20"/>
                <w:szCs w:val="20"/>
                <w:color w:val="auto"/>
              </w:rPr>
            </w:pPr>
            <w:r>
              <w:rPr>
                <w:rFonts w:ascii="Arial" w:cs="Arial" w:eastAsia="Arial" w:hAnsi="Arial"/>
                <w:sz w:val="18"/>
                <w:szCs w:val="18"/>
                <w:color w:val="auto"/>
              </w:rPr>
              <w:t>F</w:t>
            </w:r>
            <w:r>
              <w:rPr>
                <w:rFonts w:ascii="MS PGothic" w:cs="MS PGothic" w:eastAsia="MS PGothic" w:hAnsi="MS PGothic"/>
                <w:sz w:val="18"/>
                <w:szCs w:val="18"/>
                <w:color w:val="auto"/>
              </w:rPr>
              <w:t>‑</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vMerge w:val="restart"/>
          </w:tcPr>
          <w:p>
            <w:pPr>
              <w:ind w:left="140"/>
              <w:spacing w:after="0" w:line="176" w:lineRule="exact"/>
              <w:rPr>
                <w:sz w:val="20"/>
                <w:szCs w:val="20"/>
                <w:color w:val="auto"/>
              </w:rPr>
            </w:pPr>
            <w:r>
              <w:rPr>
                <w:rFonts w:ascii="Arial" w:cs="Arial" w:eastAsia="Arial" w:hAnsi="Arial"/>
                <w:sz w:val="18"/>
                <w:szCs w:val="18"/>
                <w:color w:val="auto"/>
              </w:rPr>
              <w:t>F</w:t>
            </w:r>
            <w:r>
              <w:rPr>
                <w:rFonts w:ascii="MS PGothic" w:cs="MS PGothic" w:eastAsia="MS PGothic" w:hAnsi="MS PGothic"/>
                <w:sz w:val="18"/>
                <w:szCs w:val="18"/>
                <w:color w:val="auto"/>
              </w:rPr>
              <w:t>‑</w:t>
            </w: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56"/>
        </w:trPr>
        <w:tc>
          <w:tcPr>
            <w:tcW w:w="80" w:type="dxa"/>
            <w:vAlign w:val="bottom"/>
          </w:tcPr>
          <w:p>
            <w:pPr>
              <w:spacing w:after="0"/>
              <w:rPr>
                <w:sz w:val="13"/>
                <w:szCs w:val="13"/>
                <w:color w:val="auto"/>
              </w:rPr>
            </w:pPr>
          </w:p>
        </w:tc>
        <w:tc>
          <w:tcPr>
            <w:tcW w:w="6900" w:type="dxa"/>
            <w:vAlign w:val="bottom"/>
            <w:tcBorders>
              <w:bottom w:val="single" w:sz="8" w:color="0000EE"/>
            </w:tcBorders>
            <w:gridSpan w:val="5"/>
          </w:tcPr>
          <w:p>
            <w:pPr>
              <w:spacing w:after="0" w:line="156" w:lineRule="exact"/>
              <w:rPr>
                <w:rFonts w:ascii="Arial" w:cs="Arial" w:eastAsia="Arial" w:hAnsi="Arial"/>
                <w:sz w:val="18"/>
                <w:szCs w:val="18"/>
                <w:color w:val="0000EE"/>
                <w:w w:val="89"/>
              </w:rPr>
            </w:pPr>
            <w:hyperlink w:anchor="page132">
              <w:r>
                <w:rPr>
                  <w:rFonts w:ascii="Arial" w:cs="Arial" w:eastAsia="Arial" w:hAnsi="Arial"/>
                  <w:sz w:val="18"/>
                  <w:szCs w:val="18"/>
                  <w:color w:val="0000EE"/>
                  <w:w w:val="89"/>
                </w:rPr>
                <w:t>Consolidated Statements of Operations for the years ended December 31, 2017, 2016, and 2015</w:t>
              </w:r>
            </w:hyperlink>
          </w:p>
        </w:tc>
        <w:tc>
          <w:tcPr>
            <w:tcW w:w="1620" w:type="dxa"/>
            <w:vAlign w:val="bottom"/>
            <w:gridSpan w:val="3"/>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8520" w:type="dxa"/>
            <w:vAlign w:val="bottom"/>
            <w:gridSpan w:val="8"/>
          </w:tcPr>
          <w:p>
            <w:pPr>
              <w:spacing w:after="0" w:line="156" w:lineRule="exact"/>
              <w:rPr>
                <w:rFonts w:ascii="Arial" w:cs="Arial" w:eastAsia="Arial" w:hAnsi="Arial"/>
                <w:sz w:val="18"/>
                <w:szCs w:val="18"/>
                <w:color w:val="0000EE"/>
                <w:w w:val="92"/>
              </w:rPr>
            </w:pPr>
            <w:hyperlink w:anchor="page133">
              <w:r>
                <w:rPr>
                  <w:rFonts w:ascii="Arial" w:cs="Arial" w:eastAsia="Arial" w:hAnsi="Arial"/>
                  <w:sz w:val="18"/>
                  <w:szCs w:val="18"/>
                  <w:color w:val="0000EE"/>
                  <w:w w:val="92"/>
                </w:rPr>
                <w:t>Consolidated Statements of Stockholders’ Equity (Deficit) for the years ended December 31, 2017, 2016, and 2015</w:t>
              </w:r>
            </w:hyperlink>
          </w:p>
        </w:tc>
        <w:tc>
          <w:tcPr>
            <w:tcW w:w="460" w:type="dxa"/>
            <w:vAlign w:val="bottom"/>
            <w:gridSpan w:val="2"/>
          </w:tcPr>
          <w:p>
            <w:pPr>
              <w:ind w:left="140"/>
              <w:spacing w:after="0" w:line="156" w:lineRule="exact"/>
              <w:rPr>
                <w:sz w:val="20"/>
                <w:szCs w:val="20"/>
                <w:color w:val="auto"/>
              </w:rPr>
            </w:pPr>
            <w:r>
              <w:rPr>
                <w:rFonts w:ascii="Arial" w:cs="Arial" w:eastAsia="Arial" w:hAnsi="Arial"/>
                <w:sz w:val="18"/>
                <w:szCs w:val="18"/>
                <w:color w:val="auto"/>
              </w:rPr>
              <w:t>F</w:t>
            </w:r>
            <w:r>
              <w:rPr>
                <w:rFonts w:ascii="MS PGothic" w:cs="MS PGothic" w:eastAsia="MS PGothic" w:hAnsi="MS PGothic"/>
                <w:sz w:val="18"/>
                <w:szCs w:val="18"/>
                <w:color w:val="auto"/>
              </w:rPr>
              <w:t>‑</w:t>
            </w: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8300" w:type="dxa"/>
            <w:vAlign w:val="bottom"/>
            <w:tcBorders>
              <w:top w:val="single" w:sz="8" w:color="0000EE"/>
            </w:tcBorders>
            <w:gridSpan w:val="7"/>
          </w:tcPr>
          <w:p>
            <w:pPr>
              <w:spacing w:after="0" w:line="156" w:lineRule="exact"/>
              <w:rPr>
                <w:rFonts w:ascii="Arial" w:cs="Arial" w:eastAsia="Arial" w:hAnsi="Arial"/>
                <w:sz w:val="18"/>
                <w:szCs w:val="18"/>
                <w:color w:val="0000EE"/>
              </w:rPr>
            </w:pPr>
            <w:hyperlink w:anchor="page134">
              <w:r>
                <w:rPr>
                  <w:rFonts w:ascii="Arial" w:cs="Arial" w:eastAsia="Arial" w:hAnsi="Arial"/>
                  <w:sz w:val="18"/>
                  <w:szCs w:val="18"/>
                  <w:color w:val="0000EE"/>
                </w:rPr>
                <w:t>Consolidated Statements of Cash Flows for the years ended December 31, 2017, 2016, and 2015</w:t>
              </w:r>
            </w:hyperlink>
          </w:p>
        </w:tc>
        <w:tc>
          <w:tcPr>
            <w:tcW w:w="220" w:type="dxa"/>
            <w:vAlign w:val="bottom"/>
          </w:tcPr>
          <w:p>
            <w:pPr>
              <w:spacing w:after="0"/>
              <w:rPr>
                <w:sz w:val="13"/>
                <w:szCs w:val="13"/>
                <w:color w:val="auto"/>
              </w:rPr>
            </w:pPr>
          </w:p>
        </w:tc>
        <w:tc>
          <w:tcPr>
            <w:tcW w:w="460" w:type="dxa"/>
            <w:vAlign w:val="bottom"/>
            <w:gridSpan w:val="2"/>
          </w:tcPr>
          <w:p>
            <w:pPr>
              <w:ind w:left="140"/>
              <w:spacing w:after="0" w:line="156" w:lineRule="exact"/>
              <w:rPr>
                <w:sz w:val="20"/>
                <w:szCs w:val="20"/>
                <w:color w:val="auto"/>
              </w:rPr>
            </w:pPr>
            <w:r>
              <w:rPr>
                <w:rFonts w:ascii="Arial" w:cs="Arial" w:eastAsia="Arial" w:hAnsi="Arial"/>
                <w:sz w:val="18"/>
                <w:szCs w:val="18"/>
                <w:color w:val="auto"/>
              </w:rPr>
              <w:t>F</w:t>
            </w:r>
            <w:r>
              <w:rPr>
                <w:rFonts w:ascii="MS PGothic" w:cs="MS PGothic" w:eastAsia="MS PGothic" w:hAnsi="MS PGothic"/>
                <w:sz w:val="18"/>
                <w:szCs w:val="18"/>
                <w:color w:val="auto"/>
              </w:rPr>
              <w:t>‑</w:t>
            </w: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6960" w:type="dxa"/>
            <w:vAlign w:val="bottom"/>
            <w:tcBorders>
              <w:top w:val="single" w:sz="8" w:color="0000EE"/>
            </w:tcBorders>
            <w:gridSpan w:val="6"/>
          </w:tcPr>
          <w:p>
            <w:pPr>
              <w:spacing w:after="0" w:line="156" w:lineRule="exact"/>
              <w:rPr>
                <w:rFonts w:ascii="Arial" w:cs="Arial" w:eastAsia="Arial" w:hAnsi="Arial"/>
                <w:sz w:val="18"/>
                <w:szCs w:val="18"/>
                <w:color w:val="0000EE"/>
              </w:rPr>
            </w:pPr>
            <w:hyperlink w:anchor="page135">
              <w:r>
                <w:rPr>
                  <w:rFonts w:ascii="Arial" w:cs="Arial" w:eastAsia="Arial" w:hAnsi="Arial"/>
                  <w:sz w:val="18"/>
                  <w:szCs w:val="18"/>
                  <w:color w:val="0000EE"/>
                </w:rPr>
                <w:t>Notes to Consolidated Financial Statements</w:t>
              </w:r>
            </w:hyperlink>
          </w:p>
        </w:tc>
        <w:tc>
          <w:tcPr>
            <w:tcW w:w="1560" w:type="dxa"/>
            <w:vAlign w:val="bottom"/>
            <w:gridSpan w:val="2"/>
          </w:tcPr>
          <w:p>
            <w:pPr>
              <w:spacing w:after="0"/>
              <w:rPr>
                <w:sz w:val="13"/>
                <w:szCs w:val="13"/>
                <w:color w:val="auto"/>
              </w:rPr>
            </w:pPr>
          </w:p>
        </w:tc>
        <w:tc>
          <w:tcPr>
            <w:tcW w:w="460" w:type="dxa"/>
            <w:vAlign w:val="bottom"/>
            <w:gridSpan w:val="2"/>
          </w:tcPr>
          <w:p>
            <w:pPr>
              <w:ind w:left="140"/>
              <w:spacing w:after="0" w:line="156" w:lineRule="exact"/>
              <w:rPr>
                <w:sz w:val="20"/>
                <w:szCs w:val="20"/>
                <w:color w:val="auto"/>
              </w:rPr>
            </w:pPr>
            <w:r>
              <w:rPr>
                <w:rFonts w:ascii="Arial" w:cs="Arial" w:eastAsia="Arial" w:hAnsi="Arial"/>
                <w:sz w:val="18"/>
                <w:szCs w:val="18"/>
                <w:color w:val="auto"/>
              </w:rPr>
              <w:t>F</w:t>
            </w:r>
            <w:r>
              <w:rPr>
                <w:rFonts w:ascii="MS PGothic" w:cs="MS PGothic" w:eastAsia="MS PGothic" w:hAnsi="MS PGothic"/>
                <w:sz w:val="18"/>
                <w:szCs w:val="18"/>
                <w:color w:val="auto"/>
              </w:rPr>
              <w:t>‑</w:t>
            </w: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168"/>
        </w:trPr>
        <w:tc>
          <w:tcPr>
            <w:tcW w:w="100" w:type="dxa"/>
            <w:vAlign w:val="bottom"/>
            <w:gridSpan w:val="2"/>
          </w:tcPr>
          <w:p>
            <w:pPr>
              <w:spacing w:after="0"/>
              <w:rPr>
                <w:sz w:val="24"/>
                <w:szCs w:val="24"/>
                <w:color w:val="auto"/>
              </w:rPr>
            </w:pPr>
          </w:p>
        </w:tc>
        <w:tc>
          <w:tcPr>
            <w:tcW w:w="3120" w:type="dxa"/>
            <w:vAlign w:val="bottom"/>
            <w:tcBorders>
              <w:top w:val="single" w:sz="8" w:color="0000EE"/>
            </w:tcBorders>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2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129" w:name="page130"/>
    <w:bookmarkEnd w:id="1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Axsome Therapeutics,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8"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We have audited the accompanying consolidated balance sheets of Axsome Therapeutics, Inc. (the “Company”) as of December 31, 2017 and 2016, the related consolidated statements of operations, stockholders’ equity (deficit), and cash flows, for each of the three years in the period ended December 31, 2017, and the related notes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each of the three years in the period ended December 31, 2017, in conformity with U.S. generally accepted accounting principles.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right="140"/>
        <w:spacing w:after="0" w:line="216"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ind w:right="100"/>
        <w:spacing w:after="0" w:line="22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opinion.</w:t>
      </w:r>
    </w:p>
    <w:p>
      <w:pPr>
        <w:spacing w:after="0" w:line="125" w:lineRule="exact"/>
        <w:rPr>
          <w:sz w:val="20"/>
          <w:szCs w:val="20"/>
          <w:color w:val="auto"/>
        </w:rPr>
      </w:pPr>
    </w:p>
    <w:p>
      <w:pPr>
        <w:ind w:right="160"/>
        <w:spacing w:after="0" w:line="24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03" w:lineRule="auto"/>
        <w:rPr>
          <w:sz w:val="20"/>
          <w:szCs w:val="20"/>
          <w:color w:val="auto"/>
        </w:rPr>
      </w:pPr>
      <w:r>
        <w:rPr>
          <w:rFonts w:ascii="Arial" w:cs="Arial" w:eastAsia="Arial" w:hAnsi="Arial"/>
          <w:sz w:val="18"/>
          <w:szCs w:val="18"/>
          <w:color w:val="auto"/>
        </w:rPr>
        <w:t>New York, New York</w:t>
      </w:r>
    </w:p>
    <w:p>
      <w:pPr>
        <w:spacing w:after="0"/>
        <w:rPr>
          <w:sz w:val="20"/>
          <w:szCs w:val="20"/>
          <w:color w:val="auto"/>
        </w:rPr>
      </w:pPr>
      <w:r>
        <w:rPr>
          <w:rFonts w:ascii="Arial" w:cs="Arial" w:eastAsia="Arial" w:hAnsi="Arial"/>
          <w:sz w:val="18"/>
          <w:szCs w:val="18"/>
          <w:color w:val="auto"/>
        </w:rPr>
        <w:t>March 7, 2018</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30" w:name="page131"/>
    <w:bookmarkEnd w:id="1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6"/>
          </w:tcPr>
          <w:p>
            <w:pPr>
              <w:ind w:lef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52"/>
              <w:spacing w:after="0" w:line="129"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371"/>
              <w:spacing w:after="0" w:line="129"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2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20" w:type="dxa"/>
            <w:vAlign w:val="bottom"/>
          </w:tcPr>
          <w:p>
            <w:pPr>
              <w:spacing w:after="0" w:line="176" w:lineRule="exact"/>
              <w:rPr>
                <w:sz w:val="20"/>
                <w:szCs w:val="20"/>
                <w:color w:val="auto"/>
              </w:rPr>
            </w:pPr>
            <w:r>
              <w:rPr>
                <w:rFonts w:ascii="Arial" w:cs="Arial" w:eastAsia="Arial" w:hAnsi="Arial"/>
                <w:sz w:val="18"/>
                <w:szCs w:val="18"/>
                <w:color w:val="auto"/>
              </w:rPr>
              <w:t>Current assets: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2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rPr>
              <w:t>Cash</w:t>
            </w:r>
          </w:p>
        </w:tc>
        <w:tc>
          <w:tcPr>
            <w:tcW w:w="2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34,021,123</w:t>
            </w:r>
          </w:p>
        </w:tc>
        <w:tc>
          <w:tcPr>
            <w:tcW w:w="1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5"/>
              <w:spacing w:after="0" w:line="17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36,618,497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20" w:type="dxa"/>
            <w:vAlign w:val="bottom"/>
            <w:tcBorders>
              <w:bottom w:val="single" w:sz="8" w:color="CCEEFF"/>
            </w:tcBorders>
          </w:tcPr>
          <w:p>
            <w:pPr>
              <w:ind w:left="300"/>
              <w:spacing w:after="0" w:line="176" w:lineRule="exact"/>
              <w:rPr>
                <w:sz w:val="20"/>
                <w:szCs w:val="20"/>
                <w:color w:val="auto"/>
              </w:rPr>
            </w:pPr>
            <w:r>
              <w:rPr>
                <w:rFonts w:ascii="Arial" w:cs="Arial" w:eastAsia="Arial" w:hAnsi="Arial"/>
                <w:sz w:val="18"/>
                <w:szCs w:val="18"/>
                <w:color w:val="auto"/>
              </w:rPr>
              <w:t>Prepaid and other current assets</w:t>
            </w: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1,278,418</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1,380,560</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current assets</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35,299,541</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37,999,057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20" w:type="dxa"/>
            <w:vAlign w:val="bottom"/>
          </w:tcPr>
          <w:p>
            <w:pPr>
              <w:spacing w:after="0" w:line="176" w:lineRule="exact"/>
              <w:rPr>
                <w:sz w:val="20"/>
                <w:szCs w:val="20"/>
                <w:color w:val="auto"/>
              </w:rPr>
            </w:pPr>
            <w:r>
              <w:rPr>
                <w:rFonts w:ascii="Arial" w:cs="Arial" w:eastAsia="Arial" w:hAnsi="Arial"/>
                <w:sz w:val="18"/>
                <w:szCs w:val="18"/>
                <w:color w:val="auto"/>
              </w:rPr>
              <w:t>Equipment, net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68,071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100,730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assets</w:t>
            </w:r>
          </w:p>
        </w:tc>
        <w:tc>
          <w:tcPr>
            <w:tcW w:w="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187,952</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112,821</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2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assets</w:t>
            </w: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35,555,564</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38,212,608</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2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20" w:type="dxa"/>
            <w:vAlign w:val="bottom"/>
          </w:tcPr>
          <w:p>
            <w:pPr>
              <w:spacing w:after="0" w:line="176" w:lineRule="exact"/>
              <w:rPr>
                <w:sz w:val="20"/>
                <w:szCs w:val="20"/>
                <w:color w:val="auto"/>
              </w:rPr>
            </w:pPr>
            <w:r>
              <w:rPr>
                <w:rFonts w:ascii="Arial" w:cs="Arial" w:eastAsia="Arial" w:hAnsi="Arial"/>
                <w:sz w:val="18"/>
                <w:szCs w:val="18"/>
                <w:color w:val="auto"/>
              </w:rPr>
              <w:t>Current liabilities: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2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3,435,456</w:t>
            </w:r>
          </w:p>
        </w:tc>
        <w:tc>
          <w:tcPr>
            <w:tcW w:w="1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5"/>
              <w:spacing w:after="0" w:line="17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4,081,173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20" w:type="dxa"/>
            <w:vAlign w:val="bottom"/>
          </w:tcPr>
          <w:p>
            <w:pPr>
              <w:ind w:left="300"/>
              <w:spacing w:after="0" w:line="176" w:lineRule="exact"/>
              <w:rPr>
                <w:sz w:val="20"/>
                <w:szCs w:val="20"/>
                <w:color w:val="auto"/>
              </w:rPr>
            </w:pPr>
            <w:r>
              <w:rPr>
                <w:rFonts w:ascii="Arial" w:cs="Arial" w:eastAsia="Arial" w:hAnsi="Arial"/>
                <w:sz w:val="18"/>
                <w:szCs w:val="18"/>
                <w:color w:val="auto"/>
              </w:rPr>
              <w:t>Accrued expenses and other current liabilities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2,679,534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2,820,377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2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rPr>
              <w:t>Loan payable, current portion</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3,269,346</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269,162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20" w:type="dxa"/>
            <w:vAlign w:val="bottom"/>
          </w:tcPr>
          <w:p>
            <w:pPr>
              <w:ind w:left="300"/>
              <w:spacing w:after="0" w:line="176" w:lineRule="exact"/>
              <w:rPr>
                <w:sz w:val="20"/>
                <w:szCs w:val="20"/>
                <w:color w:val="auto"/>
              </w:rPr>
            </w:pPr>
            <w:r>
              <w:rPr>
                <w:rFonts w:ascii="Arial" w:cs="Arial" w:eastAsia="Arial" w:hAnsi="Arial"/>
                <w:sz w:val="18"/>
                <w:szCs w:val="18"/>
                <w:color w:val="auto"/>
              </w:rPr>
              <w:t>Warrant liability</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2,791,000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current liabilities</w:t>
            </w: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12,175,336</w:t>
            </w: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7,170,712</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Loan payable, long-term</w:t>
            </w: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6,663,005</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9,470,445</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liabilities</w:t>
            </w:r>
          </w:p>
        </w:tc>
        <w:tc>
          <w:tcPr>
            <w:tcW w:w="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18,838,341</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16,641,157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20" w:type="dxa"/>
            <w:vAlign w:val="bottom"/>
          </w:tcPr>
          <w:p>
            <w:pPr>
              <w:spacing w:after="0" w:line="170" w:lineRule="exact"/>
              <w:rPr>
                <w:sz w:val="20"/>
                <w:szCs w:val="20"/>
                <w:color w:val="auto"/>
              </w:rPr>
            </w:pPr>
            <w:r>
              <w:rPr>
                <w:rFonts w:ascii="Arial" w:cs="Arial" w:eastAsia="Arial" w:hAnsi="Arial"/>
                <w:sz w:val="18"/>
                <w:szCs w:val="18"/>
                <w:color w:val="auto"/>
              </w:rPr>
              <w:t>Stockholders’ equity:</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w w:val="94"/>
              </w:rPr>
              <w:t>Preferred stock, $0.0001 par value per share (10,000,000 shares authorized, none issued</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 outstanding at December 31, 2017 and December 31, 2016, respectively)</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line="149" w:lineRule="exact"/>
              <w:rPr>
                <w:sz w:val="20"/>
                <w:szCs w:val="20"/>
                <w:color w:val="auto"/>
              </w:rPr>
            </w:pPr>
            <w:r>
              <w:rPr>
                <w:rFonts w:ascii="Arial" w:cs="Arial" w:eastAsia="Arial" w:hAnsi="Arial"/>
                <w:sz w:val="17"/>
                <w:szCs w:val="17"/>
                <w:color w:val="auto"/>
                <w:w w:val="94"/>
              </w:rPr>
              <w:t>Common stock, $0.0001 par value per share (150,000,000 shares authorized, 25,492,992</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440" w:type="dxa"/>
            <w:vAlign w:val="bottom"/>
            <w:gridSpan w:val="2"/>
          </w:tcPr>
          <w:p>
            <w:pPr>
              <w:spacing w:after="0" w:line="176" w:lineRule="exact"/>
              <w:rPr>
                <w:sz w:val="20"/>
                <w:szCs w:val="20"/>
                <w:color w:val="auto"/>
              </w:rPr>
            </w:pPr>
            <w:r>
              <w:rPr>
                <w:rFonts w:ascii="Arial" w:cs="Arial" w:eastAsia="Arial" w:hAnsi="Arial"/>
                <w:sz w:val="18"/>
                <w:szCs w:val="18"/>
                <w:color w:val="auto"/>
                <w:w w:val="90"/>
              </w:rPr>
              <w:t>and 19,158,417 shares issued and outstanding at December 31, 2017 and December 31,</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2,549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1,916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40" w:type="dxa"/>
            <w:vAlign w:val="bottom"/>
            <w:gridSpan w:val="2"/>
          </w:tcPr>
          <w:p>
            <w:pPr>
              <w:spacing w:after="0" w:line="202" w:lineRule="exact"/>
              <w:rPr>
                <w:sz w:val="20"/>
                <w:szCs w:val="20"/>
                <w:color w:val="auto"/>
              </w:rPr>
            </w:pPr>
            <w:r>
              <w:rPr>
                <w:rFonts w:ascii="Arial" w:cs="Arial" w:eastAsia="Arial" w:hAnsi="Arial"/>
                <w:sz w:val="18"/>
                <w:szCs w:val="18"/>
                <w:color w:val="auto"/>
              </w:rPr>
              <w:t>2016, respectively)</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Additional paid-in capital</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93,299,517</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69,210,986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20" w:type="dxa"/>
            <w:vAlign w:val="bottom"/>
          </w:tcPr>
          <w:p>
            <w:pPr>
              <w:spacing w:after="0" w:line="176" w:lineRule="exact"/>
              <w:rPr>
                <w:sz w:val="20"/>
                <w:szCs w:val="20"/>
                <w:color w:val="auto"/>
              </w:rPr>
            </w:pPr>
            <w:r>
              <w:rPr>
                <w:rFonts w:ascii="Arial" w:cs="Arial" w:eastAsia="Arial" w:hAnsi="Arial"/>
                <w:sz w:val="18"/>
                <w:szCs w:val="18"/>
                <w:color w:val="auto"/>
              </w:rPr>
              <w:t>Accumulated deficit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w w:val="95"/>
              </w:rPr>
              <w:t>(76,584,843)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w w:val="99"/>
              </w:rPr>
              <w:t>(47,641,451)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stockholders’ equity</w:t>
            </w: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16,717,223</w:t>
            </w: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21,571,451</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20" w:type="dxa"/>
            <w:vAlign w:val="bottom"/>
          </w:tcPr>
          <w:p>
            <w:pPr>
              <w:spacing w:after="0" w:line="170" w:lineRule="exact"/>
              <w:rPr>
                <w:sz w:val="20"/>
                <w:szCs w:val="20"/>
                <w:color w:val="auto"/>
              </w:rPr>
            </w:pPr>
            <w:r>
              <w:rPr>
                <w:rFonts w:ascii="Arial" w:cs="Arial" w:eastAsia="Arial" w:hAnsi="Arial"/>
                <w:sz w:val="18"/>
                <w:szCs w:val="18"/>
                <w:color w:val="auto"/>
              </w:rPr>
              <w:t>Total liabilities and stockholders’ equity</w:t>
            </w:r>
          </w:p>
        </w:tc>
        <w:tc>
          <w:tcPr>
            <w:tcW w:w="4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35,555,564</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38,212,608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1" w:name="page132"/>
    <w:bookmarkEnd w:id="1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Axsome Therapeutics, Inc.</w:t>
      </w: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73"/>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51"/>
              <w:spacing w:after="0" w:line="129"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51"/>
              <w:spacing w:after="0" w:line="129"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20" w:type="dxa"/>
            <w:vAlign w:val="bottom"/>
          </w:tcPr>
          <w:p>
            <w:pPr>
              <w:ind w:left="200"/>
              <w:spacing w:after="0" w:line="176" w:lineRule="exact"/>
              <w:rPr>
                <w:sz w:val="20"/>
                <w:szCs w:val="20"/>
                <w:color w:val="auto"/>
              </w:rPr>
            </w:pPr>
            <w:r>
              <w:rPr>
                <w:rFonts w:ascii="Arial" w:cs="Arial" w:eastAsia="Arial" w:hAnsi="Arial"/>
                <w:sz w:val="18"/>
                <w:szCs w:val="18"/>
                <w:color w:val="auto"/>
              </w:rPr>
              <w:t>Research and development</w:t>
            </w:r>
          </w:p>
        </w:tc>
        <w:tc>
          <w:tcPr>
            <w:tcW w:w="44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19,957,616</w:t>
            </w:r>
          </w:p>
        </w:tc>
        <w:tc>
          <w:tcPr>
            <w:tcW w:w="60" w:type="dxa"/>
            <w:vAlign w:val="bottom"/>
          </w:tcPr>
          <w:p>
            <w:pPr>
              <w:spacing w:after="0"/>
              <w:rPr>
                <w:sz w:val="15"/>
                <w:szCs w:val="15"/>
                <w:color w:val="auto"/>
              </w:rPr>
            </w:pPr>
          </w:p>
        </w:tc>
        <w:tc>
          <w:tcPr>
            <w:tcW w:w="24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21,199,860</w:t>
            </w:r>
          </w:p>
        </w:tc>
        <w:tc>
          <w:tcPr>
            <w:tcW w:w="3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6,776,987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7,206,691</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6,343,648</w:t>
            </w: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2,419,289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2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27,164,307</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27,543,508</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9,196,276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(27,164,307)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(27,543,508)</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(9,196,276)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20" w:type="dxa"/>
            <w:vAlign w:val="bottom"/>
          </w:tcPr>
          <w:p>
            <w:pPr>
              <w:spacing w:after="0" w:line="176" w:lineRule="exact"/>
              <w:rPr>
                <w:sz w:val="20"/>
                <w:szCs w:val="20"/>
                <w:color w:val="auto"/>
              </w:rPr>
            </w:pPr>
            <w:r>
              <w:rPr>
                <w:rFonts w:ascii="Arial" w:cs="Arial" w:eastAsia="Arial" w:hAnsi="Arial"/>
                <w:sz w:val="18"/>
                <w:szCs w:val="18"/>
                <w:color w:val="auto"/>
              </w:rPr>
              <w:t>Interest and amortization of debt discount expense</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(1,340,199)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(132,424)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(736,048)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Tax credit</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207,114</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474,279</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20" w:type="dxa"/>
            <w:vAlign w:val="bottom"/>
          </w:tcPr>
          <w:p>
            <w:pPr>
              <w:spacing w:after="0" w:line="176" w:lineRule="exact"/>
              <w:rPr>
                <w:sz w:val="20"/>
                <w:szCs w:val="20"/>
                <w:color w:val="auto"/>
              </w:rPr>
            </w:pPr>
            <w:r>
              <w:rPr>
                <w:rFonts w:ascii="Arial" w:cs="Arial" w:eastAsia="Arial" w:hAnsi="Arial"/>
                <w:sz w:val="18"/>
                <w:szCs w:val="18"/>
                <w:color w:val="auto"/>
              </w:rPr>
              <w:t>Change in fair value of warrant liability</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(646,000)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(108,539)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Change in fair value of embedded derivative liabilities</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274,800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20" w:type="dxa"/>
            <w:vAlign w:val="bottom"/>
          </w:tcPr>
          <w:p>
            <w:pPr>
              <w:spacing w:after="0" w:line="176" w:lineRule="exact"/>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(2,444,516)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2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loss</w:t>
            </w: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(28,943,392)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(27,201,653)</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(12,210,579)</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920" w:type="dxa"/>
            <w:vAlign w:val="bottom"/>
            <w:tcBorders>
              <w:bottom w:val="single" w:sz="8" w:color="CCEEFF"/>
            </w:tcBorders>
          </w:tcPr>
          <w:p>
            <w:pPr>
              <w:spacing w:after="0" w:line="163" w:lineRule="exact"/>
              <w:rPr>
                <w:sz w:val="20"/>
                <w:szCs w:val="20"/>
                <w:color w:val="auto"/>
              </w:rPr>
            </w:pPr>
            <w:r>
              <w:rPr>
                <w:rFonts w:ascii="Arial" w:cs="Arial" w:eastAsia="Arial" w:hAnsi="Arial"/>
                <w:sz w:val="18"/>
                <w:szCs w:val="18"/>
                <w:color w:val="auto"/>
              </w:rPr>
              <w:t>Net loss per common share, basic and diluted</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5"/>
              <w:spacing w:after="0" w:line="163"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(1.27)</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5"/>
              <w:spacing w:after="0" w:line="163"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(1.42)</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(1.02)</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3"/>
              </w:rPr>
              <w:t>Weighted average common shares outstanding, basic and diluted</w:t>
            </w:r>
          </w:p>
        </w:tc>
        <w:tc>
          <w:tcPr>
            <w:tcW w:w="2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22,764,606</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19,150,690</w:t>
            </w: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11,945,318</w:t>
            </w: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11" w:right="1379" w:bottom="1440" w:gutter="0" w:footer="0" w:header="0"/>
        </w:sectPr>
      </w:pPr>
    </w:p>
    <w:bookmarkStart w:id="132" w:name="page133"/>
    <w:bookmarkEnd w:id="1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48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0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12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1"/>
              </w:rPr>
              <w:t>Total stockholders’</w:t>
            </w:r>
          </w:p>
        </w:tc>
        <w:tc>
          <w:tcPr>
            <w:tcW w:w="0" w:type="dxa"/>
            <w:vAlign w:val="bottom"/>
          </w:tcPr>
          <w:p>
            <w:pPr>
              <w:spacing w:after="0"/>
              <w:rPr>
                <w:sz w:val="1"/>
                <w:szCs w:val="1"/>
                <w:color w:val="auto"/>
              </w:rPr>
            </w:pPr>
          </w:p>
        </w:tc>
      </w:tr>
      <w:tr>
        <w:trPr>
          <w:trHeight w:val="102"/>
        </w:trPr>
        <w:tc>
          <w:tcPr>
            <w:tcW w:w="4040" w:type="dxa"/>
            <w:vAlign w:val="bottom"/>
          </w:tcPr>
          <w:p>
            <w:pPr>
              <w:spacing w:after="0"/>
              <w:rPr>
                <w:sz w:val="8"/>
                <w:szCs w:val="8"/>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8"/>
                <w:szCs w:val="8"/>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paid-in capital</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deficit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equity (deficit)</w:t>
            </w:r>
          </w:p>
        </w:tc>
        <w:tc>
          <w:tcPr>
            <w:tcW w:w="0" w:type="dxa"/>
            <w:vAlign w:val="bottom"/>
          </w:tcPr>
          <w:p>
            <w:pPr>
              <w:spacing w:after="0"/>
              <w:rPr>
                <w:sz w:val="1"/>
                <w:szCs w:val="1"/>
                <w:color w:val="auto"/>
              </w:rPr>
            </w:pPr>
          </w:p>
        </w:tc>
      </w:tr>
      <w:tr>
        <w:trPr>
          <w:trHeight w:val="129"/>
        </w:trPr>
        <w:tc>
          <w:tcPr>
            <w:tcW w:w="40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Balance at December 31, 2014</w:t>
            </w: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11,108,144</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1,111</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5,025,533</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(8,229,219)</w:t>
            </w: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5"/>
                <w:szCs w:val="5"/>
                <w:color w:val="auto"/>
                <w:w w:val="70"/>
              </w:rPr>
              <w:t>$</w:t>
            </w:r>
          </w:p>
        </w:tc>
        <w:tc>
          <w:tcPr>
            <w:tcW w:w="1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(3,202,575)</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line="135" w:lineRule="exact"/>
              <w:rPr>
                <w:sz w:val="20"/>
                <w:szCs w:val="20"/>
                <w:color w:val="auto"/>
              </w:rPr>
            </w:pPr>
            <w:r>
              <w:rPr>
                <w:rFonts w:ascii="Arial" w:cs="Arial" w:eastAsia="Arial" w:hAnsi="Arial"/>
                <w:sz w:val="14"/>
                <w:szCs w:val="14"/>
                <w:color w:val="auto"/>
              </w:rPr>
              <w:t>Stock-based compensation</w:t>
            </w: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803,279</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4"/>
                <w:szCs w:val="14"/>
                <w:color w:val="auto"/>
              </w:rPr>
              <w:t>803,279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04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Issuance of common stock in initial public offering, net of</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5,666,667</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567</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45,505,934</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45,506,501</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expenses</w:t>
            </w:r>
          </w:p>
        </w:tc>
        <w:tc>
          <w:tcPr>
            <w:tcW w:w="8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line="135" w:lineRule="exact"/>
              <w:rPr>
                <w:sz w:val="20"/>
                <w:szCs w:val="20"/>
                <w:color w:val="auto"/>
              </w:rPr>
            </w:pPr>
            <w:r>
              <w:rPr>
                <w:rFonts w:ascii="Arial" w:cs="Arial" w:eastAsia="Arial" w:hAnsi="Arial"/>
                <w:sz w:val="14"/>
                <w:szCs w:val="14"/>
                <w:color w:val="auto"/>
              </w:rPr>
              <w:t>Issuance of common stock upon conversion of convertible notes</w:t>
            </w: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2,374,606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4"/>
                <w:szCs w:val="14"/>
                <w:color w:val="auto"/>
              </w:rPr>
              <w:t>237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15,302,624</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4"/>
                <w:szCs w:val="14"/>
                <w:color w:val="auto"/>
              </w:rPr>
              <w:t>15,302,861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Reclassification of warrant liability</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244,774</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244,774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tcBorders>
              <w:bottom w:val="single" w:sz="8" w:color="CCEEFF"/>
            </w:tcBorders>
          </w:tcPr>
          <w:p>
            <w:pPr>
              <w:spacing w:after="0" w:line="135" w:lineRule="exact"/>
              <w:rPr>
                <w:sz w:val="20"/>
                <w:szCs w:val="20"/>
                <w:color w:val="auto"/>
              </w:rPr>
            </w:pPr>
            <w:r>
              <w:rPr>
                <w:rFonts w:ascii="Arial" w:cs="Arial" w:eastAsia="Arial" w:hAnsi="Arial"/>
                <w:sz w:val="14"/>
                <w:szCs w:val="14"/>
                <w:color w:val="auto"/>
              </w:rPr>
              <w:t>Net loss</w:t>
            </w: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w w:val="95"/>
              </w:rPr>
              <w:t>(12,210,579)</w:t>
            </w: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(12,210,579)</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Balance at December 31, 2015</w:t>
            </w: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19,149,417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1,915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66,882,144</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95"/>
              </w:rPr>
              <w:t>(20,439,798)</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46,444,261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line="135" w:lineRule="exact"/>
              <w:rPr>
                <w:sz w:val="20"/>
                <w:szCs w:val="20"/>
                <w:color w:val="auto"/>
              </w:rPr>
            </w:pPr>
            <w:r>
              <w:rPr>
                <w:rFonts w:ascii="Arial" w:cs="Arial" w:eastAsia="Arial" w:hAnsi="Arial"/>
                <w:sz w:val="14"/>
                <w:szCs w:val="14"/>
                <w:color w:val="auto"/>
              </w:rPr>
              <w:t>Stock-based compensation</w:t>
            </w: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2,031,418</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4"/>
                <w:szCs w:val="14"/>
                <w:color w:val="auto"/>
              </w:rPr>
              <w:t>2,031,418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Proceeds from exercise of options</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9,000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33,029</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33,030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line="135" w:lineRule="exact"/>
              <w:rPr>
                <w:sz w:val="20"/>
                <w:szCs w:val="20"/>
                <w:color w:val="auto"/>
              </w:rPr>
            </w:pPr>
            <w:r>
              <w:rPr>
                <w:rFonts w:ascii="Arial" w:cs="Arial" w:eastAsia="Arial" w:hAnsi="Arial"/>
                <w:sz w:val="14"/>
                <w:szCs w:val="14"/>
                <w:color w:val="auto"/>
              </w:rPr>
              <w:t>Issuance of warrants</w:t>
            </w: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264,395</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4"/>
                <w:szCs w:val="14"/>
                <w:color w:val="auto"/>
              </w:rPr>
              <w:t>264,395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Net loss</w:t>
            </w: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5"/>
              </w:rPr>
              <w:t>(27,201,653)</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(27,201,653)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40" w:type="dxa"/>
            <w:vAlign w:val="bottom"/>
          </w:tcPr>
          <w:p>
            <w:pPr>
              <w:spacing w:after="0" w:line="129" w:lineRule="exact"/>
              <w:rPr>
                <w:sz w:val="20"/>
                <w:szCs w:val="20"/>
                <w:color w:val="auto"/>
              </w:rPr>
            </w:pPr>
            <w:r>
              <w:rPr>
                <w:rFonts w:ascii="Arial" w:cs="Arial" w:eastAsia="Arial" w:hAnsi="Arial"/>
                <w:sz w:val="14"/>
                <w:szCs w:val="14"/>
                <w:color w:val="auto"/>
              </w:rPr>
              <w:t>Balance at December 31, 2016</w:t>
            </w:r>
          </w:p>
        </w:tc>
        <w:tc>
          <w:tcPr>
            <w:tcW w:w="800" w:type="dxa"/>
            <w:vAlign w:val="bottom"/>
          </w:tcPr>
          <w:p>
            <w:pPr>
              <w:jc w:val="right"/>
              <w:spacing w:after="0" w:line="129" w:lineRule="exact"/>
              <w:rPr>
                <w:sz w:val="20"/>
                <w:szCs w:val="20"/>
                <w:color w:val="auto"/>
              </w:rPr>
            </w:pPr>
            <w:r>
              <w:rPr>
                <w:rFonts w:ascii="Arial" w:cs="Arial" w:eastAsia="Arial" w:hAnsi="Arial"/>
                <w:sz w:val="14"/>
                <w:szCs w:val="14"/>
                <w:color w:val="auto"/>
              </w:rPr>
              <w:t>19,158,417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4"/>
                <w:szCs w:val="14"/>
                <w:color w:val="auto"/>
              </w:rPr>
              <w:t>1,916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4"/>
                <w:szCs w:val="14"/>
                <w:color w:val="auto"/>
              </w:rPr>
              <w:t>69,210,986</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4"/>
                <w:szCs w:val="14"/>
                <w:color w:val="auto"/>
                <w:w w:val="95"/>
              </w:rPr>
              <w:t>(47,641,451)</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spacing w:after="0" w:line="129" w:lineRule="exact"/>
              <w:rPr>
                <w:sz w:val="20"/>
                <w:szCs w:val="20"/>
                <w:color w:val="auto"/>
              </w:rPr>
            </w:pPr>
            <w:r>
              <w:rPr>
                <w:rFonts w:ascii="Arial" w:cs="Arial" w:eastAsia="Arial" w:hAnsi="Arial"/>
                <w:sz w:val="14"/>
                <w:szCs w:val="14"/>
                <w:color w:val="auto"/>
              </w:rPr>
              <w:t>21,571,451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Stock-based compensation</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2,072,210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2,072,210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line="135" w:lineRule="exact"/>
              <w:rPr>
                <w:sz w:val="20"/>
                <w:szCs w:val="20"/>
                <w:color w:val="auto"/>
              </w:rPr>
            </w:pPr>
            <w:r>
              <w:rPr>
                <w:rFonts w:ascii="Arial" w:cs="Arial" w:eastAsia="Arial" w:hAnsi="Arial"/>
                <w:sz w:val="14"/>
                <w:szCs w:val="14"/>
                <w:color w:val="auto"/>
              </w:rPr>
              <w:t>Issuance of common stock upon exercise of options</w:t>
            </w: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88,922</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4"/>
                <w:szCs w:val="14"/>
                <w:color w:val="auto"/>
              </w:rPr>
              <w:t>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316,710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4"/>
                <w:szCs w:val="14"/>
                <w:color w:val="auto"/>
              </w:rPr>
              <w:t>316,719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Issuance of warrants</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129,149</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167,881</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167,894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line="135" w:lineRule="exact"/>
              <w:rPr>
                <w:sz w:val="20"/>
                <w:szCs w:val="20"/>
                <w:color w:val="auto"/>
              </w:rPr>
            </w:pPr>
            <w:r>
              <w:rPr>
                <w:rFonts w:ascii="Arial" w:cs="Arial" w:eastAsia="Arial" w:hAnsi="Arial"/>
                <w:sz w:val="14"/>
                <w:szCs w:val="14"/>
                <w:color w:val="auto"/>
              </w:rPr>
              <w:t>Issuance of common stock upon financing</w:t>
            </w: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6,116,504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4"/>
                <w:szCs w:val="14"/>
                <w:color w:val="auto"/>
              </w:rPr>
              <w:t>611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21,531,730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4"/>
                <w:szCs w:val="14"/>
                <w:color w:val="auto"/>
              </w:rPr>
              <w:t>21,532,341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Net loss</w:t>
            </w: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5"/>
              </w:rPr>
              <w:t>(28,943,392)</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(28,943,392)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040" w:type="dxa"/>
            <w:vAlign w:val="bottom"/>
          </w:tcPr>
          <w:p>
            <w:pPr>
              <w:spacing w:after="0" w:line="129" w:lineRule="exact"/>
              <w:rPr>
                <w:sz w:val="20"/>
                <w:szCs w:val="20"/>
                <w:color w:val="auto"/>
              </w:rPr>
            </w:pPr>
            <w:r>
              <w:rPr>
                <w:rFonts w:ascii="Arial" w:cs="Arial" w:eastAsia="Arial" w:hAnsi="Arial"/>
                <w:sz w:val="14"/>
                <w:szCs w:val="14"/>
                <w:color w:val="auto"/>
              </w:rPr>
              <w:t>Balance at December 31, 2017</w:t>
            </w: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25,492,992</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2,549</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93,299,517</w:t>
            </w:r>
          </w:p>
        </w:tc>
        <w:tc>
          <w:tcPr>
            <w:tcW w:w="140" w:type="dxa"/>
            <w:vAlign w:val="bottom"/>
          </w:tcPr>
          <w:p>
            <w:pPr>
              <w:spacing w:after="0"/>
              <w:rPr>
                <w:sz w:val="11"/>
                <w:szCs w:val="11"/>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5"/>
              </w:rPr>
              <w:t>(76,584,843)</w:t>
            </w: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jc w:val="right"/>
              <w:ind w:right="19"/>
              <w:spacing w:after="0"/>
              <w:rPr>
                <w:sz w:val="20"/>
                <w:szCs w:val="20"/>
                <w:color w:val="auto"/>
              </w:rPr>
            </w:pPr>
            <w:r>
              <w:rPr>
                <w:rFonts w:ascii="Arial" w:cs="Arial" w:eastAsia="Arial" w:hAnsi="Arial"/>
                <w:sz w:val="5"/>
                <w:szCs w:val="5"/>
                <w:color w:val="auto"/>
                <w:w w:val="70"/>
              </w:rPr>
              <w:t>$</w:t>
            </w:r>
          </w:p>
        </w:tc>
        <w:tc>
          <w:tcPr>
            <w:tcW w:w="1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16,717,223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3" w:name="page134"/>
    <w:bookmarkEnd w:id="1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00"/>
              <w:spacing w:after="0" w:line="129"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299"/>
              <w:spacing w:after="0" w:line="129"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299"/>
              <w:spacing w:after="0" w:line="129"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320" w:type="dxa"/>
            <w:vAlign w:val="bottom"/>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20" w:type="dxa"/>
            <w:vAlign w:val="bottom"/>
          </w:tcPr>
          <w:p>
            <w:pPr>
              <w:spacing w:after="0" w:line="162" w:lineRule="exact"/>
              <w:rPr>
                <w:sz w:val="20"/>
                <w:szCs w:val="20"/>
                <w:color w:val="auto"/>
              </w:rPr>
            </w:pPr>
            <w:r>
              <w:rPr>
                <w:rFonts w:ascii="Arial" w:cs="Arial" w:eastAsia="Arial" w:hAnsi="Arial"/>
                <w:sz w:val="16"/>
                <w:szCs w:val="16"/>
                <w:color w:val="auto"/>
              </w:rPr>
              <w:t>Net loss</w:t>
            </w:r>
          </w:p>
        </w:tc>
        <w:tc>
          <w:tcPr>
            <w:tcW w:w="40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w w:val="99"/>
              </w:rPr>
              <w:t>(28,943,392)</w:t>
            </w:r>
          </w:p>
        </w:tc>
        <w:tc>
          <w:tcPr>
            <w:tcW w:w="30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w w:val="96"/>
              </w:rPr>
              <w:t>(27,201,653)</w:t>
            </w:r>
          </w:p>
        </w:tc>
        <w:tc>
          <w:tcPr>
            <w:tcW w:w="30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w w:val="96"/>
              </w:rPr>
              <w:t>(12,210,579)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Adjustments to reconcile net loss to net cash used in operating activities:</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20" w:type="dxa"/>
            <w:vAlign w:val="bottom"/>
          </w:tcPr>
          <w:p>
            <w:pPr>
              <w:spacing w:after="0" w:line="162" w:lineRule="exact"/>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2,072,210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2,031,418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803,279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Amortization of debt discount</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470,521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68,930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42,202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20" w:type="dxa"/>
            <w:vAlign w:val="bottom"/>
          </w:tcPr>
          <w:p>
            <w:pPr>
              <w:spacing w:after="0" w:line="162" w:lineRule="exact"/>
              <w:rPr>
                <w:sz w:val="20"/>
                <w:szCs w:val="20"/>
                <w:color w:val="auto"/>
              </w:rPr>
            </w:pPr>
            <w:r>
              <w:rPr>
                <w:rFonts w:ascii="Arial" w:cs="Arial" w:eastAsia="Arial" w:hAnsi="Arial"/>
                <w:sz w:val="16"/>
                <w:szCs w:val="16"/>
                <w:color w:val="auto"/>
              </w:rPr>
              <w:t>Amortization of debt issuance costs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7,757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Non-cash interest expense</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698,826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20" w:type="dxa"/>
            <w:vAlign w:val="bottom"/>
          </w:tcPr>
          <w:p>
            <w:pPr>
              <w:spacing w:after="0" w:line="162" w:lineRule="exact"/>
              <w:rPr>
                <w:sz w:val="20"/>
                <w:szCs w:val="20"/>
                <w:color w:val="auto"/>
              </w:rPr>
            </w:pPr>
            <w:r>
              <w:rPr>
                <w:rFonts w:ascii="Arial" w:cs="Arial" w:eastAsia="Arial" w:hAnsi="Arial"/>
                <w:sz w:val="16"/>
                <w:szCs w:val="16"/>
                <w:color w:val="auto"/>
              </w:rPr>
              <w:t>Change in fair value of warrants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646,000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108,539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Change in fair value of embedded derivative liabilities</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(274,800)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20" w:type="dxa"/>
            <w:vAlign w:val="bottom"/>
          </w:tcPr>
          <w:p>
            <w:pPr>
              <w:spacing w:after="0" w:line="162" w:lineRule="exact"/>
              <w:rPr>
                <w:sz w:val="20"/>
                <w:szCs w:val="20"/>
                <w:color w:val="auto"/>
              </w:rPr>
            </w:pPr>
            <w:r>
              <w:rPr>
                <w:rFonts w:ascii="Arial" w:cs="Arial" w:eastAsia="Arial" w:hAnsi="Arial"/>
                <w:sz w:val="16"/>
                <w:szCs w:val="16"/>
                <w:color w:val="auto"/>
              </w:rPr>
              <w:t>Loss on extinguishment of debt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2,444,516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Depreciation</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42,557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20,484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3,542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20" w:type="dxa"/>
            <w:vAlign w:val="bottom"/>
          </w:tcPr>
          <w:p>
            <w:pPr>
              <w:spacing w:after="0" w:line="162" w:lineRule="exact"/>
              <w:rPr>
                <w:sz w:val="20"/>
                <w:szCs w:val="20"/>
                <w:color w:val="auto"/>
              </w:rPr>
            </w:pPr>
            <w:r>
              <w:rPr>
                <w:rFonts w:ascii="Arial" w:cs="Arial" w:eastAsia="Arial" w:hAnsi="Arial"/>
                <w:sz w:val="16"/>
                <w:szCs w:val="16"/>
                <w:color w:val="auto"/>
              </w:rPr>
              <w:t>Changes in operating assets and liabilities: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20" w:type="dxa"/>
            <w:vAlign w:val="bottom"/>
            <w:shd w:val="clear" w:color="auto" w:fill="CCEEFF"/>
          </w:tcPr>
          <w:p>
            <w:pPr>
              <w:ind w:left="200"/>
              <w:spacing w:after="0" w:line="162" w:lineRule="exact"/>
              <w:rPr>
                <w:sz w:val="20"/>
                <w:szCs w:val="20"/>
                <w:color w:val="auto"/>
              </w:rPr>
            </w:pPr>
            <w:r>
              <w:rPr>
                <w:rFonts w:ascii="Arial" w:cs="Arial" w:eastAsia="Arial" w:hAnsi="Arial"/>
                <w:sz w:val="16"/>
                <w:szCs w:val="16"/>
                <w:color w:val="auto"/>
              </w:rPr>
              <w:t>Prepaid expenses and other current assets</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102,143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(383,942)</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(870,673)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20" w:type="dxa"/>
            <w:vAlign w:val="bottom"/>
          </w:tcPr>
          <w:p>
            <w:pPr>
              <w:ind w:left="200"/>
              <w:spacing w:after="0" w:line="162" w:lineRule="exact"/>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(75,131)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(86,196)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(26,625)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20" w:type="dxa"/>
            <w:vAlign w:val="bottom"/>
            <w:shd w:val="clear" w:color="auto" w:fill="CCEEFF"/>
          </w:tcPr>
          <w:p>
            <w:pPr>
              <w:ind w:left="200"/>
              <w:spacing w:after="0" w:line="162" w:lineRule="exact"/>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(645,717)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2,188,810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1,134,204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20" w:type="dxa"/>
            <w:vAlign w:val="bottom"/>
            <w:tcBorders>
              <w:bottom w:val="single" w:sz="8" w:color="CCEEFF"/>
            </w:tcBorders>
          </w:tcPr>
          <w:p>
            <w:pPr>
              <w:ind w:left="200"/>
              <w:spacing w:after="0" w:line="162" w:lineRule="exact"/>
              <w:rPr>
                <w:sz w:val="20"/>
                <w:szCs w:val="20"/>
                <w:color w:val="auto"/>
              </w:rPr>
            </w:pPr>
            <w:r>
              <w:rPr>
                <w:rFonts w:ascii="Arial" w:cs="Arial" w:eastAsia="Arial" w:hAnsi="Arial"/>
                <w:sz w:val="16"/>
                <w:szCs w:val="16"/>
                <w:color w:val="auto"/>
              </w:rPr>
              <w:t>Accrued expenses and other current liabilities</w:t>
            </w: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(140,843)</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2,080,845</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700,821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Net cash used in operating activities</w:t>
            </w:r>
          </w:p>
        </w:tc>
        <w:tc>
          <w:tcPr>
            <w:tcW w:w="2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w w:val="99"/>
              </w:rPr>
              <w:t>(26,471,652)</w:t>
            </w:r>
          </w:p>
        </w:tc>
        <w:tc>
          <w:tcPr>
            <w:tcW w:w="1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w w:val="96"/>
              </w:rPr>
              <w:t>(21,281,304)</w:t>
            </w:r>
          </w:p>
        </w:tc>
        <w:tc>
          <w:tcPr>
            <w:tcW w:w="1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(7,438,991)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tcPr>
          <w:p>
            <w:pPr>
              <w:spacing w:after="0" w:line="155" w:lineRule="exact"/>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Purchases of equipment</w:t>
            </w:r>
          </w:p>
        </w:tc>
        <w:tc>
          <w:tcPr>
            <w:tcW w:w="2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(9,898)</w:t>
            </w: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(104,561)</w:t>
            </w: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(20,195)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tcBorders>
              <w:bottom w:val="single" w:sz="8" w:color="CCEEFF"/>
            </w:tcBorders>
          </w:tcPr>
          <w:p>
            <w:pPr>
              <w:spacing w:after="0" w:line="155" w:lineRule="exact"/>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(9,898)</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(104,561)</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(20,195)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20" w:type="dxa"/>
            <w:vAlign w:val="bottom"/>
          </w:tcPr>
          <w:p>
            <w:pPr>
              <w:spacing w:after="0" w:line="162" w:lineRule="exact"/>
              <w:rPr>
                <w:sz w:val="20"/>
                <w:szCs w:val="20"/>
                <w:color w:val="auto"/>
              </w:rPr>
            </w:pPr>
            <w:r>
              <w:rPr>
                <w:rFonts w:ascii="Arial" w:cs="Arial" w:eastAsia="Arial" w:hAnsi="Arial"/>
                <w:sz w:val="16"/>
                <w:szCs w:val="16"/>
                <w:color w:val="auto"/>
              </w:rPr>
              <w:t>Proceeds from issuance of convertible notes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7,382,468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Proceeds from issuance of term loan</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10,000,000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20" w:type="dxa"/>
            <w:vAlign w:val="bottom"/>
          </w:tcPr>
          <w:p>
            <w:pPr>
              <w:spacing w:after="0" w:line="162" w:lineRule="exact"/>
              <w:rPr>
                <w:sz w:val="20"/>
                <w:szCs w:val="20"/>
                <w:color w:val="auto"/>
              </w:rPr>
            </w:pPr>
            <w:r>
              <w:rPr>
                <w:rFonts w:ascii="Arial" w:cs="Arial" w:eastAsia="Arial" w:hAnsi="Arial"/>
                <w:sz w:val="16"/>
                <w:szCs w:val="16"/>
                <w:color w:val="auto"/>
              </w:rPr>
              <w:t>Payment of debt issuance costs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(64,928)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(12,489)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Repayment of principal on term loan</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(277,778)</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20" w:type="dxa"/>
            <w:vAlign w:val="bottom"/>
          </w:tcPr>
          <w:p>
            <w:pPr>
              <w:spacing w:after="0" w:line="162" w:lineRule="exact"/>
              <w:rPr>
                <w:sz w:val="20"/>
                <w:szCs w:val="20"/>
                <w:color w:val="auto"/>
              </w:rPr>
            </w:pPr>
            <w:r>
              <w:rPr>
                <w:rFonts w:ascii="Arial" w:cs="Arial" w:eastAsia="Arial" w:hAnsi="Arial"/>
                <w:sz w:val="16"/>
                <w:szCs w:val="16"/>
                <w:color w:val="auto"/>
              </w:rPr>
              <w:t>Proceeds from issuance of initial public offering, net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45,549,121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Proceeds from issuance of common stock upon financing, net</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23,677,341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20" w:type="dxa"/>
            <w:vAlign w:val="bottom"/>
          </w:tcPr>
          <w:p>
            <w:pPr>
              <w:spacing w:after="0" w:line="162" w:lineRule="exact"/>
              <w:rPr>
                <w:sz w:val="20"/>
                <w:szCs w:val="20"/>
                <w:color w:val="auto"/>
              </w:rPr>
            </w:pPr>
            <w:r>
              <w:rPr>
                <w:rFonts w:ascii="Arial" w:cs="Arial" w:eastAsia="Arial" w:hAnsi="Arial"/>
                <w:sz w:val="16"/>
                <w:szCs w:val="16"/>
                <w:color w:val="auto"/>
              </w:rPr>
              <w:t>Proceeds from issuance of common stock upon exercise of warrants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167,894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33,030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Proceeds from issuance of common stock upon exercise of options</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316,719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2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Payment of loan from related party</w:t>
            </w: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(41,469)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Net cash provided by financing activities</w:t>
            </w:r>
          </w:p>
        </w:tc>
        <w:tc>
          <w:tcPr>
            <w:tcW w:w="2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23,884,176</w:t>
            </w:r>
          </w:p>
        </w:tc>
        <w:tc>
          <w:tcPr>
            <w:tcW w:w="1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9,968,102</w:t>
            </w:r>
          </w:p>
        </w:tc>
        <w:tc>
          <w:tcPr>
            <w:tcW w:w="1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52,877,631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tcBorders>
              <w:bottom w:val="single" w:sz="8" w:color="CCEEFF"/>
            </w:tcBorders>
          </w:tcPr>
          <w:p>
            <w:pPr>
              <w:spacing w:after="0" w:line="155" w:lineRule="exact"/>
              <w:rPr>
                <w:sz w:val="20"/>
                <w:szCs w:val="20"/>
                <w:color w:val="auto"/>
              </w:rPr>
            </w:pPr>
            <w:r>
              <w:rPr>
                <w:rFonts w:ascii="Arial" w:cs="Arial" w:eastAsia="Arial" w:hAnsi="Arial"/>
                <w:sz w:val="16"/>
                <w:szCs w:val="16"/>
                <w:color w:val="auto"/>
              </w:rPr>
              <w:t>Net (decrease) increase in cash</w:t>
            </w:r>
          </w:p>
        </w:tc>
        <w:tc>
          <w:tcPr>
            <w:tcW w:w="2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(2,597,374)</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w w:val="96"/>
              </w:rPr>
              <w:t>(11,417,763)</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45,418,445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Cash at beginning of period</w:t>
            </w:r>
          </w:p>
        </w:tc>
        <w:tc>
          <w:tcPr>
            <w:tcW w:w="2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36,618,497</w:t>
            </w:r>
          </w:p>
        </w:tc>
        <w:tc>
          <w:tcPr>
            <w:tcW w:w="1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48,036,260</w:t>
            </w:r>
          </w:p>
        </w:tc>
        <w:tc>
          <w:tcPr>
            <w:tcW w:w="1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2,617,815</w:t>
            </w:r>
          </w:p>
        </w:tc>
        <w:tc>
          <w:tcPr>
            <w:tcW w:w="0" w:type="dxa"/>
            <w:vAlign w:val="bottom"/>
          </w:tcPr>
          <w:p>
            <w:pPr>
              <w:spacing w:after="0"/>
              <w:rPr>
                <w:sz w:val="1"/>
                <w:szCs w:val="1"/>
                <w:color w:val="auto"/>
              </w:rPr>
            </w:pPr>
          </w:p>
        </w:tc>
      </w:tr>
      <w:tr>
        <w:trPr>
          <w:trHeight w:val="163"/>
        </w:trPr>
        <w:tc>
          <w:tcPr>
            <w:tcW w:w="5340" w:type="dxa"/>
            <w:vAlign w:val="bottom"/>
            <w:gridSpan w:val="2"/>
          </w:tcPr>
          <w:p>
            <w:pPr>
              <w:spacing w:after="0" w:line="155" w:lineRule="exact"/>
              <w:rPr>
                <w:sz w:val="20"/>
                <w:szCs w:val="20"/>
                <w:color w:val="auto"/>
              </w:rPr>
            </w:pPr>
            <w:r>
              <w:rPr>
                <w:rFonts w:ascii="Arial" w:cs="Arial" w:eastAsia="Arial" w:hAnsi="Arial"/>
                <w:sz w:val="16"/>
                <w:szCs w:val="16"/>
                <w:color w:val="auto"/>
              </w:rPr>
              <w:t>Cash at end of period</w:t>
            </w:r>
          </w:p>
        </w:tc>
        <w:tc>
          <w:tcPr>
            <w:tcW w:w="260" w:type="dxa"/>
            <w:vAlign w:val="bottom"/>
          </w:tcPr>
          <w:p>
            <w:pPr>
              <w:spacing w:after="0"/>
              <w:rPr>
                <w:sz w:val="14"/>
                <w:szCs w:val="14"/>
                <w:color w:val="auto"/>
              </w:rPr>
            </w:pPr>
          </w:p>
        </w:tc>
        <w:tc>
          <w:tcPr>
            <w:tcW w:w="140" w:type="dxa"/>
            <w:vAlign w:val="bottom"/>
          </w:tcPr>
          <w:p>
            <w:pPr>
              <w:jc w:val="right"/>
              <w:spacing w:after="0" w:line="156" w:lineRule="exact"/>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55" w:lineRule="exact"/>
              <w:rPr>
                <w:sz w:val="20"/>
                <w:szCs w:val="20"/>
                <w:color w:val="auto"/>
              </w:rPr>
            </w:pPr>
            <w:r>
              <w:rPr>
                <w:rFonts w:ascii="Arial" w:cs="Arial" w:eastAsia="Arial" w:hAnsi="Arial"/>
                <w:sz w:val="16"/>
                <w:szCs w:val="16"/>
                <w:color w:val="auto"/>
              </w:rPr>
              <w:t>34,021,123</w:t>
            </w:r>
          </w:p>
        </w:tc>
        <w:tc>
          <w:tcPr>
            <w:tcW w:w="160" w:type="dxa"/>
            <w:vAlign w:val="bottom"/>
          </w:tcPr>
          <w:p>
            <w:pPr>
              <w:spacing w:after="0"/>
              <w:rPr>
                <w:sz w:val="14"/>
                <w:szCs w:val="14"/>
                <w:color w:val="auto"/>
              </w:rPr>
            </w:pPr>
          </w:p>
        </w:tc>
        <w:tc>
          <w:tcPr>
            <w:tcW w:w="140" w:type="dxa"/>
            <w:vAlign w:val="bottom"/>
          </w:tcPr>
          <w:p>
            <w:pPr>
              <w:jc w:val="right"/>
              <w:spacing w:after="0" w:line="156" w:lineRule="exact"/>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55" w:lineRule="exact"/>
              <w:rPr>
                <w:sz w:val="20"/>
                <w:szCs w:val="20"/>
                <w:color w:val="auto"/>
              </w:rPr>
            </w:pPr>
            <w:r>
              <w:rPr>
                <w:rFonts w:ascii="Arial" w:cs="Arial" w:eastAsia="Arial" w:hAnsi="Arial"/>
                <w:sz w:val="16"/>
                <w:szCs w:val="16"/>
                <w:color w:val="auto"/>
              </w:rPr>
              <w:t>36,618,497</w:t>
            </w:r>
          </w:p>
        </w:tc>
        <w:tc>
          <w:tcPr>
            <w:tcW w:w="160" w:type="dxa"/>
            <w:vAlign w:val="bottom"/>
          </w:tcPr>
          <w:p>
            <w:pPr>
              <w:spacing w:after="0"/>
              <w:rPr>
                <w:sz w:val="14"/>
                <w:szCs w:val="14"/>
                <w:color w:val="auto"/>
              </w:rPr>
            </w:pPr>
          </w:p>
        </w:tc>
        <w:tc>
          <w:tcPr>
            <w:tcW w:w="140" w:type="dxa"/>
            <w:vAlign w:val="bottom"/>
          </w:tcPr>
          <w:p>
            <w:pPr>
              <w:jc w:val="right"/>
              <w:spacing w:after="0" w:line="156" w:lineRule="exact"/>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55" w:lineRule="exact"/>
              <w:rPr>
                <w:sz w:val="20"/>
                <w:szCs w:val="20"/>
                <w:color w:val="auto"/>
              </w:rPr>
            </w:pPr>
            <w:r>
              <w:rPr>
                <w:rFonts w:ascii="Arial" w:cs="Arial" w:eastAsia="Arial" w:hAnsi="Arial"/>
                <w:sz w:val="16"/>
                <w:szCs w:val="16"/>
                <w:color w:val="auto"/>
              </w:rPr>
              <w:t>48,036,260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2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Supplemental disclosures of non-cash financing activity:</w:t>
            </w:r>
          </w:p>
        </w:tc>
        <w:tc>
          <w:tcPr>
            <w:tcW w:w="2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20" w:type="dxa"/>
            <w:vAlign w:val="bottom"/>
          </w:tcPr>
          <w:p>
            <w:pPr>
              <w:spacing w:after="0" w:line="176" w:lineRule="exact"/>
              <w:rPr>
                <w:sz w:val="20"/>
                <w:szCs w:val="20"/>
                <w:color w:val="auto"/>
              </w:rPr>
            </w:pPr>
            <w:r>
              <w:rPr>
                <w:rFonts w:ascii="Arial" w:cs="Arial" w:eastAsia="Arial" w:hAnsi="Arial"/>
                <w:sz w:val="16"/>
                <w:szCs w:val="16"/>
                <w:color w:val="auto"/>
                <w:w w:val="96"/>
              </w:rPr>
              <w:t>Establishment of warrant liabilities in connection with common stock issuance</w:t>
            </w:r>
          </w:p>
        </w:tc>
        <w:tc>
          <w:tcPr>
            <w:tcW w:w="4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2,145,000</w:t>
            </w:r>
          </w:p>
        </w:tc>
        <w:tc>
          <w:tcPr>
            <w:tcW w:w="3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Issuance of warrants in connection with debt financing</w:t>
            </w:r>
          </w:p>
        </w:tc>
        <w:tc>
          <w:tcPr>
            <w:tcW w:w="4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264,395</w:t>
            </w:r>
          </w:p>
        </w:tc>
        <w:tc>
          <w:tcPr>
            <w:tcW w:w="3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20" w:type="dxa"/>
            <w:vAlign w:val="bottom"/>
          </w:tcPr>
          <w:p>
            <w:pPr>
              <w:spacing w:after="0"/>
              <w:rPr>
                <w:sz w:val="20"/>
                <w:szCs w:val="20"/>
                <w:color w:val="auto"/>
              </w:rPr>
            </w:pPr>
            <w:r>
              <w:rPr>
                <w:rFonts w:ascii="Arial" w:cs="Arial" w:eastAsia="Arial" w:hAnsi="Arial"/>
                <w:sz w:val="16"/>
                <w:szCs w:val="16"/>
                <w:color w:val="auto"/>
              </w:rPr>
              <w:t>Conversion of convertible notes to common stock</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15,302,861</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4" w:name="page135"/>
    <w:bookmarkEnd w:id="1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Nature of Business and Basis of Presentation</w:t>
      </w:r>
    </w:p>
    <w:p>
      <w:pPr>
        <w:spacing w:after="0" w:line="189" w:lineRule="exact"/>
        <w:rPr>
          <w:sz w:val="20"/>
          <w:szCs w:val="20"/>
          <w:color w:val="auto"/>
        </w:rPr>
      </w:pPr>
    </w:p>
    <w:p>
      <w:pPr>
        <w:ind w:right="40" w:firstLine="648"/>
        <w:spacing w:after="0" w:line="182" w:lineRule="exact"/>
        <w:rPr>
          <w:sz w:val="20"/>
          <w:szCs w:val="20"/>
          <w:color w:val="auto"/>
        </w:rPr>
      </w:pPr>
      <w:r>
        <w:rPr>
          <w:rFonts w:ascii="Arial" w:cs="Arial" w:eastAsia="Arial" w:hAnsi="Arial"/>
          <w:sz w:val="16"/>
          <w:szCs w:val="16"/>
          <w:color w:val="auto"/>
        </w:rPr>
        <w:t>Axsome Therapeutics, Inc. (“Axsome” or the “Company”) is a clinical stage biopharmaceutical company developing novel therapies for central nervous system, or CNS, disorders for which there are limited treatment options. By focusing on this therapeutic area, the Company is addressing significant and growing markets where current treatment options are limited or inadequate. The Company’s product candidate portfolio includes five product candidates, AXS</w:t>
      </w:r>
      <w:r>
        <w:rPr>
          <w:rFonts w:ascii="MS PGothic" w:cs="MS PGothic" w:eastAsia="MS PGothic" w:hAnsi="MS PGothic"/>
          <w:sz w:val="16"/>
          <w:szCs w:val="16"/>
          <w:color w:val="auto"/>
        </w:rPr>
        <w:t>‑</w:t>
      </w:r>
      <w:r>
        <w:rPr>
          <w:rFonts w:ascii="Arial" w:cs="Arial" w:eastAsia="Arial" w:hAnsi="Arial"/>
          <w:sz w:val="16"/>
          <w:szCs w:val="16"/>
          <w:color w:val="auto"/>
        </w:rPr>
        <w:t>05, AXS-09, AXS-02, AXS-07, and AXS</w:t>
      </w:r>
      <w:r>
        <w:rPr>
          <w:rFonts w:ascii="MS PGothic" w:cs="MS PGothic" w:eastAsia="MS PGothic" w:hAnsi="MS PGothic"/>
          <w:sz w:val="16"/>
          <w:szCs w:val="16"/>
          <w:color w:val="auto"/>
        </w:rPr>
        <w:t>‑</w:t>
      </w:r>
      <w:r>
        <w:rPr>
          <w:rFonts w:ascii="Arial" w:cs="Arial" w:eastAsia="Arial" w:hAnsi="Arial"/>
          <w:sz w:val="16"/>
          <w:szCs w:val="16"/>
          <w:color w:val="auto"/>
        </w:rPr>
        <w:t>06, which are being developed for multiple indications. The Company aims to become a fully integrated biopharmaceutical company that develops and commercializes differentiated therapies that expand the treatment options available to caregivers and improve the lives of patients living with CNS disorders. The Company was incorporated on January 12, 2012 in the State of Delaware and now has operations in the United States and Australia.</w:t>
      </w:r>
    </w:p>
    <w:p>
      <w:pPr>
        <w:spacing w:after="0" w:line="167" w:lineRule="exact"/>
        <w:rPr>
          <w:sz w:val="20"/>
          <w:szCs w:val="20"/>
          <w:color w:val="auto"/>
        </w:rPr>
      </w:pPr>
    </w:p>
    <w:p>
      <w:pPr>
        <w:jc w:val="both"/>
        <w:ind w:right="80" w:firstLine="648"/>
        <w:spacing w:after="0" w:line="216"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 and include all adjustments necessary for the fair presentation of the Company’s financial position for the periods presented. The consolidated financial statements include the accounts of the Company and its wholly owned subsidiaries. All material intercompany accounts and transactions have been eliminated during the consolidation process.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Certificate of Incorporation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October 30, 2015, the Company filed an amendment to its Certificate of Incorporation whereby the Company</w:t>
      </w:r>
    </w:p>
    <w:p>
      <w:pPr>
        <w:spacing w:after="0" w:line="8" w:lineRule="exact"/>
        <w:rPr>
          <w:sz w:val="20"/>
          <w:szCs w:val="20"/>
          <w:color w:val="auto"/>
        </w:rPr>
      </w:pPr>
    </w:p>
    <w:p>
      <w:pPr>
        <w:ind w:firstLine="3"/>
        <w:spacing w:after="0" w:line="184" w:lineRule="exact"/>
        <w:tabs>
          <w:tab w:leader="none" w:pos="215"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increased the number of authorized shares of common stock to 25,000,000 shares and (ii) effectuated a 7.3445</w:t>
      </w:r>
      <w:r>
        <w:rPr>
          <w:rFonts w:ascii="MS PGothic" w:cs="MS PGothic" w:eastAsia="MS PGothic" w:hAnsi="MS PGothic"/>
          <w:sz w:val="16"/>
          <w:szCs w:val="16"/>
          <w:color w:val="auto"/>
        </w:rPr>
        <w:t>‑</w:t>
      </w:r>
      <w:r>
        <w:rPr>
          <w:rFonts w:ascii="Arial" w:cs="Arial" w:eastAsia="Arial" w:hAnsi="Arial"/>
          <w:sz w:val="16"/>
          <w:szCs w:val="16"/>
          <w:color w:val="auto"/>
        </w:rPr>
        <w:t>for</w:t>
      </w:r>
      <w:r>
        <w:rPr>
          <w:rFonts w:ascii="MS PGothic" w:cs="MS PGothic" w:eastAsia="MS PGothic" w:hAnsi="MS PGothic"/>
          <w:sz w:val="16"/>
          <w:szCs w:val="16"/>
          <w:color w:val="auto"/>
        </w:rPr>
        <w:t>‑</w:t>
      </w:r>
      <w:r>
        <w:rPr>
          <w:rFonts w:ascii="Arial" w:cs="Arial" w:eastAsia="Arial" w:hAnsi="Arial"/>
          <w:sz w:val="16"/>
          <w:szCs w:val="16"/>
          <w:color w:val="auto"/>
        </w:rPr>
        <w:t>1 forward stock split of its common stock. Fractional shares resulting from the stock split were rounded down to the next whole share and in lieu of any fractional shares the Company will pay a cash amount to the holder of such fractional share equal to the fair market value of such fractional share as determined by the Company’s board of directors. The accompanying audited financial statements and notes to the financial statements give retroactive effect to this stock split for all periods presented.</w:t>
      </w:r>
    </w:p>
    <w:p>
      <w:pPr>
        <w:spacing w:after="0" w:line="162"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In connection with the completion of the Company’s initial public offering (“IPO”) on November 24, 2015, the Company’s stockholders approved an amended and restated Certificate of Incorporation, in which its authorized capital stock consists of 150,000,000 shares of common stock, par value $0.0001 per share, and 10,000,000 shares of preferred stock, par value $0.0001 per share.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right="60" w:firstLine="648"/>
        <w:spacing w:after="0" w:line="224" w:lineRule="auto"/>
        <w:rPr>
          <w:sz w:val="20"/>
          <w:szCs w:val="20"/>
          <w:color w:val="auto"/>
        </w:rPr>
      </w:pPr>
      <w:r>
        <w:rPr>
          <w:rFonts w:ascii="Arial" w:cs="Arial" w:eastAsia="Arial" w:hAnsi="Arial"/>
          <w:sz w:val="18"/>
          <w:szCs w:val="18"/>
          <w:color w:val="auto"/>
        </w:rPr>
        <w:t>The Company has incurred operating losses since its inception, and expects to continue to incur operating losses for the foreseeable future and may never become profitable. As of December 31, 2017, the Company had an accumulated deficit of $76.6 million.</w:t>
      </w:r>
    </w:p>
    <w:p>
      <w:pPr>
        <w:spacing w:after="0" w:line="163"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6"/>
          <w:szCs w:val="16"/>
          <w:color w:val="auto"/>
        </w:rPr>
        <w:t>In November 2015, the Company completed its IPO, whereby it sold 5,666,667 shares of common stock at a public offering price of $9.00 per share. The Company received gross proceeds of approximately $51.0 million and net proceeds of approximately $45.5 million, after deducting underwriting discounts and commissions and offering-related transaction costs.</w:t>
      </w:r>
    </w:p>
    <w:p>
      <w:pPr>
        <w:spacing w:after="0" w:line="107"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In November 2016, the Company entered into a loan and security agreement with Silicon Valley Bank (“SVB”) for a term loan of up to $20.0 million. The initial tranche of $10.0 million was funded shortly after executing the loan agreement. The Company did not achieve the conditional criteria to access the second and third tranches before the specified dates and the $10.0 million in additional term loan advances have expired.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5" w:name="page136"/>
    <w:bookmarkEnd w:id="1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20" w:firstLine="648"/>
        <w:spacing w:after="0" w:line="238" w:lineRule="auto"/>
        <w:rPr>
          <w:sz w:val="20"/>
          <w:szCs w:val="20"/>
          <w:color w:val="auto"/>
        </w:rPr>
      </w:pPr>
      <w:r>
        <w:rPr>
          <w:rFonts w:ascii="Arial" w:cs="Arial" w:eastAsia="Arial" w:hAnsi="Arial"/>
          <w:sz w:val="17"/>
          <w:szCs w:val="17"/>
          <w:color w:val="auto"/>
        </w:rPr>
        <w:t>In March 2017, the Company completed an underwritten public offering, whereby it sold 4,304,813 shares of common stock at a public offering price of $3.74 per share. The Company received gross proceeds of approximately $16.1 million and net proceeds of approximately $14.8 million, net of underwriting discounts and offering expenses.</w:t>
      </w:r>
    </w:p>
    <w:p>
      <w:pPr>
        <w:spacing w:after="0" w:line="121" w:lineRule="exact"/>
        <w:rPr>
          <w:sz w:val="20"/>
          <w:szCs w:val="20"/>
          <w:color w:val="auto"/>
        </w:rPr>
      </w:pPr>
    </w:p>
    <w:p>
      <w:pPr>
        <w:ind w:right="80" w:firstLine="648"/>
        <w:spacing w:after="0" w:line="229" w:lineRule="auto"/>
        <w:rPr>
          <w:sz w:val="20"/>
          <w:szCs w:val="20"/>
          <w:color w:val="auto"/>
        </w:rPr>
      </w:pPr>
      <w:r>
        <w:rPr>
          <w:rFonts w:ascii="Arial" w:cs="Arial" w:eastAsia="Arial" w:hAnsi="Arial"/>
          <w:sz w:val="17"/>
          <w:szCs w:val="17"/>
          <w:color w:val="auto"/>
        </w:rPr>
        <w:t>In October 2017, the Company entered into a sales agreement (the “Sales Agreement”) with Leerink Partners LLC ("Leerink"), pursuant to which the Company may sell up to $30 million in shares of its common stock from time to time through Leerink, acting as its sales agent, in one or more at-the-market offerings. Leerink is entitled to receive a commission of 3.0% of the gross proceeds for any shares sold under the Sales Agreement. Gross sales of $0.1 million were made under the Sales Agreement during the year ended December 31, 2017.</w:t>
      </w:r>
    </w:p>
    <w:p>
      <w:pPr>
        <w:spacing w:after="0" w:line="121" w:lineRule="exact"/>
        <w:rPr>
          <w:sz w:val="20"/>
          <w:szCs w:val="20"/>
          <w:color w:val="auto"/>
        </w:rPr>
      </w:pPr>
    </w:p>
    <w:p>
      <w:pPr>
        <w:ind w:right="80" w:firstLine="648"/>
        <w:spacing w:after="0" w:line="232" w:lineRule="auto"/>
        <w:rPr>
          <w:sz w:val="20"/>
          <w:szCs w:val="20"/>
          <w:color w:val="auto"/>
        </w:rPr>
      </w:pPr>
      <w:r>
        <w:rPr>
          <w:rFonts w:ascii="Arial" w:cs="Arial" w:eastAsia="Arial" w:hAnsi="Arial"/>
          <w:sz w:val="17"/>
          <w:szCs w:val="17"/>
          <w:color w:val="auto"/>
        </w:rPr>
        <w:t>In December 2017, the Company completed a registered direct offering priced at the market, whereby it sold 1,783,587 shares of common stock and warrants to purchase up to an aggregate of 1,783,587 shares of its common stock at a combined purchase price of $5.325 per share. The Company received gross proceeds of approximately $9.5 million and net proceeds of approximately $8.8 million, net of underwriting discounts and offering expenses.</w:t>
      </w:r>
    </w:p>
    <w:p>
      <w:pPr>
        <w:spacing w:after="0" w:line="122"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The Company’s primary sources of cash have been proceeds from the issuance and sale of its common stock in public offerings. The Company has not yet commercialized any of its product candidates and cannot be sure if it will ever be able to do so. Even if the Company commercializes one or more of its product candidates, it may not become profitable.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The Company may continue to incur substantial operating losses even if it begins to generate revenues from its product candidates.</w:t>
      </w:r>
    </w:p>
    <w:p>
      <w:pPr>
        <w:spacing w:after="0" w:line="122"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As of December 31, 2017, the Company had $34.0 million in cash. The Company currently anticipates its cash to be sufficient to fund its anticipated operating cash requirements into the third quarter of 2019. The actual amount of cash that the Company will need to operate is subject to many factors, including, but not limited to, the timing, design and conduct of clinical trials for its product candidates. The Company is dependent upon significant future financing to provide the cash necessary to execute its current operations, including the commercialization of any of its product candidates.</w:t>
      </w:r>
    </w:p>
    <w:p>
      <w:pPr>
        <w:spacing w:after="0" w:line="14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Company’s common stock is listed on the Nasdaq Global Market and trades under the symbol “AXSM”.</w:t>
      </w:r>
    </w:p>
    <w:p>
      <w:pPr>
        <w:spacing w:after="0" w:line="39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Risks and Uncertainties</w:t>
      </w:r>
    </w:p>
    <w:p>
      <w:pPr>
        <w:spacing w:after="0" w:line="189"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if approved; competition from products manufactured and sold or being developed by other companies; the price of, and demand for, Company products, if approved; the Company’s ability to negotiate favorable licensing or other manufacturing and marketing agreements for its products, if approved; and the Company’s ability to raise additional financing. If the Company does not successfully commercialize any of its product candidates, it will be unable to generate recurring product revenue or achieve and maintain profitability.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right="60" w:firstLine="648"/>
        <w:spacing w:after="0" w:line="241" w:lineRule="auto"/>
        <w:rPr>
          <w:sz w:val="20"/>
          <w:szCs w:val="20"/>
          <w:color w:val="auto"/>
        </w:rPr>
      </w:pPr>
      <w:r>
        <w:rPr>
          <w:rFonts w:ascii="Arial" w:cs="Arial" w:eastAsia="Arial" w:hAnsi="Arial"/>
          <w:sz w:val="16"/>
          <w:szCs w:val="16"/>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6" w:name="page137"/>
    <w:bookmarkEnd w:id="1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185" w:lineRule="exact"/>
        <w:rPr>
          <w:sz w:val="20"/>
          <w:szCs w:val="20"/>
          <w:color w:val="auto"/>
        </w:rPr>
      </w:pPr>
      <w:r>
        <w:rPr>
          <w:rFonts w:ascii="Arial" w:cs="Arial" w:eastAsia="Arial" w:hAnsi="Arial"/>
          <w:sz w:val="17"/>
          <w:szCs w:val="17"/>
          <w:color w:val="auto"/>
        </w:rPr>
        <w:t>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the determination of the fair value of the warrant and embedded derivative liabilities; the accounting for research and development costs; and the recoverability of the Company’s net deferred tax assets and related valuation allowance.</w:t>
      </w:r>
    </w:p>
    <w:p>
      <w:pPr>
        <w:spacing w:after="0" w:line="165" w:lineRule="exact"/>
        <w:rPr>
          <w:sz w:val="20"/>
          <w:szCs w:val="20"/>
          <w:color w:val="auto"/>
        </w:rPr>
      </w:pPr>
    </w:p>
    <w:p>
      <w:pPr>
        <w:ind w:right="40" w:firstLine="648"/>
        <w:spacing w:after="0" w:line="226" w:lineRule="auto"/>
        <w:rPr>
          <w:sz w:val="20"/>
          <w:szCs w:val="20"/>
          <w:color w:val="auto"/>
        </w:rPr>
      </w:pPr>
      <w:r>
        <w:rPr>
          <w:rFonts w:ascii="Arial" w:cs="Arial" w:eastAsia="Arial" w:hAnsi="Arial"/>
          <w:sz w:val="17"/>
          <w:szCs w:val="17"/>
          <w:color w:val="auto"/>
        </w:rPr>
        <w:t>Prior to being a public company, the Company utilized significant estimates and assumptions in determining the fair value of its common stock. The Company granted stock options at exercise prices not less than the fair market value of its common stock as determined by the board of directors, with input from management. The board of directors determined the estimated fair value of the Company’s common stock based on a number of objective and subjective factors, including external market conditions affecting the biotechnology industry, the prices at which the Company issued convertible notes, and the likelihood of achieving a liquidity event, such as an IPO or sale of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89"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Expenses denominated in foreign currency are translated into U.S. dollars at the exchange rate on the date the expense is incurred. Assets and liabilities of foreign operations are translated at period-end exchange rates. The effect of exchange rate fluctuations on translating foreign currency into U.S. dollars is included in the Statements of Operations and is not material to the Company’s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189" w:lineRule="exact"/>
        <w:rPr>
          <w:sz w:val="20"/>
          <w:szCs w:val="20"/>
          <w:color w:val="auto"/>
        </w:rPr>
      </w:pPr>
    </w:p>
    <w:p>
      <w:pPr>
        <w:jc w:val="both"/>
        <w:ind w:right="120" w:firstLine="648"/>
        <w:spacing w:after="0" w:line="232" w:lineRule="auto"/>
        <w:rPr>
          <w:sz w:val="20"/>
          <w:szCs w:val="20"/>
          <w:color w:val="auto"/>
        </w:rPr>
      </w:pPr>
      <w:r>
        <w:rPr>
          <w:rFonts w:ascii="Arial" w:cs="Arial" w:eastAsia="Arial" w:hAnsi="Arial"/>
          <w:sz w:val="17"/>
          <w:szCs w:val="17"/>
          <w:color w:val="auto"/>
        </w:rPr>
        <w:t>Operating segments are defined as components of an enterprise for which separate discrete information is available for evaluation by the chief operating decision maker or decision making group, in deciding how to allocate resources and in assessing performance. The Company views its operations and manages its business as one operating segment, which is the business of developing novel therapies for the management of CNS disorders.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89" w:lineRule="exact"/>
        <w:rPr>
          <w:sz w:val="20"/>
          <w:szCs w:val="20"/>
          <w:color w:val="auto"/>
        </w:rPr>
      </w:pPr>
    </w:p>
    <w:p>
      <w:pPr>
        <w:jc w:val="both"/>
        <w:ind w:right="40" w:firstLine="648"/>
        <w:spacing w:after="0" w:line="224" w:lineRule="auto"/>
        <w:rPr>
          <w:sz w:val="20"/>
          <w:szCs w:val="20"/>
          <w:color w:val="auto"/>
        </w:rPr>
      </w:pPr>
      <w:r>
        <w:rPr>
          <w:rFonts w:ascii="Arial" w:cs="Arial" w:eastAsia="Arial" w:hAnsi="Arial"/>
          <w:sz w:val="18"/>
          <w:szCs w:val="18"/>
          <w:color w:val="auto"/>
        </w:rPr>
        <w:t>The Company considers all highly liquid investments that have maturities of three months or less when acquired to be cash equivalents. Cash equivalents are valued at cost, which approximates their fair value. There were no cash equivalents at December 31, 2017 and 2016.</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89" w:lineRule="exact"/>
        <w:rPr>
          <w:sz w:val="20"/>
          <w:szCs w:val="20"/>
          <w:color w:val="auto"/>
        </w:rPr>
      </w:pPr>
    </w:p>
    <w:p>
      <w:pPr>
        <w:ind w:right="80" w:firstLine="648"/>
        <w:spacing w:after="0" w:line="229"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of cash. The Company maintains its cash at financial institutions, which at times, exceed federally insured limits. At December 31, 2017, the majority of the Company’s cash was held by one financial institution and the amount on deposit was in excess of Federal Deposit Insurance Corporation insurance limits. The Company has not recognized any losses from credit risks on such accounts since inception. The Company believes it is not exposed to significant credit risk on cash.</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89" w:lineRule="exact"/>
        <w:rPr>
          <w:sz w:val="20"/>
          <w:szCs w:val="20"/>
          <w:color w:val="auto"/>
        </w:rPr>
      </w:pPr>
    </w:p>
    <w:p>
      <w:pPr>
        <w:ind w:right="60" w:firstLine="648"/>
        <w:spacing w:after="0" w:line="187" w:lineRule="exact"/>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w:t>
      </w:r>
      <w:r>
        <w:rPr>
          <w:rFonts w:ascii="MS PGothic" w:cs="MS PGothic" w:eastAsia="MS PGothic" w:hAnsi="MS PGothic"/>
          <w:sz w:val="16"/>
          <w:szCs w:val="16"/>
          <w:color w:val="auto"/>
        </w:rPr>
        <w:t>‑</w:t>
      </w:r>
      <w:r>
        <w:rPr>
          <w:rFonts w:ascii="Arial" w:cs="Arial" w:eastAsia="Arial" w:hAnsi="Arial"/>
          <w:sz w:val="16"/>
          <w:szCs w:val="16"/>
          <w:color w:val="auto"/>
        </w:rPr>
        <w:t>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162"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 that the Company has the ability to access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measurement date.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7" w:name="page138"/>
    <w:bookmarkEnd w:id="1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quoted prices in active markets that are observable for the asset or liability, either 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or indirectly.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unobservable for the asset or liability.</w:t>
      </w:r>
    </w:p>
    <w:p>
      <w:pPr>
        <w:spacing w:after="0" w:line="185" w:lineRule="exact"/>
        <w:rPr>
          <w:sz w:val="20"/>
          <w:szCs w:val="20"/>
          <w:color w:val="auto"/>
        </w:rPr>
      </w:pPr>
    </w:p>
    <w:p>
      <w:pPr>
        <w:ind w:right="120" w:firstLine="648"/>
        <w:spacing w:after="0" w:line="232" w:lineRule="auto"/>
        <w:rPr>
          <w:sz w:val="20"/>
          <w:szCs w:val="20"/>
          <w:color w:val="auto"/>
        </w:rPr>
      </w:pPr>
      <w:r>
        <w:rPr>
          <w:rFonts w:ascii="Arial" w:cs="Arial" w:eastAsia="Arial" w:hAnsi="Arial"/>
          <w:sz w:val="17"/>
          <w:szCs w:val="17"/>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63" w:lineRule="exact"/>
        <w:rPr>
          <w:sz w:val="20"/>
          <w:szCs w:val="20"/>
          <w:color w:val="auto"/>
        </w:rPr>
      </w:pPr>
    </w:p>
    <w:p>
      <w:pPr>
        <w:ind w:right="20" w:firstLine="648"/>
        <w:spacing w:after="0" w:line="194" w:lineRule="exact"/>
        <w:rPr>
          <w:sz w:val="20"/>
          <w:szCs w:val="20"/>
          <w:color w:val="auto"/>
        </w:rPr>
      </w:pPr>
      <w:r>
        <w:rPr>
          <w:rFonts w:ascii="Arial" w:cs="Arial" w:eastAsia="Arial" w:hAnsi="Arial"/>
          <w:sz w:val="18"/>
          <w:szCs w:val="18"/>
          <w:color w:val="auto"/>
        </w:rPr>
        <w:t>The carrying amounts reported in the accompanying consolidated financial statements for accounts payable and accrued expenses approximate their respective fair values due to their short</w:t>
      </w:r>
      <w:r>
        <w:rPr>
          <w:rFonts w:ascii="MS PGothic" w:cs="MS PGothic" w:eastAsia="MS PGothic" w:hAnsi="MS PGothic"/>
          <w:sz w:val="18"/>
          <w:szCs w:val="18"/>
          <w:color w:val="auto"/>
        </w:rPr>
        <w:t>‑</w:t>
      </w:r>
      <w:r>
        <w:rPr>
          <w:rFonts w:ascii="Arial" w:cs="Arial" w:eastAsia="Arial" w:hAnsi="Arial"/>
          <w:sz w:val="18"/>
          <w:szCs w:val="18"/>
          <w:color w:val="auto"/>
        </w:rPr>
        <w:t>term maturities. The fair value of the warrant and embedded derivative liabilities are discussed in Note 3, “Fair Value Measurements.”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89" w:lineRule="exact"/>
        <w:rPr>
          <w:sz w:val="20"/>
          <w:szCs w:val="20"/>
          <w:color w:val="auto"/>
        </w:rPr>
      </w:pPr>
    </w:p>
    <w:p>
      <w:pPr>
        <w:ind w:right="40" w:firstLine="648"/>
        <w:spacing w:after="0" w:line="189" w:lineRule="exact"/>
        <w:rPr>
          <w:sz w:val="20"/>
          <w:szCs w:val="20"/>
          <w:color w:val="auto"/>
        </w:rPr>
      </w:pPr>
      <w:r>
        <w:rPr>
          <w:rFonts w:ascii="Arial" w:cs="Arial" w:eastAsia="Arial" w:hAnsi="Arial"/>
          <w:sz w:val="18"/>
          <w:szCs w:val="18"/>
          <w:color w:val="auto"/>
        </w:rPr>
        <w:t>The Company incurred third</w:t>
      </w:r>
      <w:r>
        <w:rPr>
          <w:rFonts w:ascii="MS PGothic" w:cs="MS PGothic" w:eastAsia="MS PGothic" w:hAnsi="MS PGothic"/>
          <w:sz w:val="18"/>
          <w:szCs w:val="18"/>
          <w:color w:val="auto"/>
        </w:rPr>
        <w:t>‑</w:t>
      </w:r>
      <w:r>
        <w:rPr>
          <w:rFonts w:ascii="Arial" w:cs="Arial" w:eastAsia="Arial" w:hAnsi="Arial"/>
          <w:sz w:val="18"/>
          <w:szCs w:val="18"/>
          <w:color w:val="auto"/>
        </w:rPr>
        <w:t>party costs in connection with the Company’s convertible notes and term loan as described in Note 6 and Note 7, respectively. These costs are classified on the consolidated balance sheet as a direct deduction from the debt liability. The Company amortizes these costs over the term of its debt agreements as interest expense in the consolidated statement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w:t>
      </w:r>
    </w:p>
    <w:p>
      <w:pPr>
        <w:spacing w:after="0" w:line="189" w:lineRule="exact"/>
        <w:rPr>
          <w:sz w:val="20"/>
          <w:szCs w:val="20"/>
          <w:color w:val="auto"/>
        </w:rPr>
      </w:pPr>
    </w:p>
    <w:p>
      <w:pPr>
        <w:ind w:right="40" w:firstLine="648"/>
        <w:spacing w:after="0" w:line="189" w:lineRule="exact"/>
        <w:rPr>
          <w:sz w:val="20"/>
          <w:szCs w:val="20"/>
          <w:color w:val="auto"/>
        </w:rPr>
      </w:pPr>
      <w:r>
        <w:rPr>
          <w:rFonts w:ascii="Arial" w:cs="Arial" w:eastAsia="Arial" w:hAnsi="Arial"/>
          <w:sz w:val="18"/>
          <w:szCs w:val="18"/>
          <w:color w:val="auto"/>
        </w:rPr>
        <w:t>Equipment consists primarily of computer equipment and is recorded at cost. Equipment is depreciated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89" w:lineRule="exact"/>
        <w:rPr>
          <w:sz w:val="20"/>
          <w:szCs w:val="20"/>
          <w:color w:val="auto"/>
        </w:rPr>
      </w:pPr>
    </w:p>
    <w:p>
      <w:pPr>
        <w:ind w:right="20" w:firstLine="648"/>
        <w:spacing w:after="0" w:line="187" w:lineRule="exact"/>
        <w:rPr>
          <w:sz w:val="20"/>
          <w:szCs w:val="20"/>
          <w:color w:val="auto"/>
        </w:rPr>
      </w:pPr>
      <w:r>
        <w:rPr>
          <w:rFonts w:ascii="Arial" w:cs="Arial" w:eastAsia="Arial" w:hAnsi="Arial"/>
          <w:sz w:val="18"/>
          <w:szCs w:val="18"/>
          <w:color w:val="auto"/>
        </w:rPr>
        <w:t>Research and development expenses primarily consist of costs incurred in performing research and development activities, including preclinical studies, clinical trials, manufacturing costs, employee salaries and benefits,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contract services, including external research and development expenses incurred under arrangements with third parties, such as contract research organizations (“CROs”), facilities costs, overhead costs, depreciation, and other related costs.</w:t>
      </w:r>
    </w:p>
    <w:p>
      <w:pPr>
        <w:spacing w:after="0" w:line="162" w:lineRule="exact"/>
        <w:rPr>
          <w:sz w:val="20"/>
          <w:szCs w:val="20"/>
          <w:color w:val="auto"/>
        </w:rPr>
      </w:pPr>
    </w:p>
    <w:p>
      <w:pPr>
        <w:ind w:right="40" w:firstLine="648"/>
        <w:spacing w:after="0" w:line="233"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The Company makes estimates of costs incurred in relation to external CROs, and clinical site costs. The Company analyzes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The Company reviews and accrues CRO expenses and clinical trial study expenses based on work performed and relies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8" w:name="page139"/>
    <w:bookmarkEnd w:id="1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68" w:lineRule="exact"/>
        <w:rPr>
          <w:sz w:val="20"/>
          <w:szCs w:val="20"/>
          <w:color w:val="auto"/>
        </w:rPr>
      </w:pPr>
    </w:p>
    <w:p>
      <w:pPr>
        <w:ind w:right="100" w:firstLine="648"/>
        <w:spacing w:after="0" w:line="226" w:lineRule="auto"/>
        <w:rPr>
          <w:sz w:val="20"/>
          <w:szCs w:val="20"/>
          <w:color w:val="auto"/>
        </w:rPr>
      </w:pPr>
      <w:r>
        <w:rPr>
          <w:rFonts w:ascii="Arial" w:cs="Arial" w:eastAsia="Arial" w:hAnsi="Arial"/>
          <w:sz w:val="17"/>
          <w:szCs w:val="17"/>
          <w:color w:val="auto"/>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December 31, 2017, the Company does not believe any material uncertain tax positions are present. In the event the Company determines that accrual of interest or penalties are necessary in the future, the amount will be presented as a component of income tax expense.</w:t>
      </w:r>
    </w:p>
    <w:p>
      <w:pPr>
        <w:spacing w:after="0" w:line="16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189"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For stock options issued to employees and members of the Company’s board of directors for their services, the Company estimates the grant date fair value of each option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The Black-Scholes model takes into account the expected volatility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 judgment. In addition, the Company recognizes expense for equity awards expected to vest and accounts for forfeitures as they occur. For awards subject to service-based vesting conditions, the Company recognizes stock-based compensation expense on a straight-line basis over the requisite service period, which is generally the vesting term. For awards subject to performance-based vesting conditions, the Company recognizes stock-based compensation expense using the accelerated attribution method when it is probable that the performance condition will be achieved. The expense related to the stock-based compensation is recorded within the financial statement line item the grantee’s cash compensation is recorded in.</w:t>
      </w:r>
    </w:p>
    <w:p>
      <w:pPr>
        <w:spacing w:after="0" w:line="166"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For stock</w:t>
      </w:r>
      <w:r>
        <w:rPr>
          <w:rFonts w:ascii="MS PGothic" w:cs="MS PGothic" w:eastAsia="MS PGothic" w:hAnsi="MS PGothic"/>
          <w:sz w:val="17"/>
          <w:szCs w:val="17"/>
          <w:color w:val="auto"/>
        </w:rPr>
        <w:t>‑</w:t>
      </w:r>
      <w:r>
        <w:rPr>
          <w:rFonts w:ascii="Arial" w:cs="Arial" w:eastAsia="Arial" w:hAnsi="Arial"/>
          <w:sz w:val="17"/>
          <w:szCs w:val="17"/>
          <w:color w:val="auto"/>
        </w:rPr>
        <w:t>based payments issued to non</w:t>
      </w:r>
      <w:r>
        <w:rPr>
          <w:rFonts w:ascii="MS PGothic" w:cs="MS PGothic" w:eastAsia="MS PGothic" w:hAnsi="MS PGothic"/>
          <w:sz w:val="17"/>
          <w:szCs w:val="17"/>
          <w:color w:val="auto"/>
        </w:rPr>
        <w:t>‑</w:t>
      </w:r>
      <w:r>
        <w:rPr>
          <w:rFonts w:ascii="Arial" w:cs="Arial" w:eastAsia="Arial" w:hAnsi="Arial"/>
          <w:sz w:val="17"/>
          <w:szCs w:val="17"/>
          <w:color w:val="auto"/>
        </w:rPr>
        <w:t>employees, compensation expense is determined at the “measurement date,” which is the earlier of (i) the date at which a commitment for performance by the counterparty to earn the equity instrument is reached or (ii) the date at which the counterparty’s performance is complete. The expense is recognized over the vesting period of the award. Until the measurement date is reached, the total amount of compensation expense remains uncertain. The Company records compensation expense based on the fair value of the award at the reporting date. The awards to non</w:t>
      </w:r>
      <w:r>
        <w:rPr>
          <w:rFonts w:ascii="MS PGothic" w:cs="MS PGothic" w:eastAsia="MS PGothic" w:hAnsi="MS PGothic"/>
          <w:sz w:val="17"/>
          <w:szCs w:val="17"/>
          <w:color w:val="auto"/>
        </w:rPr>
        <w:t>‑</w:t>
      </w:r>
      <w:r>
        <w:rPr>
          <w:rFonts w:ascii="Arial" w:cs="Arial" w:eastAsia="Arial" w:hAnsi="Arial"/>
          <w:sz w:val="17"/>
          <w:szCs w:val="17"/>
          <w:color w:val="auto"/>
        </w:rPr>
        <w:t>employees are then revalued, or the total compensation is recalculated based on the then</w:t>
      </w:r>
      <w:r>
        <w:rPr>
          <w:rFonts w:ascii="MS PGothic" w:cs="MS PGothic" w:eastAsia="MS PGothic" w:hAnsi="MS PGothic"/>
          <w:sz w:val="17"/>
          <w:szCs w:val="17"/>
          <w:color w:val="auto"/>
        </w:rPr>
        <w:t>‑</w:t>
      </w:r>
      <w:r>
        <w:rPr>
          <w:rFonts w:ascii="Arial" w:cs="Arial" w:eastAsia="Arial" w:hAnsi="Arial"/>
          <w:sz w:val="17"/>
          <w:szCs w:val="17"/>
          <w:color w:val="auto"/>
        </w:rPr>
        <w:t>current fair value, at each subsequent reporting date.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Credit</w:t>
      </w:r>
    </w:p>
    <w:p>
      <w:pPr>
        <w:spacing w:after="0" w:line="189" w:lineRule="exact"/>
        <w:rPr>
          <w:sz w:val="20"/>
          <w:szCs w:val="20"/>
          <w:color w:val="auto"/>
        </w:rPr>
      </w:pPr>
    </w:p>
    <w:p>
      <w:pPr>
        <w:ind w:right="20" w:firstLine="648"/>
        <w:spacing w:after="0" w:line="232" w:lineRule="auto"/>
        <w:rPr>
          <w:sz w:val="20"/>
          <w:szCs w:val="20"/>
          <w:color w:val="auto"/>
        </w:rPr>
      </w:pPr>
      <w:r>
        <w:rPr>
          <w:rFonts w:ascii="Arial" w:cs="Arial" w:eastAsia="Arial" w:hAnsi="Arial"/>
          <w:sz w:val="17"/>
          <w:szCs w:val="17"/>
          <w:color w:val="auto"/>
        </w:rPr>
        <w:t>The tax credit represents the receipt of the New York City Biotechnology Tax Credit, or NYC Biotech credit, and receipt by Axsome Therapeutics Australia PTY, LTD, our Australian subsidiary, of the Australia Tax Incentive Credit, related to our research and development expenses incurred for our product candidates. These expenses were incurred in prior periods and therefore the grant income was recorded when the funds were received.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189" w:lineRule="exact"/>
        <w:rPr>
          <w:sz w:val="20"/>
          <w:szCs w:val="20"/>
          <w:color w:val="auto"/>
        </w:rPr>
      </w:pPr>
    </w:p>
    <w:p>
      <w:pPr>
        <w:ind w:right="20" w:firstLine="648"/>
        <w:spacing w:after="0" w:line="189" w:lineRule="exact"/>
        <w:rPr>
          <w:sz w:val="20"/>
          <w:szCs w:val="20"/>
          <w:color w:val="auto"/>
        </w:rPr>
      </w:pPr>
      <w:r>
        <w:rPr>
          <w:rFonts w:ascii="Arial" w:cs="Arial" w:eastAsia="Arial" w:hAnsi="Arial"/>
          <w:sz w:val="16"/>
          <w:szCs w:val="16"/>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convertible notes, warrants, and stock options, which would result in the issuance of incremental shares of common stock. As the impact of these items is anti</w:t>
      </w:r>
      <w:r>
        <w:rPr>
          <w:rFonts w:ascii="MS PGothic" w:cs="MS PGothic" w:eastAsia="MS PGothic" w:hAnsi="MS PGothic"/>
          <w:sz w:val="16"/>
          <w:szCs w:val="16"/>
          <w:color w:val="auto"/>
        </w:rPr>
        <w:t>‑</w:t>
      </w:r>
      <w:r>
        <w:rPr>
          <w:rFonts w:ascii="Arial" w:cs="Arial" w:eastAsia="Arial" w:hAnsi="Arial"/>
          <w:sz w:val="16"/>
          <w:szCs w:val="16"/>
          <w:color w:val="auto"/>
        </w:rPr>
        <w:t>dilutive during</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9" w:name="page140"/>
    <w:bookmarkEnd w:id="1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periods of net loss, there was no difference between basic and diluted net loss per share of common stock for the years ended December 31, 2017, 2016, and 2015.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right="20" w:firstLine="647"/>
        <w:spacing w:after="0" w:line="221" w:lineRule="auto"/>
        <w:rPr>
          <w:sz w:val="20"/>
          <w:szCs w:val="20"/>
          <w:color w:val="auto"/>
        </w:rPr>
      </w:pPr>
      <w:r>
        <w:rPr>
          <w:rFonts w:ascii="Arial" w:cs="Arial" w:eastAsia="Arial" w:hAnsi="Arial"/>
          <w:sz w:val="17"/>
          <w:szCs w:val="17"/>
          <w:color w:val="auto"/>
        </w:rPr>
        <w:t>In February 2016, the Financial Accounting Standards Board (“FASB”) issued Accounting Standards Update (“ASU”) No. 2016-02, Leases (Topic 842), which supersedes FASB Topic 840, Leases (Topic 840) and provides principles for the recognition, measurement, presentation and disclosure of leases for both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twelve months regardless of classification. Leases with a term of twelve months or less will be accounted for similarly to existing guidance for operating leases. The standard will be effective for annual and interim periods beginning after December 15, 2018, with early adoption permitted upon issuance. The Company is currently evaluating the potential impact of the new guidance.</w:t>
      </w:r>
    </w:p>
    <w:p>
      <w:pPr>
        <w:spacing w:after="0" w:line="59" w:lineRule="exact"/>
        <w:rPr>
          <w:sz w:val="20"/>
          <w:szCs w:val="20"/>
          <w:color w:val="auto"/>
        </w:rPr>
      </w:pPr>
    </w:p>
    <w:p>
      <w:pPr>
        <w:ind w:right="60" w:firstLine="647"/>
        <w:spacing w:after="0" w:line="212"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 Classification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Certain Cash Receipts and Cash Payments, </w:t>
      </w:r>
      <w:r>
        <w:rPr>
          <w:rFonts w:ascii="Arial" w:cs="Arial" w:eastAsia="Arial" w:hAnsi="Arial"/>
          <w:sz w:val="18"/>
          <w:szCs w:val="18"/>
          <w:color w:val="auto"/>
        </w:rPr>
        <w:t>which is guidance to address diversity in practice with respect to how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cash receipts and cash payments are presented and classified in the statement of cash flows. The updated guidance addresses eight specific cash flow issues with the objective of reducing the existing diversity that occurs in practice. The guidance is effective for annual and interim periods beginning after December 15, 2017. The Company will adopt this guidance effective January 1, 2018 and the adoption of the guidance is not anticipated to have a material impact on the Company’s financial statements.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In May 2017, the FASB issued No. ASU 2017-09, </w:t>
      </w:r>
      <w:r>
        <w:rPr>
          <w:rFonts w:ascii="Arial" w:cs="Arial" w:eastAsia="Arial" w:hAnsi="Arial"/>
          <w:sz w:val="17"/>
          <w:szCs w:val="17"/>
          <w:i w:val="1"/>
          <w:iCs w:val="1"/>
          <w:color w:val="auto"/>
        </w:rPr>
        <w:t>Compensation-Stock Compensation (Topic 718): Scope of</w:t>
      </w:r>
    </w:p>
    <w:p>
      <w:pPr>
        <w:spacing w:after="0" w:line="23" w:lineRule="exact"/>
        <w:rPr>
          <w:sz w:val="20"/>
          <w:szCs w:val="20"/>
          <w:color w:val="auto"/>
        </w:rPr>
      </w:pPr>
    </w:p>
    <w:p>
      <w:pPr>
        <w:ind w:right="20"/>
        <w:spacing w:after="0" w:line="211" w:lineRule="auto"/>
        <w:rPr>
          <w:sz w:val="20"/>
          <w:szCs w:val="20"/>
          <w:color w:val="auto"/>
        </w:rPr>
      </w:pPr>
      <w:r>
        <w:rPr>
          <w:rFonts w:ascii="Arial" w:cs="Arial" w:eastAsia="Arial" w:hAnsi="Arial"/>
          <w:sz w:val="18"/>
          <w:szCs w:val="18"/>
          <w:i w:val="1"/>
          <w:iCs w:val="1"/>
          <w:color w:val="auto"/>
        </w:rPr>
        <w:t>Modification Accounting</w:t>
      </w:r>
      <w:r>
        <w:rPr>
          <w:rFonts w:ascii="Arial" w:cs="Arial" w:eastAsia="Arial" w:hAnsi="Arial"/>
          <w:sz w:val="18"/>
          <w:szCs w:val="18"/>
          <w:color w:val="auto"/>
        </w:rPr>
        <w:t>. ASU 2017-09 provides clarity and reduces both (1) diversity in practice and (2) cost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complexity when applying the guidance in Topic 718, to a change to the terms or conditions of a share-based payment award. The amendments in ASU 2017-09 should be applied prospectively to an award modified on or after the adoption date. This ASU is effective for fiscal years beginning after December 15, 2017, including interim periods within those years. The Company will adopt this guidance effective January 1, 2018 and the adoption of the guidance is not anticipated to have a material impact on the Company’s financial statements.</w:t>
      </w:r>
    </w:p>
    <w:p>
      <w:pPr>
        <w:spacing w:after="0" w:line="15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Fair Value Measurements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Warrants associated with Registered Direct Offering</w:t>
      </w:r>
    </w:p>
    <w:p>
      <w:pPr>
        <w:spacing w:after="0" w:line="189"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 xml:space="preserve">In accordance with </w:t>
      </w:r>
      <w:r>
        <w:rPr>
          <w:rFonts w:ascii="Arial" w:cs="Arial" w:eastAsia="Arial" w:hAnsi="Arial"/>
          <w:sz w:val="16"/>
          <w:szCs w:val="16"/>
          <w:i w:val="1"/>
          <w:iCs w:val="1"/>
          <w:color w:val="auto"/>
        </w:rPr>
        <w:t>ASC820, Fair Value Measurements and Disclosures</w:t>
      </w:r>
      <w:r>
        <w:rPr>
          <w:rFonts w:ascii="Arial" w:cs="Arial" w:eastAsia="Arial" w:hAnsi="Arial"/>
          <w:sz w:val="16"/>
          <w:szCs w:val="16"/>
          <w:color w:val="auto"/>
        </w:rPr>
        <w:t>, financial instruments were measured at fair value using a three-level hierarchy which maximizes use of observable inputs and minimizes use of unobservable inputs:</w:t>
      </w:r>
    </w:p>
    <w:p>
      <w:pPr>
        <w:spacing w:after="0" w:line="124" w:lineRule="exact"/>
        <w:rPr>
          <w:sz w:val="20"/>
          <w:szCs w:val="20"/>
          <w:color w:val="auto"/>
        </w:rPr>
      </w:pPr>
    </w:p>
    <w:p>
      <w:pPr>
        <w:ind w:left="660" w:right="60"/>
        <w:spacing w:after="0" w:line="235"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 that the Company has the ability to access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measurement date.</w:t>
      </w:r>
    </w:p>
    <w:p>
      <w:pPr>
        <w:spacing w:after="0" w:line="162" w:lineRule="exact"/>
        <w:rPr>
          <w:sz w:val="20"/>
          <w:szCs w:val="20"/>
          <w:color w:val="auto"/>
        </w:rPr>
      </w:pPr>
    </w:p>
    <w:p>
      <w:pPr>
        <w:ind w:left="660"/>
        <w:spacing w:after="0" w:line="235"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quoted prices in active markets that are observable for the asset or liability, either 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or indirectly.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unobservable for the asset or liability.</w:t>
      </w:r>
    </w:p>
    <w:p>
      <w:pPr>
        <w:spacing w:after="0" w:line="185"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In connection with the Company’s December 4, 2017 registered direct offering (the “Registered Direct Offering”), the Company issued common stock warrants (“Common Warrants”) to certain investors to purchase an aggregate of 1,783,587 shares of its common stock. The Common Warrants are exercisable at $5.25 per share and expire on December 11, 2018. Additionally, as part of the Registered Direct Offering, the Company issued warrants (the “Placement Agent Warrants’) to certain investors affiliated with H.C. Wainwright &amp; Co., LLC, the placement agent in the Registered Direct Offering to purchase an aggregate of 107,015 shares of its common stock. The Placement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40" w:name="page141"/>
    <w:bookmarkEnd w:id="1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19"/>
        <w:spacing w:after="0" w:line="216" w:lineRule="auto"/>
        <w:rPr>
          <w:sz w:val="20"/>
          <w:szCs w:val="20"/>
          <w:color w:val="auto"/>
        </w:rPr>
      </w:pPr>
      <w:r>
        <w:rPr>
          <w:rFonts w:ascii="Arial" w:cs="Arial" w:eastAsia="Arial" w:hAnsi="Arial"/>
          <w:sz w:val="18"/>
          <w:szCs w:val="18"/>
          <w:color w:val="auto"/>
        </w:rPr>
        <w:t>Agent Warrants are exercisable at $6.6562 and expire on December 11, 2018. The Common Warrants and Placement Agent Warrants were analyzed and it was determined that they require liability treatment. Under ASC 815, registered common stock warrants that require the issuance of registered shares upon exercise and do not expressly preclude an implied right to cash settlement are accounted for as derivative liabilities. The Company classifies these derivative warrant liabilities on the consolidated balance sheet as a current liability.</w:t>
      </w:r>
    </w:p>
    <w:p>
      <w:pPr>
        <w:spacing w:after="0" w:line="162" w:lineRule="exact"/>
        <w:rPr>
          <w:sz w:val="20"/>
          <w:szCs w:val="20"/>
          <w:color w:val="auto"/>
        </w:rPr>
      </w:pPr>
    </w:p>
    <w:p>
      <w:pPr>
        <w:ind w:right="19" w:firstLine="648"/>
        <w:spacing w:after="0" w:line="241" w:lineRule="auto"/>
        <w:rPr>
          <w:sz w:val="20"/>
          <w:szCs w:val="20"/>
          <w:color w:val="auto"/>
        </w:rPr>
      </w:pPr>
      <w:r>
        <w:rPr>
          <w:rFonts w:ascii="Arial" w:cs="Arial" w:eastAsia="Arial" w:hAnsi="Arial"/>
          <w:sz w:val="16"/>
          <w:szCs w:val="16"/>
          <w:color w:val="auto"/>
        </w:rPr>
        <w:t>The fair value of the Common Warrants at December 4, 2017, the date these warrants were issued, and December 31, 2017 were determined to be approximately $2,064,000 and $2,683,000, respectively, as calculated using Black-Scholes with the following assumptions: (1) stock price of $5.00 and $5.60, respectively; (2) a risk-free rate of 1.66% and 1.76%, respectively; and (3) an expected volatility of 61% and 62%, respectively. The fair value of the Common Warrants were reported as a warrant liability on the balance sheet and the change in the fair value between December 4, 2017 and December 31, 2017 is reported as a change in fair value of the warrant liability on the statement of operations.</w:t>
      </w:r>
    </w:p>
    <w:p>
      <w:pPr>
        <w:spacing w:after="0" w:line="161" w:lineRule="exact"/>
        <w:rPr>
          <w:sz w:val="20"/>
          <w:szCs w:val="20"/>
          <w:color w:val="auto"/>
        </w:rPr>
      </w:pPr>
    </w:p>
    <w:p>
      <w:pPr>
        <w:ind w:right="19" w:firstLine="648"/>
        <w:spacing w:after="0" w:line="241" w:lineRule="auto"/>
        <w:rPr>
          <w:sz w:val="20"/>
          <w:szCs w:val="20"/>
          <w:color w:val="auto"/>
        </w:rPr>
      </w:pPr>
      <w:r>
        <w:rPr>
          <w:rFonts w:ascii="Arial" w:cs="Arial" w:eastAsia="Arial" w:hAnsi="Arial"/>
          <w:sz w:val="16"/>
          <w:szCs w:val="16"/>
          <w:color w:val="auto"/>
        </w:rPr>
        <w:t>The fair value of the Placement Agent Warrants at December 4, 2017, the date these warrants were issued, and December 31, 2017 were determined to be approximately $81,000 and $108,000, respectively, as calculated using Black-Scholes with the following assumptions: (1) stock price of $5.00 and $5.60, respectively; (2) a risk-free rate of 1.66% and 1.76%, respectively; and (3) an expected volatility of 61% and 62%, respectively. The fair value of the Placement Agent Warrants were reported as a warrant liability on the balance sheet and the change in the fair value between December 4, 2017 and December 31, 2017 is reported as a change in fair value of the warrant liability on the statement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Level 3 Fair Value Sensitivity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185" w:lineRule="exact"/>
        <w:rPr>
          <w:sz w:val="20"/>
          <w:szCs w:val="20"/>
          <w:color w:val="auto"/>
        </w:rPr>
      </w:pPr>
    </w:p>
    <w:p>
      <w:pPr>
        <w:ind w:right="99"/>
        <w:spacing w:after="0" w:line="235" w:lineRule="auto"/>
        <w:rPr>
          <w:sz w:val="20"/>
          <w:szCs w:val="20"/>
          <w:color w:val="auto"/>
        </w:rPr>
      </w:pPr>
      <w:r>
        <w:rPr>
          <w:rFonts w:ascii="Arial" w:cs="Arial" w:eastAsia="Arial" w:hAnsi="Arial"/>
          <w:sz w:val="18"/>
          <w:szCs w:val="18"/>
          <w:color w:val="auto"/>
        </w:rPr>
        <w:t>As of December 31, 2017, the fair value of the warrant liability utilizes inputs including: share price, expected volatility and risk-free rate.</w:t>
      </w:r>
    </w:p>
    <w:p>
      <w:pPr>
        <w:sectPr>
          <w:pgSz w:w="11900" w:h="16838" w:orient="portrait"/>
          <w:cols w:equalWidth="0" w:num="1">
            <w:col w:w="9039"/>
          </w:cols>
          <w:pgMar w:left="1420" w:top="111" w:right="1440"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6"/>
          <w:szCs w:val="6"/>
          <w:color w:val="auto"/>
        </w:rPr>
        <w:t>·</w:t>
      </w:r>
    </w:p>
    <w:p>
      <w:pPr>
        <w:spacing w:after="0" w:line="390" w:lineRule="exact"/>
        <w:rPr>
          <w:sz w:val="20"/>
          <w:szCs w:val="20"/>
          <w:color w:val="auto"/>
        </w:rPr>
      </w:pPr>
    </w:p>
    <w:p>
      <w:pPr>
        <w:spacing w:after="0"/>
        <w:rPr>
          <w:sz w:val="20"/>
          <w:szCs w:val="20"/>
          <w:color w:val="auto"/>
        </w:rPr>
      </w:pPr>
      <w:r>
        <w:rPr>
          <w:rFonts w:ascii="Arial" w:cs="Arial" w:eastAsia="Arial" w:hAnsi="Arial"/>
          <w:sz w:val="6"/>
          <w:szCs w:val="6"/>
          <w:color w:val="auto"/>
        </w:rPr>
        <w:t>·</w:t>
      </w:r>
    </w:p>
    <w:p>
      <w:pPr>
        <w:spacing w:after="0" w:line="390" w:lineRule="exact"/>
        <w:rPr>
          <w:sz w:val="20"/>
          <w:szCs w:val="20"/>
          <w:color w:val="auto"/>
        </w:rPr>
      </w:pPr>
    </w:p>
    <w:p>
      <w:pPr>
        <w:spacing w:after="0"/>
        <w:rPr>
          <w:sz w:val="20"/>
          <w:szCs w:val="20"/>
          <w:color w:val="auto"/>
        </w:rPr>
      </w:pPr>
      <w:r>
        <w:rPr>
          <w:rFonts w:ascii="Arial" w:cs="Arial" w:eastAsia="Arial" w:hAnsi="Arial"/>
          <w:sz w:val="6"/>
          <w:szCs w:val="6"/>
          <w:color w:val="auto"/>
        </w:rPr>
        <w:t>·</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right="139"/>
        <w:spacing w:after="0" w:line="235" w:lineRule="auto"/>
        <w:rPr>
          <w:sz w:val="20"/>
          <w:szCs w:val="20"/>
          <w:color w:val="auto"/>
        </w:rPr>
      </w:pPr>
      <w:r>
        <w:rPr>
          <w:rFonts w:ascii="Arial" w:cs="Arial" w:eastAsia="Arial" w:hAnsi="Arial"/>
          <w:sz w:val="18"/>
          <w:szCs w:val="18"/>
          <w:color w:val="auto"/>
        </w:rPr>
        <w:t>A 10% plus/minus change in share price will result in an estimated increase/decrease of $0.7 million in the value of the warrant liability,</w:t>
      </w:r>
    </w:p>
    <w:p>
      <w:pPr>
        <w:spacing w:after="0" w:line="54" w:lineRule="exact"/>
        <w:rPr>
          <w:sz w:val="20"/>
          <w:szCs w:val="20"/>
          <w:color w:val="auto"/>
        </w:rPr>
      </w:pPr>
    </w:p>
    <w:p>
      <w:pPr>
        <w:ind w:right="219"/>
        <w:spacing w:after="0" w:line="235" w:lineRule="auto"/>
        <w:rPr>
          <w:sz w:val="20"/>
          <w:szCs w:val="20"/>
          <w:color w:val="auto"/>
        </w:rPr>
      </w:pPr>
      <w:r>
        <w:rPr>
          <w:rFonts w:ascii="Arial" w:cs="Arial" w:eastAsia="Arial" w:hAnsi="Arial"/>
          <w:sz w:val="18"/>
          <w:szCs w:val="18"/>
          <w:color w:val="auto"/>
        </w:rPr>
        <w:t>A 10% plus/minus change in the expected volatility will result in an estimated increase/decrease of $0.2 million in the value of the warrant liability, and</w:t>
      </w:r>
    </w:p>
    <w:p>
      <w:pPr>
        <w:spacing w:after="0" w:line="67" w:lineRule="exact"/>
        <w:rPr>
          <w:sz w:val="20"/>
          <w:szCs w:val="20"/>
          <w:color w:val="auto"/>
        </w:rPr>
      </w:pPr>
    </w:p>
    <w:p>
      <w:pPr>
        <w:ind w:right="339"/>
        <w:spacing w:after="0" w:line="293" w:lineRule="auto"/>
        <w:rPr>
          <w:sz w:val="20"/>
          <w:szCs w:val="20"/>
          <w:color w:val="auto"/>
        </w:rPr>
      </w:pPr>
      <w:r>
        <w:rPr>
          <w:rFonts w:ascii="Arial" w:cs="Arial" w:eastAsia="Arial" w:hAnsi="Arial"/>
          <w:sz w:val="18"/>
          <w:szCs w:val="18"/>
          <w:color w:val="auto"/>
        </w:rPr>
        <w:t>A 10% plus/minus change in the risk-free interest rate will result in an immaterial change in the value of the warrant liability.</w:t>
      </w:r>
    </w:p>
    <w:p>
      <w:pPr>
        <w:spacing w:after="0" w:line="200" w:lineRule="exact"/>
        <w:rPr>
          <w:sz w:val="20"/>
          <w:szCs w:val="20"/>
          <w:color w:val="auto"/>
        </w:rPr>
      </w:pPr>
    </w:p>
    <w:p>
      <w:pPr>
        <w:sectPr>
          <w:pgSz w:w="11900" w:h="16838" w:orient="portrait"/>
          <w:cols w:equalWidth="0" w:num="2">
            <w:col w:w="20" w:space="300"/>
            <w:col w:w="8719"/>
          </w:cols>
          <w:pgMar w:left="1420" w:top="111" w:right="1440" w:bottom="1440" w:gutter="0" w:footer="0" w:header="0"/>
          <w:type w:val="continuous"/>
        </w:sectPr>
      </w:pP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575437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type w:val="continuous"/>
        </w:sectPr>
      </w:pPr>
    </w:p>
    <w:bookmarkStart w:id="141" w:name="page142"/>
    <w:bookmarkEnd w:id="1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financial liabilities measured at fair value on a recurring basis as of December 31, 2016 and 2015.</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a summary of changes in the fair value of Level 3 liabilities for the years ended</w:t>
      </w:r>
    </w:p>
    <w:p>
      <w:pPr>
        <w:spacing w:after="0"/>
        <w:rPr>
          <w:sz w:val="20"/>
          <w:szCs w:val="20"/>
          <w:color w:val="auto"/>
        </w:rPr>
      </w:pPr>
      <w:r>
        <w:rPr>
          <w:rFonts w:ascii="Arial" w:cs="Arial" w:eastAsia="Arial" w:hAnsi="Arial"/>
          <w:sz w:val="18"/>
          <w:szCs w:val="18"/>
          <w:color w:val="auto"/>
        </w:rPr>
        <w:t>December 31, 2017, 2016, and 2015:</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0" w:type="dxa"/>
            <w:vAlign w:val="bottom"/>
          </w:tcPr>
          <w:p>
            <w:pPr>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Pr>
          <w:p>
            <w:pPr>
              <w:spacing w:after="0"/>
              <w:rPr>
                <w:sz w:val="14"/>
                <w:szCs w:val="14"/>
                <w:color w:val="auto"/>
              </w:rPr>
            </w:pPr>
          </w:p>
        </w:tc>
        <w:tc>
          <w:tcPr>
            <w:tcW w:w="1260" w:type="dxa"/>
            <w:vAlign w:val="bottom"/>
            <w:gridSpan w:val="4"/>
          </w:tcPr>
          <w:p>
            <w:pPr>
              <w:ind w:left="20"/>
              <w:spacing w:after="0"/>
              <w:rPr>
                <w:sz w:val="20"/>
                <w:szCs w:val="20"/>
                <w:color w:val="auto"/>
              </w:rPr>
            </w:pPr>
            <w:r>
              <w:rPr>
                <w:rFonts w:ascii="Arial" w:cs="Arial" w:eastAsia="Arial" w:hAnsi="Arial"/>
                <w:sz w:val="14"/>
                <w:szCs w:val="14"/>
                <w:b w:val="1"/>
                <w:bCs w:val="1"/>
                <w:color w:val="auto"/>
                <w:w w:val="92"/>
              </w:rPr>
              <w:t>Beginning of period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8"/>
              </w:rPr>
              <w:t>Issuances</w:t>
            </w: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w w:val="98"/>
              </w:rPr>
              <w:t>Change in fair value (3)</w:t>
            </w: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w w:val="95"/>
              </w:rPr>
              <w:t>Extinguishments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End of period</w:t>
            </w:r>
          </w:p>
        </w:tc>
      </w:tr>
      <w:tr>
        <w:trPr>
          <w:trHeight w:val="169"/>
        </w:trPr>
        <w:tc>
          <w:tcPr>
            <w:tcW w:w="280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Warrant liability</w:t>
            </w:r>
          </w:p>
        </w:tc>
        <w:tc>
          <w:tcPr>
            <w:tcW w:w="1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center"/>
              <w:ind w:left="330"/>
              <w:spacing w:after="0" w:line="170" w:lineRule="exact"/>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3"/>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2,145,000</w:t>
            </w:r>
          </w:p>
        </w:tc>
        <w:tc>
          <w:tcPr>
            <w:tcW w:w="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646,000</w:t>
            </w: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gridSpan w:val="2"/>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4"/>
              </w:rPr>
              <w:t>2,791,000</w:t>
            </w:r>
          </w:p>
        </w:tc>
        <w:tc>
          <w:tcPr>
            <w:tcW w:w="20" w:type="dxa"/>
            <w:vAlign w:val="bottom"/>
            <w:tcBorders>
              <w:top w:val="single" w:sz="8" w:color="auto"/>
            </w:tcBorders>
            <w:shd w:val="clear" w:color="auto" w:fill="CCEEFF"/>
          </w:tcPr>
          <w:p>
            <w:pPr>
              <w:spacing w:after="0"/>
              <w:rPr>
                <w:sz w:val="14"/>
                <w:szCs w:val="14"/>
                <w:color w:val="auto"/>
              </w:rPr>
            </w:pPr>
          </w:p>
        </w:tc>
      </w:tr>
      <w:tr>
        <w:trPr>
          <w:trHeight w:val="176"/>
        </w:trPr>
        <w:tc>
          <w:tcPr>
            <w:tcW w:w="2800" w:type="dxa"/>
            <w:vAlign w:val="bottom"/>
          </w:tcPr>
          <w:p>
            <w:pPr>
              <w:spacing w:after="0" w:line="176" w:lineRule="exact"/>
              <w:rPr>
                <w:sz w:val="20"/>
                <w:szCs w:val="20"/>
                <w:color w:val="auto"/>
              </w:rPr>
            </w:pPr>
            <w:r>
              <w:rPr>
                <w:rFonts w:ascii="Arial" w:cs="Arial" w:eastAsia="Arial" w:hAnsi="Arial"/>
                <w:sz w:val="18"/>
                <w:szCs w:val="18"/>
                <w:color w:val="auto"/>
              </w:rPr>
              <w:t>Embedded derivative liabilities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center"/>
              <w:ind w:left="330"/>
              <w:spacing w:after="0" w:line="176"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w:t>
            </w:r>
          </w:p>
        </w:tc>
      </w:tr>
      <w:tr>
        <w:trPr>
          <w:trHeight w:val="176"/>
        </w:trPr>
        <w:tc>
          <w:tcPr>
            <w:tcW w:w="2800" w:type="dxa"/>
            <w:vAlign w:val="bottom"/>
            <w:tcBorders>
              <w:top w:val="single" w:sz="8" w:color="CCEEFF"/>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center"/>
              <w:ind w:left="330"/>
              <w:spacing w:after="0" w:line="170" w:lineRule="exact"/>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3"/>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2,145,000</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646,000</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gridSpan w:val="2"/>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4"/>
              </w:rPr>
              <w:t>2,791,000</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r>
      <w:tr>
        <w:trPr>
          <w:trHeight w:val="527"/>
        </w:trPr>
        <w:tc>
          <w:tcPr>
            <w:tcW w:w="2800" w:type="dxa"/>
            <w:vAlign w:val="bottom"/>
          </w:tcPr>
          <w:p>
            <w:pPr>
              <w:spacing w:after="0"/>
              <w:rPr>
                <w:sz w:val="20"/>
                <w:szCs w:val="20"/>
                <w:color w:val="auto"/>
              </w:rPr>
            </w:pPr>
            <w:r>
              <w:rPr>
                <w:rFonts w:ascii="Arial" w:cs="Arial" w:eastAsia="Arial" w:hAnsi="Arial"/>
                <w:sz w:val="14"/>
                <w:szCs w:val="14"/>
                <w:b w:val="1"/>
                <w:bCs w:val="1"/>
                <w:color w:val="auto"/>
              </w:rPr>
              <w:t>December 31, 2016</w:t>
            </w:r>
          </w:p>
        </w:tc>
        <w:tc>
          <w:tcPr>
            <w:tcW w:w="18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4"/>
                <w:szCs w:val="14"/>
                <w:b w:val="1"/>
                <w:bCs w:val="1"/>
                <w:color w:val="auto"/>
                <w:w w:val="92"/>
              </w:rPr>
              <w:t>Beginning of period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8"/>
              </w:rPr>
              <w:t>Issuances</w:t>
            </w:r>
          </w:p>
        </w:tc>
        <w:tc>
          <w:tcPr>
            <w:tcW w:w="20" w:type="dxa"/>
            <w:vAlign w:val="bottom"/>
          </w:tcPr>
          <w:p>
            <w:pPr>
              <w:spacing w:after="0"/>
              <w:rPr>
                <w:sz w:val="24"/>
                <w:szCs w:val="2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w w:val="98"/>
              </w:rPr>
              <w:t>Change in fair value (3)</w:t>
            </w: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w w:val="95"/>
              </w:rPr>
              <w:t>Extinguishments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End of period</w:t>
            </w:r>
          </w:p>
        </w:tc>
      </w:tr>
      <w:tr>
        <w:trPr>
          <w:trHeight w:val="169"/>
        </w:trPr>
        <w:tc>
          <w:tcPr>
            <w:tcW w:w="280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Warrant liability</w:t>
            </w:r>
          </w:p>
        </w:tc>
        <w:tc>
          <w:tcPr>
            <w:tcW w:w="1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center"/>
              <w:ind w:left="330"/>
              <w:spacing w:after="0" w:line="170" w:lineRule="exact"/>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gridSpan w:val="2"/>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CCEEFF"/>
          </w:tcPr>
          <w:p>
            <w:pPr>
              <w:jc w:val="right"/>
              <w:ind w:right="60"/>
              <w:spacing w:after="0" w:line="170" w:lineRule="exact"/>
              <w:rPr>
                <w:sz w:val="20"/>
                <w:szCs w:val="20"/>
                <w:color w:val="auto"/>
              </w:rPr>
            </w:pPr>
            <w:r>
              <w:rPr>
                <w:rFonts w:ascii="Arial" w:cs="Arial" w:eastAsia="Arial" w:hAnsi="Arial"/>
                <w:sz w:val="18"/>
                <w:szCs w:val="18"/>
                <w:color w:val="auto"/>
              </w:rPr>
              <w:t>—</w:t>
            </w:r>
          </w:p>
        </w:tc>
      </w:tr>
      <w:tr>
        <w:trPr>
          <w:trHeight w:val="176"/>
        </w:trPr>
        <w:tc>
          <w:tcPr>
            <w:tcW w:w="2800" w:type="dxa"/>
            <w:vAlign w:val="bottom"/>
          </w:tcPr>
          <w:p>
            <w:pPr>
              <w:spacing w:after="0" w:line="176" w:lineRule="exact"/>
              <w:rPr>
                <w:sz w:val="20"/>
                <w:szCs w:val="20"/>
                <w:color w:val="auto"/>
              </w:rPr>
            </w:pPr>
            <w:r>
              <w:rPr>
                <w:rFonts w:ascii="Arial" w:cs="Arial" w:eastAsia="Arial" w:hAnsi="Arial"/>
                <w:sz w:val="18"/>
                <w:szCs w:val="18"/>
                <w:color w:val="auto"/>
              </w:rPr>
              <w:t>Embedded derivative liabilities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center"/>
              <w:ind w:left="330"/>
              <w:spacing w:after="0" w:line="176"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w:t>
            </w:r>
          </w:p>
        </w:tc>
      </w:tr>
      <w:tr>
        <w:trPr>
          <w:trHeight w:val="176"/>
        </w:trPr>
        <w:tc>
          <w:tcPr>
            <w:tcW w:w="2800" w:type="dxa"/>
            <w:vAlign w:val="bottom"/>
            <w:tcBorders>
              <w:top w:val="single" w:sz="8" w:color="CCEEFF"/>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center"/>
              <w:ind w:left="330"/>
              <w:spacing w:after="0" w:line="170" w:lineRule="exact"/>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80" w:type="dxa"/>
            <w:vAlign w:val="bottom"/>
            <w:tcBorders>
              <w:top w:val="single" w:sz="8" w:color="auto"/>
              <w:bottom w:val="single" w:sz="8" w:color="auto"/>
            </w:tcBorders>
            <w:gridSpan w:val="2"/>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shd w:val="clear" w:color="auto" w:fill="CCEEFF"/>
          </w:tcPr>
          <w:p>
            <w:pPr>
              <w:jc w:val="right"/>
              <w:ind w:right="60"/>
              <w:spacing w:after="0" w:line="170" w:lineRule="exact"/>
              <w:rPr>
                <w:sz w:val="20"/>
                <w:szCs w:val="20"/>
                <w:color w:val="auto"/>
              </w:rPr>
            </w:pPr>
            <w:r>
              <w:rPr>
                <w:rFonts w:ascii="Arial" w:cs="Arial" w:eastAsia="Arial" w:hAnsi="Arial"/>
                <w:sz w:val="18"/>
                <w:szCs w:val="18"/>
                <w:color w:val="auto"/>
              </w:rPr>
              <w:t>—</w:t>
            </w:r>
          </w:p>
        </w:tc>
      </w:tr>
      <w:tr>
        <w:trPr>
          <w:trHeight w:val="540"/>
        </w:trPr>
        <w:tc>
          <w:tcPr>
            <w:tcW w:w="2800" w:type="dxa"/>
            <w:vAlign w:val="bottom"/>
          </w:tcPr>
          <w:p>
            <w:pPr>
              <w:spacing w:after="0"/>
              <w:rPr>
                <w:sz w:val="20"/>
                <w:szCs w:val="20"/>
                <w:color w:val="auto"/>
              </w:rPr>
            </w:pPr>
            <w:r>
              <w:rPr>
                <w:rFonts w:ascii="Arial" w:cs="Arial" w:eastAsia="Arial" w:hAnsi="Arial"/>
                <w:sz w:val="14"/>
                <w:szCs w:val="14"/>
                <w:b w:val="1"/>
                <w:bCs w:val="1"/>
                <w:color w:val="auto"/>
              </w:rPr>
              <w:t>December 31, 2015</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4"/>
                <w:szCs w:val="14"/>
                <w:b w:val="1"/>
                <w:bCs w:val="1"/>
                <w:color w:val="auto"/>
                <w:w w:val="92"/>
              </w:rPr>
              <w:t>Beginning of period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Issuances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Change in fair value (3)</w:t>
            </w:r>
          </w:p>
        </w:tc>
        <w:tc>
          <w:tcPr>
            <w:tcW w:w="40" w:type="dxa"/>
            <w:vAlign w:val="bottom"/>
          </w:tcPr>
          <w:p>
            <w:pPr>
              <w:spacing w:after="0"/>
              <w:rPr>
                <w:sz w:val="24"/>
                <w:szCs w:val="2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Extinguishments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7"/>
              </w:rPr>
              <w:t>End of period</w:t>
            </w:r>
          </w:p>
        </w:tc>
      </w:tr>
      <w:tr>
        <w:trPr>
          <w:trHeight w:val="169"/>
        </w:trPr>
        <w:tc>
          <w:tcPr>
            <w:tcW w:w="280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Warrant liability (1)</w:t>
            </w:r>
          </w:p>
        </w:tc>
        <w:tc>
          <w:tcPr>
            <w:tcW w:w="220" w:type="dxa"/>
            <w:vAlign w:val="bottom"/>
            <w:tcBorders>
              <w:top w:val="single" w:sz="8" w:color="auto"/>
            </w:tcBorders>
            <w:gridSpan w:val="2"/>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3"/>
            <w:shd w:val="clear" w:color="auto" w:fill="CCEEFF"/>
          </w:tcPr>
          <w:p>
            <w:pPr>
              <w:jc w:val="center"/>
              <w:ind w:left="90"/>
              <w:spacing w:after="0" w:line="170" w:lineRule="exact"/>
              <w:rPr>
                <w:sz w:val="20"/>
                <w:szCs w:val="20"/>
                <w:color w:val="auto"/>
              </w:rPr>
            </w:pPr>
            <w:r>
              <w:rPr>
                <w:rFonts w:ascii="Arial" w:cs="Arial" w:eastAsia="Arial" w:hAnsi="Arial"/>
                <w:sz w:val="18"/>
                <w:szCs w:val="18"/>
                <w:color w:val="auto"/>
                <w:w w:val="89"/>
              </w:rPr>
              <w:t>136,235</w:t>
            </w: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2"/>
            <w:shd w:val="clear" w:color="auto" w:fill="CCEEFF"/>
          </w:tcPr>
          <w:p>
            <w:pPr>
              <w:jc w:val="right"/>
              <w:ind w:right="60"/>
              <w:spacing w:after="0" w:line="170"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108,539</w:t>
            </w: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(244,774)</w:t>
            </w:r>
          </w:p>
        </w:tc>
        <w:tc>
          <w:tcPr>
            <w:tcW w:w="60" w:type="dxa"/>
            <w:vAlign w:val="bottom"/>
            <w:tcBorders>
              <w:top w:val="single" w:sz="8" w:color="CCEEFF"/>
            </w:tcBorders>
            <w:gridSpan w:val="2"/>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4"/>
                <w:szCs w:val="14"/>
                <w:color w:val="auto"/>
              </w:rPr>
            </w:pPr>
          </w:p>
        </w:tc>
      </w:tr>
      <w:tr>
        <w:trPr>
          <w:trHeight w:val="176"/>
        </w:trPr>
        <w:tc>
          <w:tcPr>
            <w:tcW w:w="28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Embedded derivative liabilities (2)</w:t>
            </w:r>
          </w:p>
        </w:tc>
        <w:tc>
          <w:tcPr>
            <w:tcW w:w="1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center"/>
              <w:ind w:left="90"/>
              <w:spacing w:after="0" w:line="176" w:lineRule="exact"/>
              <w:rPr>
                <w:sz w:val="20"/>
                <w:szCs w:val="20"/>
                <w:color w:val="auto"/>
              </w:rPr>
            </w:pPr>
            <w:r>
              <w:rPr>
                <w:rFonts w:ascii="Arial" w:cs="Arial" w:eastAsia="Arial" w:hAnsi="Arial"/>
                <w:sz w:val="18"/>
                <w:szCs w:val="18"/>
                <w:color w:val="auto"/>
                <w:w w:val="89"/>
              </w:rPr>
              <w:t>496,400</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60"/>
              <w:spacing w:after="0" w:line="176" w:lineRule="exact"/>
              <w:rPr>
                <w:sz w:val="20"/>
                <w:szCs w:val="20"/>
                <w:color w:val="auto"/>
              </w:rPr>
            </w:pPr>
            <w:r>
              <w:rPr>
                <w:rFonts w:ascii="Arial" w:cs="Arial" w:eastAsia="Arial" w:hAnsi="Arial"/>
                <w:sz w:val="18"/>
                <w:szCs w:val="18"/>
                <w:color w:val="auto"/>
              </w:rPr>
              <w:t>871,000</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spacing w:after="0" w:line="176" w:lineRule="exact"/>
              <w:rPr>
                <w:sz w:val="20"/>
                <w:szCs w:val="20"/>
                <w:color w:val="auto"/>
              </w:rPr>
            </w:pPr>
            <w:r>
              <w:rPr>
                <w:rFonts w:ascii="Arial" w:cs="Arial" w:eastAsia="Arial" w:hAnsi="Arial"/>
                <w:sz w:val="18"/>
                <w:szCs w:val="18"/>
                <w:color w:val="auto"/>
              </w:rPr>
              <w:t>(274,800)</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spacing w:after="0" w:line="176" w:lineRule="exact"/>
              <w:rPr>
                <w:sz w:val="20"/>
                <w:szCs w:val="20"/>
                <w:color w:val="auto"/>
              </w:rPr>
            </w:pPr>
            <w:r>
              <w:rPr>
                <w:rFonts w:ascii="Arial" w:cs="Arial" w:eastAsia="Arial" w:hAnsi="Arial"/>
                <w:sz w:val="18"/>
                <w:szCs w:val="18"/>
                <w:color w:val="auto"/>
                <w:w w:val="95"/>
              </w:rPr>
              <w:t>(1,092,600)</w:t>
            </w: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r>
      <w:tr>
        <w:trPr>
          <w:trHeight w:val="176"/>
        </w:trPr>
        <w:tc>
          <w:tcPr>
            <w:tcW w:w="280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gridSpan w:val="2"/>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3"/>
            <w:shd w:val="clear" w:color="auto" w:fill="CCEEFF"/>
          </w:tcPr>
          <w:p>
            <w:pPr>
              <w:jc w:val="center"/>
              <w:ind w:left="90"/>
              <w:spacing w:after="0" w:line="170" w:lineRule="exact"/>
              <w:rPr>
                <w:sz w:val="20"/>
                <w:szCs w:val="20"/>
                <w:color w:val="auto"/>
              </w:rPr>
            </w:pPr>
            <w:r>
              <w:rPr>
                <w:rFonts w:ascii="Arial" w:cs="Arial" w:eastAsia="Arial" w:hAnsi="Arial"/>
                <w:sz w:val="18"/>
                <w:szCs w:val="18"/>
                <w:color w:val="auto"/>
                <w:w w:val="89"/>
              </w:rPr>
              <w:t>632,635</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shd w:val="clear" w:color="auto" w:fill="CCEEFF"/>
          </w:tcPr>
          <w:p>
            <w:pPr>
              <w:jc w:val="right"/>
              <w:ind w:right="60"/>
              <w:spacing w:after="0" w:line="170" w:lineRule="exact"/>
              <w:rPr>
                <w:sz w:val="20"/>
                <w:szCs w:val="20"/>
                <w:color w:val="auto"/>
              </w:rPr>
            </w:pPr>
            <w:r>
              <w:rPr>
                <w:rFonts w:ascii="Arial" w:cs="Arial" w:eastAsia="Arial" w:hAnsi="Arial"/>
                <w:sz w:val="18"/>
                <w:szCs w:val="18"/>
                <w:color w:val="auto"/>
              </w:rPr>
              <w:t>871,000</w:t>
            </w: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(166,261)</w:t>
            </w: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(1,337,374)</w:t>
            </w:r>
          </w:p>
        </w:tc>
        <w:tc>
          <w:tcPr>
            <w:tcW w:w="60" w:type="dxa"/>
            <w:vAlign w:val="bottom"/>
            <w:tcBorders>
              <w:bottom w:val="single" w:sz="8" w:color="CCEEFF"/>
            </w:tcBorders>
            <w:gridSpan w:val="2"/>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r>
    </w:tbl>
    <w:p>
      <w:pPr>
        <w:spacing w:after="0" w:line="200" w:lineRule="exact"/>
        <w:rPr>
          <w:sz w:val="20"/>
          <w:szCs w:val="20"/>
          <w:color w:val="auto"/>
        </w:rPr>
      </w:pPr>
    </w:p>
    <w:p>
      <w:pPr>
        <w:spacing w:after="0" w:line="218" w:lineRule="exact"/>
        <w:rPr>
          <w:sz w:val="20"/>
          <w:szCs w:val="20"/>
          <w:color w:val="auto"/>
        </w:rPr>
      </w:pPr>
    </w:p>
    <w:p>
      <w:pPr>
        <w:ind w:left="400" w:right="80" w:hanging="397"/>
        <w:spacing w:after="0" w:line="218" w:lineRule="exact"/>
        <w:tabs>
          <w:tab w:leader="none" w:pos="385" w:val="left"/>
        </w:tabs>
        <w:numPr>
          <w:ilvl w:val="0"/>
          <w:numId w:val="59"/>
        </w:numPr>
        <w:rPr>
          <w:rFonts w:ascii="Arial" w:cs="Arial" w:eastAsia="Arial" w:hAnsi="Arial"/>
          <w:sz w:val="16"/>
          <w:szCs w:val="16"/>
          <w:color w:val="auto"/>
        </w:rPr>
      </w:pPr>
      <w:r>
        <w:rPr>
          <w:rFonts w:ascii="Arial" w:cs="Arial" w:eastAsia="Arial" w:hAnsi="Arial"/>
          <w:sz w:val="16"/>
          <w:szCs w:val="16"/>
          <w:color w:val="auto"/>
        </w:rPr>
        <w:t>Prior to the close of the Company’s IPO on November 24, 2015, the Company considered its convertible note related warrant liability as a Level 3 financial instrument. On the grant date and in subsequent periods, the Company estimated the fair value of the warrant liability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which requires inputs such as the expected volatility based on comparable public companies, the estimated fair value of the common stock, and the estimated time to liquidity. The Company determined the fair value of the liability immediately prior to the Company’s IPO and then reclassified the balance to additional paid-in capital upon the closing of the IPO. Immediately prior to the close of the Company’s IPO, the following inputs were used for the warrant liability: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Immediately prior to close of IPO</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4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volatility based on comparable public companies</w:t>
            </w:r>
          </w:p>
        </w:tc>
        <w:tc>
          <w:tcPr>
            <w:tcW w:w="1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40" w:type="dxa"/>
            <w:vAlign w:val="bottom"/>
          </w:tcPr>
          <w:p>
            <w:pPr>
              <w:spacing w:after="0" w:line="176" w:lineRule="exact"/>
              <w:rPr>
                <w:sz w:val="20"/>
                <w:szCs w:val="20"/>
                <w:color w:val="auto"/>
              </w:rPr>
            </w:pPr>
            <w:r>
              <w:rPr>
                <w:rFonts w:ascii="Arial" w:cs="Arial" w:eastAsia="Arial" w:hAnsi="Arial"/>
                <w:sz w:val="18"/>
                <w:szCs w:val="18"/>
                <w:color w:val="auto"/>
              </w:rPr>
              <w:t>Estimated fair value of the common stock</w:t>
            </w:r>
          </w:p>
        </w:tc>
        <w:tc>
          <w:tcPr>
            <w:tcW w:w="2040" w:type="dxa"/>
            <w:vAlign w:val="bottom"/>
            <w:gridSpan w:val="2"/>
          </w:tcPr>
          <w:p>
            <w:pPr>
              <w:jc w:val="right"/>
              <w:ind w:right="668"/>
              <w:spacing w:after="0" w:line="176"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76" w:lineRule="exact"/>
              <w:rPr>
                <w:sz w:val="20"/>
                <w:szCs w:val="20"/>
                <w:color w:val="auto"/>
              </w:rPr>
            </w:pPr>
            <w:r>
              <w:rPr>
                <w:rFonts w:ascii="Arial" w:cs="Arial" w:eastAsia="Arial" w:hAnsi="Arial"/>
                <w:sz w:val="18"/>
                <w:szCs w:val="18"/>
                <w:color w:val="auto"/>
              </w:rPr>
              <w:t>9.20</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Remaining contractual term</w:t>
            </w:r>
          </w:p>
        </w:tc>
        <w:tc>
          <w:tcPr>
            <w:tcW w:w="1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 years</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80" w:right="160" w:hanging="377"/>
        <w:spacing w:after="0" w:line="217" w:lineRule="exact"/>
        <w:tabs>
          <w:tab w:leader="none" w:pos="394" w:val="left"/>
        </w:tabs>
        <w:numPr>
          <w:ilvl w:val="0"/>
          <w:numId w:val="60"/>
        </w:numPr>
        <w:rPr>
          <w:rFonts w:ascii="Arial" w:cs="Arial" w:eastAsia="Arial" w:hAnsi="Arial"/>
          <w:sz w:val="16"/>
          <w:szCs w:val="16"/>
          <w:color w:val="auto"/>
        </w:rPr>
      </w:pPr>
      <w:r>
        <w:rPr>
          <w:rFonts w:ascii="Arial" w:cs="Arial" w:eastAsia="Arial" w:hAnsi="Arial"/>
          <w:sz w:val="16"/>
          <w:szCs w:val="16"/>
          <w:color w:val="auto"/>
        </w:rPr>
        <w:t>Prior to the amendment of the Company’s outstanding convertible notes in September 2015, the Company considered its convertible note related embedded derivative liabilities as Level 3 financial instruments. The fair value of the embedded derivative liabilities related to the Company’s outstanding convertible notes was estimated on the grant date and at each reporting period using a probability weighted estimated returns method, which incorporated the “with</w:t>
      </w:r>
      <w:r>
        <w:rPr>
          <w:rFonts w:ascii="MS PGothic" w:cs="MS PGothic" w:eastAsia="MS PGothic" w:hAnsi="MS PGothic"/>
          <w:sz w:val="16"/>
          <w:szCs w:val="16"/>
          <w:color w:val="auto"/>
        </w:rPr>
        <w:t>‑</w:t>
      </w:r>
      <w:r>
        <w:rPr>
          <w:rFonts w:ascii="Arial" w:cs="Arial" w:eastAsia="Arial" w:hAnsi="Arial"/>
          <w:sz w:val="16"/>
          <w:szCs w:val="16"/>
          <w:color w:val="auto"/>
        </w:rPr>
        <w:t>and</w:t>
      </w:r>
      <w:r>
        <w:rPr>
          <w:rFonts w:ascii="MS PGothic" w:cs="MS PGothic" w:eastAsia="MS PGothic" w:hAnsi="MS PGothic"/>
          <w:sz w:val="16"/>
          <w:szCs w:val="16"/>
          <w:color w:val="auto"/>
        </w:rPr>
        <w:t>‑</w:t>
      </w:r>
      <w:r>
        <w:rPr>
          <w:rFonts w:ascii="Arial" w:cs="Arial" w:eastAsia="Arial" w:hAnsi="Arial"/>
          <w:sz w:val="16"/>
          <w:szCs w:val="16"/>
          <w:color w:val="auto"/>
        </w:rPr>
        <w:t>without” method to bifurcate the embedded derivatives. The amendment was deemed to be a substantive change and resulted in extinguishment accounting, which included the extinguishment of the embedded derivative liabilities. The Company used three different exit scenarios in valuing the embedded derivative liabilities: an initial public offering, a private equity financing, and a liquidation. A Monte Carlo simulation was run for the exit scenario immediately prior to the effective date of the note amendment, with the following inputs: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12" w:right="1399" w:bottom="1440" w:gutter="0" w:footer="0" w:header="0"/>
        </w:sectPr>
      </w:pPr>
    </w:p>
    <w:bookmarkStart w:id="142" w:name="page143"/>
    <w:bookmarkEnd w:id="1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760" w:type="dxa"/>
            <w:vAlign w:val="bottom"/>
          </w:tcPr>
          <w:p>
            <w:pPr>
              <w:jc w:val="right"/>
              <w:ind w:right="139"/>
              <w:spacing w:after="0"/>
              <w:rPr>
                <w:sz w:val="20"/>
                <w:szCs w:val="20"/>
                <w:color w:val="auto"/>
              </w:rPr>
            </w:pPr>
            <w:r>
              <w:rPr>
                <w:rFonts w:ascii="Arial" w:cs="Arial" w:eastAsia="Arial" w:hAnsi="Arial"/>
                <w:sz w:val="14"/>
                <w:szCs w:val="14"/>
                <w:b w:val="1"/>
                <w:bCs w:val="1"/>
                <w:color w:val="auto"/>
              </w:rPr>
              <w:t>Immediately prior to</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note amendment</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70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volatility based on comparable public companies</w:t>
            </w:r>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70</w:t>
            </w:r>
          </w:p>
        </w:tc>
        <w:tc>
          <w:tcPr>
            <w:tcW w:w="2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Estimated time to liquidity</w:t>
            </w:r>
          </w:p>
        </w:tc>
        <w:tc>
          <w:tcPr>
            <w:tcW w:w="1760" w:type="dxa"/>
            <w:vAlign w:val="bottom"/>
          </w:tcPr>
          <w:p>
            <w:pPr>
              <w:jc w:val="right"/>
              <w:spacing w:after="0"/>
              <w:rPr>
                <w:sz w:val="20"/>
                <w:szCs w:val="20"/>
                <w:color w:val="auto"/>
              </w:rPr>
            </w:pPr>
            <w:r>
              <w:rPr>
                <w:rFonts w:ascii="Arial" w:cs="Arial" w:eastAsia="Arial" w:hAnsi="Arial"/>
                <w:sz w:val="18"/>
                <w:szCs w:val="18"/>
                <w:color w:val="auto"/>
              </w:rPr>
              <w:t>0.1 - 0.2 years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380" w:right="580" w:hanging="377"/>
        <w:spacing w:after="0" w:line="277" w:lineRule="auto"/>
        <w:tabs>
          <w:tab w:leader="none" w:pos="39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change in the fair values of the warrant and embedded derivative liabilities are recorded in the statements of operations.</w:t>
      </w:r>
    </w:p>
    <w:p>
      <w:pPr>
        <w:spacing w:after="0" w:line="3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Net Loss per Common Share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loss per common share: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494"/>
              <w:spacing w:after="0" w:line="129"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494"/>
              <w:spacing w:after="0" w:line="129"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434"/>
              <w:spacing w:after="0" w:line="129"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Basic and diluted net loss per common share:</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500" w:type="dxa"/>
            <w:vAlign w:val="bottom"/>
            <w:gridSpan w:val="2"/>
          </w:tcPr>
          <w:p>
            <w:pPr>
              <w:jc w:val="right"/>
              <w:ind w:right="145"/>
              <w:spacing w:after="0" w:line="17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(28,943,392)</w:t>
            </w:r>
          </w:p>
        </w:tc>
        <w:tc>
          <w:tcPr>
            <w:tcW w:w="480" w:type="dxa"/>
            <w:vAlign w:val="bottom"/>
            <w:gridSpan w:val="2"/>
          </w:tcPr>
          <w:p>
            <w:pPr>
              <w:jc w:val="right"/>
              <w:ind w:right="145"/>
              <w:spacing w:after="0" w:line="17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(27,201,653)</w:t>
            </w:r>
          </w:p>
        </w:tc>
        <w:tc>
          <w:tcPr>
            <w:tcW w:w="180" w:type="dxa"/>
            <w:vAlign w:val="bottom"/>
          </w:tcPr>
          <w:p>
            <w:pPr>
              <w:spacing w:after="0"/>
              <w:rPr>
                <w:sz w:val="15"/>
                <w:szCs w:val="15"/>
                <w:color w:val="auto"/>
              </w:rPr>
            </w:pP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(12,210,579)</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w w:val="98"/>
              </w:rPr>
              <w:t>Weighted average common shares outstanding—basic</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22,764,606</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19,150,690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11,945,318</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 diluted</w:t>
            </w: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tcPr>
          <w:p>
            <w:pPr>
              <w:spacing w:after="0" w:line="170" w:lineRule="exact"/>
              <w:rPr>
                <w:sz w:val="20"/>
                <w:szCs w:val="20"/>
                <w:color w:val="auto"/>
              </w:rPr>
            </w:pPr>
            <w:r>
              <w:rPr>
                <w:rFonts w:ascii="Arial" w:cs="Arial" w:eastAsia="Arial" w:hAnsi="Arial"/>
                <w:sz w:val="18"/>
                <w:szCs w:val="18"/>
                <w:color w:val="auto"/>
              </w:rPr>
              <w:t>Net loss per common share—basic and diluted</w:t>
            </w:r>
          </w:p>
        </w:tc>
        <w:tc>
          <w:tcPr>
            <w:tcW w:w="200" w:type="dxa"/>
            <w:vAlign w:val="bottom"/>
          </w:tcPr>
          <w:p>
            <w:pPr>
              <w:spacing w:after="0"/>
              <w:rPr>
                <w:sz w:val="15"/>
                <w:szCs w:val="15"/>
                <w:color w:val="auto"/>
              </w:rPr>
            </w:pPr>
          </w:p>
        </w:tc>
        <w:tc>
          <w:tcPr>
            <w:tcW w:w="300" w:type="dxa"/>
            <w:vAlign w:val="bottom"/>
            <w:tcBorders>
              <w:bottom w:val="single" w:sz="8" w:color="auto"/>
            </w:tcBorders>
          </w:tcPr>
          <w:p>
            <w:pPr>
              <w:jc w:val="right"/>
              <w:ind w:right="145"/>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(1.27)</w:t>
            </w:r>
          </w:p>
        </w:tc>
        <w:tc>
          <w:tcPr>
            <w:tcW w:w="180" w:type="dxa"/>
            <w:vAlign w:val="bottom"/>
          </w:tcPr>
          <w:p>
            <w:pPr>
              <w:spacing w:after="0"/>
              <w:rPr>
                <w:sz w:val="15"/>
                <w:szCs w:val="15"/>
                <w:color w:val="auto"/>
              </w:rPr>
            </w:pPr>
          </w:p>
        </w:tc>
        <w:tc>
          <w:tcPr>
            <w:tcW w:w="300" w:type="dxa"/>
            <w:vAlign w:val="bottom"/>
            <w:tcBorders>
              <w:bottom w:val="single" w:sz="8" w:color="auto"/>
            </w:tcBorders>
          </w:tcPr>
          <w:p>
            <w:pPr>
              <w:jc w:val="right"/>
              <w:ind w:right="145"/>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(1.42)</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(1.02)</w:t>
            </w: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03" w:lineRule="exact"/>
        <w:rPr>
          <w:sz w:val="20"/>
          <w:szCs w:val="20"/>
          <w:color w:val="auto"/>
        </w:rPr>
      </w:pPr>
      <w:r>
        <w:rPr>
          <w:rFonts w:ascii="Arial" w:cs="Arial" w:eastAsia="Arial" w:hAnsi="Arial"/>
          <w:sz w:val="17"/>
          <w:szCs w:val="17"/>
          <w:color w:val="auto"/>
        </w:rPr>
        <w:t>The following potentially dilutive securities outstanding at December 31, 2017, 2016, and 2015 have been excluded from the computation of diluted weighted average shares outstanding, as they would be anti</w:t>
      </w:r>
      <w:r>
        <w:rPr>
          <w:rFonts w:ascii="MS PGothic" w:cs="MS PGothic" w:eastAsia="MS PGothic" w:hAnsi="MS PGothic"/>
          <w:sz w:val="17"/>
          <w:szCs w:val="17"/>
          <w:color w:val="auto"/>
        </w:rPr>
        <w:t>‑</w:t>
      </w:r>
      <w:r>
        <w:rPr>
          <w:rFonts w:ascii="Arial" w:cs="Arial" w:eastAsia="Arial" w:hAnsi="Arial"/>
          <w:sz w:val="17"/>
          <w:szCs w:val="17"/>
          <w:color w:val="auto"/>
        </w:rPr>
        <w:t>dilutive: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3200" w:type="dxa"/>
            <w:vAlign w:val="bottom"/>
            <w:gridSpan w:val="2"/>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1"/>
                <w:szCs w:val="11"/>
                <w:color w:val="auto"/>
              </w:rPr>
            </w:pPr>
          </w:p>
        </w:tc>
        <w:tc>
          <w:tcPr>
            <w:tcW w:w="98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1"/>
                <w:szCs w:val="11"/>
                <w:color w:val="auto"/>
              </w:rPr>
            </w:pPr>
          </w:p>
        </w:tc>
        <w:tc>
          <w:tcPr>
            <w:tcW w:w="100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6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Stock options</w:t>
            </w:r>
          </w:p>
        </w:tc>
        <w:tc>
          <w:tcPr>
            <w:tcW w:w="4040" w:type="dxa"/>
            <w:vAlign w:val="bottom"/>
            <w:gridSpan w:val="3"/>
            <w:shd w:val="clear" w:color="auto" w:fill="CCEEFF"/>
          </w:tcPr>
          <w:p>
            <w:pPr>
              <w:jc w:val="center"/>
              <w:ind w:left="3110"/>
              <w:spacing w:after="0" w:line="176" w:lineRule="exact"/>
              <w:rPr>
                <w:sz w:val="20"/>
                <w:szCs w:val="20"/>
                <w:color w:val="auto"/>
              </w:rPr>
            </w:pPr>
            <w:r>
              <w:rPr>
                <w:rFonts w:ascii="Arial" w:cs="Arial" w:eastAsia="Arial" w:hAnsi="Arial"/>
                <w:sz w:val="18"/>
                <w:szCs w:val="18"/>
                <w:color w:val="auto"/>
                <w:w w:val="89"/>
              </w:rPr>
              <w:t>2,315,638</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1,772,050</w:t>
            </w: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998,198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60" w:type="dxa"/>
            <w:vAlign w:val="bottom"/>
          </w:tcPr>
          <w:p>
            <w:pPr>
              <w:spacing w:after="0" w:line="176" w:lineRule="exact"/>
              <w:rPr>
                <w:sz w:val="20"/>
                <w:szCs w:val="20"/>
                <w:color w:val="auto"/>
              </w:rPr>
            </w:pPr>
            <w:r>
              <w:rPr>
                <w:rFonts w:ascii="Arial" w:cs="Arial" w:eastAsia="Arial" w:hAnsi="Arial"/>
                <w:sz w:val="18"/>
                <w:szCs w:val="18"/>
                <w:color w:val="auto"/>
              </w:rPr>
              <w:t>Warrants</w:t>
            </w:r>
          </w:p>
        </w:tc>
        <w:tc>
          <w:tcPr>
            <w:tcW w:w="4040" w:type="dxa"/>
            <w:vAlign w:val="bottom"/>
            <w:gridSpan w:val="3"/>
          </w:tcPr>
          <w:p>
            <w:pPr>
              <w:jc w:val="center"/>
              <w:ind w:left="3110"/>
              <w:spacing w:after="0" w:line="176" w:lineRule="exact"/>
              <w:rPr>
                <w:sz w:val="20"/>
                <w:szCs w:val="20"/>
                <w:color w:val="auto"/>
              </w:rPr>
            </w:pPr>
            <w:r>
              <w:rPr>
                <w:rFonts w:ascii="Arial" w:cs="Arial" w:eastAsia="Arial" w:hAnsi="Arial"/>
                <w:sz w:val="18"/>
                <w:szCs w:val="18"/>
                <w:color w:val="auto"/>
                <w:w w:val="89"/>
              </w:rPr>
              <w:t>2,099,149</w:t>
            </w:r>
          </w:p>
        </w:tc>
        <w:tc>
          <w:tcPr>
            <w:tcW w:w="180" w:type="dxa"/>
            <w:vAlign w:val="bottom"/>
          </w:tcPr>
          <w:p>
            <w:pPr>
              <w:spacing w:after="0"/>
              <w:rPr>
                <w:sz w:val="15"/>
                <w:szCs w:val="15"/>
                <w:color w:val="auto"/>
              </w:rPr>
            </w:pPr>
          </w:p>
        </w:tc>
        <w:tc>
          <w:tcPr>
            <w:tcW w:w="9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337,696</w:t>
            </w:r>
          </w:p>
        </w:tc>
        <w:tc>
          <w:tcPr>
            <w:tcW w:w="180" w:type="dxa"/>
            <w:vAlign w:val="bottom"/>
          </w:tcPr>
          <w:p>
            <w:pPr>
              <w:spacing w:after="0"/>
              <w:rPr>
                <w:sz w:val="15"/>
                <w:szCs w:val="15"/>
                <w:color w:val="auto"/>
              </w:rPr>
            </w:pPr>
          </w:p>
        </w:tc>
        <w:tc>
          <w:tcPr>
            <w:tcW w:w="100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272,468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60" w:type="dxa"/>
            <w:vAlign w:val="bottom"/>
            <w:tcBorders>
              <w:top w:val="single" w:sz="8" w:color="CCEEFF"/>
              <w:bottom w:val="single" w:sz="8" w:color="CCEEFF"/>
            </w:tcBorders>
            <w:shd w:val="clear" w:color="auto" w:fill="CCEEFF"/>
          </w:tcPr>
          <w:p>
            <w:pPr>
              <w:spacing w:after="0"/>
              <w:rPr>
                <w:sz w:val="15"/>
                <w:szCs w:val="15"/>
                <w:color w:val="auto"/>
              </w:rPr>
            </w:pPr>
          </w:p>
        </w:tc>
        <w:tc>
          <w:tcPr>
            <w:tcW w:w="304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gridSpan w:val="2"/>
            <w:shd w:val="clear" w:color="auto" w:fill="CCEEFF"/>
          </w:tcPr>
          <w:p>
            <w:pPr>
              <w:jc w:val="center"/>
              <w:ind w:left="70"/>
              <w:spacing w:after="0" w:line="170" w:lineRule="exact"/>
              <w:rPr>
                <w:sz w:val="20"/>
                <w:szCs w:val="20"/>
                <w:color w:val="auto"/>
              </w:rPr>
            </w:pPr>
            <w:r>
              <w:rPr>
                <w:rFonts w:ascii="Arial" w:cs="Arial" w:eastAsia="Arial" w:hAnsi="Arial"/>
                <w:sz w:val="18"/>
                <w:szCs w:val="18"/>
                <w:color w:val="auto"/>
                <w:w w:val="89"/>
              </w:rPr>
              <w:t>4,414,787</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gridSpan w:val="2"/>
            <w:shd w:val="clear" w:color="auto" w:fill="CCEEFF"/>
          </w:tcPr>
          <w:p>
            <w:pPr>
              <w:jc w:val="right"/>
              <w:ind w:right="60"/>
              <w:spacing w:after="0" w:line="170" w:lineRule="exact"/>
              <w:rPr>
                <w:sz w:val="20"/>
                <w:szCs w:val="20"/>
                <w:color w:val="auto"/>
              </w:rPr>
            </w:pPr>
            <w:r>
              <w:rPr>
                <w:rFonts w:ascii="Arial" w:cs="Arial" w:eastAsia="Arial" w:hAnsi="Arial"/>
                <w:sz w:val="18"/>
                <w:szCs w:val="18"/>
                <w:color w:val="auto"/>
              </w:rPr>
              <w:t>2,109,746</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gridSpan w:val="2"/>
            <w:shd w:val="clear" w:color="auto" w:fill="CCEEFF"/>
          </w:tcPr>
          <w:p>
            <w:pPr>
              <w:jc w:val="right"/>
              <w:ind w:right="60"/>
              <w:spacing w:after="0" w:line="170" w:lineRule="exact"/>
              <w:rPr>
                <w:sz w:val="20"/>
                <w:szCs w:val="20"/>
                <w:color w:val="auto"/>
              </w:rPr>
            </w:pPr>
            <w:r>
              <w:rPr>
                <w:rFonts w:ascii="Arial" w:cs="Arial" w:eastAsia="Arial" w:hAnsi="Arial"/>
                <w:sz w:val="18"/>
                <w:szCs w:val="18"/>
                <w:color w:val="auto"/>
              </w:rPr>
              <w:t>1,270,666</w:t>
            </w:r>
          </w:p>
        </w:tc>
        <w:tc>
          <w:tcPr>
            <w:tcW w:w="0" w:type="dxa"/>
            <w:vAlign w:val="bottom"/>
          </w:tcPr>
          <w:p>
            <w:pPr>
              <w:spacing w:after="0"/>
              <w:rPr>
                <w:sz w:val="1"/>
                <w:szCs w:val="1"/>
                <w:color w:val="auto"/>
              </w:rPr>
            </w:pPr>
          </w:p>
        </w:tc>
      </w:tr>
      <w:tr>
        <w:trPr>
          <w:trHeight w:val="851"/>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220" w:type="dxa"/>
            <w:vAlign w:val="bottom"/>
            <w:gridSpan w:val="4"/>
          </w:tcPr>
          <w:p>
            <w:pPr>
              <w:ind w:left="1680"/>
              <w:spacing w:after="0"/>
              <w:rPr>
                <w:sz w:val="20"/>
                <w:szCs w:val="20"/>
                <w:color w:val="auto"/>
              </w:rPr>
            </w:pPr>
            <w:r>
              <w:rPr>
                <w:rFonts w:ascii="Arial" w:cs="Arial" w:eastAsia="Arial" w:hAnsi="Arial"/>
                <w:sz w:val="18"/>
                <w:szCs w:val="18"/>
                <w:color w:val="auto"/>
              </w:rPr>
              <w:t>F-14</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60" w:type="dxa"/>
            <w:vAlign w:val="bottom"/>
            <w:tcBorders>
              <w:bottom w:val="single" w:sz="8" w:color="auto"/>
            </w:tcBorders>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143" w:name="page144"/>
    <w:bookmarkEnd w:id="1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w w:val="96"/>
              </w:rPr>
              <w:t>Note 5.</w:t>
            </w:r>
          </w:p>
        </w:tc>
        <w:tc>
          <w:tcPr>
            <w:tcW w:w="5900" w:type="dxa"/>
            <w:vAlign w:val="bottom"/>
          </w:tcPr>
          <w:p>
            <w:pPr>
              <w:ind w:left="600"/>
              <w:spacing w:after="0"/>
              <w:rPr>
                <w:sz w:val="20"/>
                <w:szCs w:val="20"/>
                <w:color w:val="auto"/>
              </w:rPr>
            </w:pPr>
            <w:r>
              <w:rPr>
                <w:rFonts w:ascii="Arial" w:cs="Arial" w:eastAsia="Arial" w:hAnsi="Arial"/>
                <w:sz w:val="18"/>
                <w:szCs w:val="18"/>
                <w:b w:val="1"/>
                <w:bCs w:val="1"/>
                <w:color w:val="auto"/>
              </w:rPr>
              <w:t>Accrued Expenses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00" w:type="dxa"/>
            <w:vAlign w:val="bottom"/>
          </w:tcPr>
          <w:p>
            <w:pPr>
              <w:ind w:left="60"/>
              <w:spacing w:after="0"/>
              <w:rPr>
                <w:sz w:val="20"/>
                <w:szCs w:val="20"/>
                <w:color w:val="auto"/>
              </w:rPr>
            </w:pPr>
            <w:r>
              <w:rPr>
                <w:rFonts w:ascii="Arial" w:cs="Arial" w:eastAsia="Arial" w:hAnsi="Arial"/>
                <w:sz w:val="18"/>
                <w:szCs w:val="18"/>
                <w:color w:val="auto"/>
                <w:w w:val="92"/>
              </w:rPr>
              <w:t>At December 31, 2017 and 2016, accrued expenses consisted of the following:</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right"/>
              <w:ind w:right="67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16"/>
              <w:spacing w:after="0" w:line="129"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14"/>
              <w:spacing w:after="0" w:line="129"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8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Research and development</w:t>
            </w:r>
          </w:p>
        </w:tc>
        <w:tc>
          <w:tcPr>
            <w:tcW w:w="380" w:type="dxa"/>
            <w:vAlign w:val="bottom"/>
            <w:gridSpan w:val="2"/>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1,642,154</w:t>
            </w:r>
          </w:p>
        </w:tc>
        <w:tc>
          <w:tcPr>
            <w:tcW w:w="2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25"/>
              <w:spacing w:after="0" w:line="17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1,693,748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gridSpan w:val="2"/>
          </w:tcPr>
          <w:p>
            <w:pPr>
              <w:spacing w:after="0" w:line="176" w:lineRule="exact"/>
              <w:rPr>
                <w:sz w:val="20"/>
                <w:szCs w:val="20"/>
                <w:color w:val="auto"/>
              </w:rPr>
            </w:pPr>
            <w:r>
              <w:rPr>
                <w:rFonts w:ascii="Arial" w:cs="Arial" w:eastAsia="Arial" w:hAnsi="Arial"/>
                <w:sz w:val="18"/>
                <w:szCs w:val="18"/>
                <w:color w:val="auto"/>
              </w:rPr>
              <w:t>Accrued compensation</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704,556</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539,290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w:t>
            </w:r>
          </w:p>
        </w:tc>
        <w:tc>
          <w:tcPr>
            <w:tcW w:w="5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332,824</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587,339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2,679,534</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2,820,377</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Convertible Notes</w:t>
      </w:r>
    </w:p>
    <w:p>
      <w:pPr>
        <w:spacing w:after="0" w:line="189"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During March 2013, the Company issued a total of $211,000 in convertible notes (“March 2013 Notes”) to several investors. The March 2013 Notes accrued interest at an annual rate of 8.0% and were due and payable one year from the date of issuance. The principal and accrued interest were convertible into shares of the Company’s common stock at the option of the holder, upon the occurrence of a qualified financing, as defined in the March 2013 Notes, immediately prior to the closing of a change in control event, or on the maturity date. In March 2014, all outstanding March 2013 Notes and related accrued interest converted into 175,228 shares of common stock at a conversion price of $1.30 per share.</w:t>
      </w:r>
    </w:p>
    <w:p>
      <w:pPr>
        <w:spacing w:after="0" w:line="161" w:lineRule="exact"/>
        <w:rPr>
          <w:sz w:val="20"/>
          <w:szCs w:val="20"/>
          <w:color w:val="auto"/>
        </w:rPr>
      </w:pPr>
    </w:p>
    <w:p>
      <w:pPr>
        <w:ind w:right="60" w:firstLine="648"/>
        <w:spacing w:after="0" w:line="239" w:lineRule="auto"/>
        <w:rPr>
          <w:sz w:val="20"/>
          <w:szCs w:val="20"/>
          <w:color w:val="auto"/>
        </w:rPr>
      </w:pPr>
      <w:r>
        <w:rPr>
          <w:rFonts w:ascii="Arial" w:cs="Arial" w:eastAsia="Arial" w:hAnsi="Arial"/>
          <w:sz w:val="16"/>
          <w:szCs w:val="16"/>
          <w:color w:val="auto"/>
        </w:rPr>
        <w:t>During the period from June through October 2013, the Company issued a total of $3,904,000 in convertible notes to several investors (“June 2013 Notes”). The June 2013 Notes accrued interest at an annual rate of 8.0% and were due and payable one year from the date of issuance. The principal and accrued interest were convertible into shares of the Company’s common stock at the option of the holder, or upon the occurrence of a qualified financing, as defined in the June 2013 Notes, in which the conversion price would be equal to the lesser of (i) 90% of the lowest price per share at which the Company’s shares of equity securities were sold or (ii) $1.30, as adjusted for capitalization change. The Company recorded an initial discount on the June 2013 Notes of $339,735 for fees paid directly to the placement agent.</w:t>
      </w:r>
    </w:p>
    <w:p>
      <w:pPr>
        <w:spacing w:after="0" w:line="163" w:lineRule="exact"/>
        <w:rPr>
          <w:sz w:val="20"/>
          <w:szCs w:val="20"/>
          <w:color w:val="auto"/>
        </w:rPr>
      </w:pPr>
    </w:p>
    <w:p>
      <w:pPr>
        <w:ind w:right="40" w:firstLine="648"/>
        <w:spacing w:after="0" w:line="244" w:lineRule="auto"/>
        <w:rPr>
          <w:sz w:val="20"/>
          <w:szCs w:val="20"/>
          <w:color w:val="auto"/>
        </w:rPr>
      </w:pPr>
      <w:r>
        <w:rPr>
          <w:rFonts w:ascii="Arial" w:cs="Arial" w:eastAsia="Arial" w:hAnsi="Arial"/>
          <w:sz w:val="16"/>
          <w:szCs w:val="16"/>
          <w:color w:val="auto"/>
        </w:rPr>
        <w:t>In June 2014, the Company and the holders of the June 2013 Notes amended the June 2013 Notes pursuant to which the June 2013 Notes and any accrued and unpaid interest would convert into shares of the Company’s common stock on the due date at a conversion price of $1.30 (see further discussions in “—Accounting Analysis” below). In accordance with this amendment, during the period from June 2014 through October 2014, all of the outstanding balance of the June 2013 Notes and accrued and unpaid interest converted into 3,242,344 shares of common stock.</w:t>
      </w:r>
    </w:p>
    <w:p>
      <w:pPr>
        <w:spacing w:after="0" w:line="159" w:lineRule="exact"/>
        <w:rPr>
          <w:sz w:val="20"/>
          <w:szCs w:val="20"/>
          <w:color w:val="auto"/>
        </w:rPr>
      </w:pPr>
    </w:p>
    <w:p>
      <w:pPr>
        <w:ind w:right="100" w:firstLine="648"/>
        <w:spacing w:after="0" w:line="232" w:lineRule="auto"/>
        <w:rPr>
          <w:sz w:val="20"/>
          <w:szCs w:val="20"/>
          <w:color w:val="auto"/>
        </w:rPr>
      </w:pPr>
      <w:r>
        <w:rPr>
          <w:rFonts w:ascii="Arial" w:cs="Arial" w:eastAsia="Arial" w:hAnsi="Arial"/>
          <w:sz w:val="16"/>
          <w:szCs w:val="16"/>
          <w:color w:val="auto"/>
        </w:rPr>
        <w:t>During the period from September 2014 through November 2014, the Company issued a total of $4,140,000 in convertible notes to several investors (“September 2014 Notes”). The September 2014 Notes accrued interest at an annual rate of 8.0% and were due and payable ten years from the date of issuance. The principal and accrued interest were convertible into shares of the Company’s common stock upon the occurrence of a qualified financing, as defined in the September 2014 Notes, in which the conversion price would be equal to the lesser of (i) 75% of the lowest price per share at which the Company's shares of equity securities are sold (see further discussions in “—Accounting Analysis” below), or</w:t>
      </w:r>
    </w:p>
    <w:p>
      <w:pPr>
        <w:spacing w:after="0" w:line="2" w:lineRule="exact"/>
        <w:rPr>
          <w:sz w:val="20"/>
          <w:szCs w:val="20"/>
          <w:color w:val="auto"/>
        </w:rPr>
      </w:pPr>
    </w:p>
    <w:p>
      <w:pPr>
        <w:ind w:right="80" w:firstLine="3"/>
        <w:spacing w:after="0" w:line="218" w:lineRule="auto"/>
        <w:tabs>
          <w:tab w:leader="none" w:pos="265" w:val="left"/>
        </w:tabs>
        <w:numPr>
          <w:ilvl w:val="0"/>
          <w:numId w:val="62"/>
        </w:numPr>
        <w:rPr>
          <w:rFonts w:ascii="Arial" w:cs="Arial" w:eastAsia="Arial" w:hAnsi="Arial"/>
          <w:sz w:val="18"/>
          <w:szCs w:val="18"/>
          <w:color w:val="auto"/>
        </w:rPr>
      </w:pPr>
      <w:r>
        <w:rPr>
          <w:rFonts w:ascii="Arial" w:cs="Arial" w:eastAsia="Arial" w:hAnsi="Arial"/>
          <w:sz w:val="18"/>
          <w:szCs w:val="18"/>
          <w:color w:val="auto"/>
        </w:rPr>
        <w:t>$5.40, as adjusted for capitalization change. The Company’s IPO in November 2015 met the definition of a qualified financing, and upon the close of the IPO all of the outstanding balance of the September 2014 Notes and accrued and unpaid interest converted into 836,202 shares of common stock.</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4" w:name="page145"/>
    <w:bookmarkEnd w:id="1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During the period from December 2014 through January 2015, the Company issued a total of $1,570,000 in convertible notes to several investors (“December 2014 Notes”). The December 2014 Notes accrued interest at an annual rate of 8.0% and were due and payable ten years from the date of issuance. The principal and accrued interest were convertible into shares of the Company’s common stock upon the occurrence of a qualified financing, as defined in the December 2014 Notes, in which the conversion price would be equal to the lesser of (i) 75% of the lowest price per share at which the Company's shares of equity securities are sold (see further discussions in “—Accounting Analysis” below), or (ii) $5.94, as adjusted for capitalization change. The Company’s IPO in November 2015 met the definition of a qualified financing, and upon the close of the IPO all of the outstanding balance of the December 2014 Notes and accrued and unpaid interest converted into 283,131 shares of common stock.</w:t>
      </w:r>
    </w:p>
    <w:p>
      <w:pPr>
        <w:spacing w:after="0" w:line="162"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During the period from May 2015 through July 2015, the Company issued a total of $7,166,469 in convertible notes (“2015 Notes”). The 2015 Notes accrued interest at an annual rate of 8.0% and were due and payable ten years from the date of issuance. The principal and accrued interest were convertible into shares of the Company’s common stock upon the occurrence of a qualified financing, as defined in the 2015 Notes, in which the conversion price would be equal to the lesser of (i) 75% of the lowest price per share at which the Company's shares of equity securities are sold (see further discussions in “—Accounting Analysis” below), or (ii) $5.94, as adjusted for capitalization change. The Company’s IPO in November 2015 met the definition of a qualified financing, and upon the close of the IPO all of the outstanding balance of the 2015 Notes and accrued and unpaid interest converted into 1,255,273 shares of common stock.</w:t>
      </w:r>
    </w:p>
    <w:p>
      <w:pPr>
        <w:spacing w:after="0" w:line="167"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In September 2015, the Company and the holders of its outstanding convertible notes amended the terms of the September 2014 Notes, December 2014 Notes, and 2015 Notes to provide that the principal and any accrued and unpaid interest would automatically convert into shares of the Company’s common stock upon the occurrence of an equity financing of at least $2.0 million in gross aggregate cash proceeds at a conversion price equal to the applicable fixed conversion price for the notes; provided, however, if the lowest price per share at which the shares of equity securities were sold in such equity financing is less than the applicable fixed conversion price, then the note conversion price would equal 75% of the lowest price per share at which the shares of equity securities are sold (see further discussions in “—Accounting Analysis” below).</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Analysis</w:t>
      </w:r>
    </w:p>
    <w:p>
      <w:pPr>
        <w:spacing w:after="0" w:line="189"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color w:val="auto"/>
        </w:rPr>
        <w:t>The June 2014 amendment of the June 2013 Notes, pursuant to which the June 2013 Notes plus any accrued and unpaid interest automatically converted into shares of the Company’s common stock on the due date, was considered substantive. As such, the June 2013 Notes were considered extinguished, and the amended notes were recorded at fair value. The difference between the fair value of the amended notes of $6,691,000, which was measured using the backsolve method, and the carrying value of the extinguished notes of $3,820,097 was recorded as a loss on extinguishment of debt in the Company’s consolidated financial statements. The difference between the fair value and the face value of the amended notes was recorded as a premium to the notes and amortized over the remaining life of the notes. The amortization of the premium is included in interest and amortization of debt discount/premium (expense) income in the consolidated statements of operations.</w:t>
      </w:r>
    </w:p>
    <w:p>
      <w:pPr>
        <w:spacing w:after="0" w:line="162" w:lineRule="exact"/>
        <w:rPr>
          <w:sz w:val="20"/>
          <w:szCs w:val="20"/>
          <w:color w:val="auto"/>
        </w:rPr>
      </w:pPr>
    </w:p>
    <w:p>
      <w:pPr>
        <w:ind w:right="80" w:firstLine="648"/>
        <w:spacing w:after="0" w:line="187" w:lineRule="exact"/>
        <w:rPr>
          <w:sz w:val="20"/>
          <w:szCs w:val="20"/>
          <w:color w:val="auto"/>
        </w:rPr>
      </w:pPr>
      <w:r>
        <w:rPr>
          <w:rFonts w:ascii="Arial" w:cs="Arial" w:eastAsia="Arial" w:hAnsi="Arial"/>
          <w:sz w:val="17"/>
          <w:szCs w:val="17"/>
          <w:color w:val="auto"/>
        </w:rPr>
        <w:t>The September 2014 Notes, December 2014 Notes, and 2015 Notes each included a redemption provision, which is an embedded derivative. These embedded derivatives required bifurcation from the host debt instrument. The Company aggregated these bifurcated features and reflected the values of these embedded derivatives in the account “embedded derivative liabilities” that was re</w:t>
      </w:r>
      <w:r>
        <w:rPr>
          <w:rFonts w:ascii="MS PGothic" w:cs="MS PGothic" w:eastAsia="MS PGothic" w:hAnsi="MS PGothic"/>
          <w:sz w:val="17"/>
          <w:szCs w:val="17"/>
          <w:color w:val="auto"/>
        </w:rPr>
        <w:t>‑</w:t>
      </w:r>
      <w:r>
        <w:rPr>
          <w:rFonts w:ascii="Arial" w:cs="Arial" w:eastAsia="Arial" w:hAnsi="Arial"/>
          <w:sz w:val="17"/>
          <w:szCs w:val="17"/>
          <w:color w:val="auto"/>
        </w:rPr>
        <w:t>measured at each reporting period and any changes in fair value was recognized in the consolidated statements of operations. See Note 3, “Fair Value Measurements.”</w:t>
      </w:r>
    </w:p>
    <w:p>
      <w:pPr>
        <w:spacing w:after="0" w:line="161"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The September 2015 amendment to the September 2014 Notes, December 2014 Notes, and 2015 Notes amended the conversion provision, which was considered substantive. As such, the September 2014 Notes, December 2014 Notes, and 2015 Notes were considered extinguished, and the amended notes were recorded at fair value. The difference between the fair value of the amended notes of $15,146,410 and the carrying value of the extinguished notes of $12,701,894 was recorded as a loss on extinguishment of debt in the Company’s consolidated financial statements.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convertible notes were outstanding as of December 31, 2017, 2016 and 2015.</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45" w:name="page146"/>
    <w:bookmarkEnd w:id="1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Loan and Security Agreement</w:t>
      </w:r>
    </w:p>
    <w:p>
      <w:pPr>
        <w:spacing w:after="0" w:line="189"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In November 2016, the Company entered into a $20.0 million Term Loan Agreement (“Term Loan”) with SVB. The three-tranche Term Loan consists of an initial $10.0 million tranche triggered upon closing, with the remaining $10.0 million available to be drawn in two $5.0 million tranches, at the Company’s option, subject to the achievement of certain clinical and financial milestones.</w:t>
      </w:r>
    </w:p>
    <w:p>
      <w:pPr>
        <w:spacing w:after="0" w:line="163" w:lineRule="exact"/>
        <w:rPr>
          <w:sz w:val="20"/>
          <w:szCs w:val="20"/>
          <w:color w:val="auto"/>
        </w:rPr>
      </w:pPr>
    </w:p>
    <w:p>
      <w:pPr>
        <w:ind w:right="20" w:firstLine="648"/>
        <w:spacing w:after="0" w:line="222" w:lineRule="auto"/>
        <w:rPr>
          <w:sz w:val="20"/>
          <w:szCs w:val="20"/>
          <w:color w:val="auto"/>
        </w:rPr>
      </w:pPr>
      <w:r>
        <w:rPr>
          <w:rFonts w:ascii="Arial" w:cs="Arial" w:eastAsia="Arial" w:hAnsi="Arial"/>
          <w:sz w:val="17"/>
          <w:szCs w:val="17"/>
          <w:color w:val="auto"/>
        </w:rPr>
        <w:t>The loan bears interest at an annual rate equal to 4.50% plus the prime rate, which is the greater of 3.50% or the Wall Street Journal prime rate, and is payable monthly. It matures in November 2020 and has an interest-only payment period until December 1,2017, which may be extended to May 2018 upon the drawing of the second tranche. Following the interest only payment period, the Company will begin making monthly payments of principal and interest until the maturity date. Principal payments coming due within twelve months have been classified as current liabilities in the accompanying balance sheet. In addition, the Company is required to pay a final payment fee of 8.5% of the principal amount extended on the date of repayment of the Term Loan, which is being accreted and amortized into interest expense using the effective interest rate method over the term of the loan. Because the Company did not achieve the conditional criteria to access the second and third term advances before the specified dates, the $10.0 million in additional term loan advances expired and the Company began to repay principal in December 2017.</w:t>
      </w:r>
    </w:p>
    <w:p>
      <w:pPr>
        <w:spacing w:after="0" w:line="164"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The Company may prepay all, but not less than all, of the Term Loan subject to a prepayment premium of 3.0% of the outstanding principal if prepaid within two years of the effective date of the loan, 2.0% of the outstanding principal if prepaid during the third year of the loan, and 1.0% of the outstanding principal if prepaid after the third year. The Term Loan is collateralized by a security interest in all of the Company’s assets except intellectual property. The Company’s intellectual property is subject to a negative pledge.</w:t>
      </w:r>
    </w:p>
    <w:p>
      <w:pPr>
        <w:spacing w:after="0" w:line="41" w:lineRule="exact"/>
        <w:rPr>
          <w:sz w:val="20"/>
          <w:szCs w:val="20"/>
          <w:color w:val="auto"/>
        </w:rPr>
      </w:pPr>
    </w:p>
    <w:p>
      <w:pPr>
        <w:ind w:right="180" w:firstLine="648"/>
        <w:spacing w:after="0" w:line="235" w:lineRule="auto"/>
        <w:rPr>
          <w:sz w:val="20"/>
          <w:szCs w:val="20"/>
          <w:color w:val="auto"/>
        </w:rPr>
      </w:pPr>
      <w:r>
        <w:rPr>
          <w:rFonts w:ascii="Arial" w:cs="Arial" w:eastAsia="Arial" w:hAnsi="Arial"/>
          <w:sz w:val="18"/>
          <w:szCs w:val="18"/>
          <w:color w:val="auto"/>
        </w:rPr>
        <w:t>Interest expense was $869,678 and $116,736 and amortization of the final payment was $346,978 and $49,781 for the years ended December 31, 2017 and 2016,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and unamortized debt discount balances are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7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5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9,722,222</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50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8"/>
                <w:szCs w:val="18"/>
                <w:color w:val="auto"/>
              </w:rPr>
              <w:t>Less debt discount, net of current portion</w:t>
            </w: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274,116</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5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Long-term debt, net of debt discount</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9,996,338</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50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8"/>
                <w:szCs w:val="18"/>
                <w:color w:val="auto"/>
              </w:rPr>
              <w:t>Less current portion of long-term debt</w:t>
            </w: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(3,333,333)</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 payable, long-term</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6,663,005</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tcPr>
          <w:p>
            <w:pPr>
              <w:spacing w:after="0" w:line="203" w:lineRule="exact"/>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3,333,333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debt discount</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(63,987)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Loan payable, current portion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3,269,346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In connection with the Term Loan, SVB and Life Science Loans, LLC (“the lenders”) received warrants to purchase an aggregate 65,228 shares of the Company’s common stock at an exercise price of $7.41 per share, which are exercisable for seven years from the date of issuance.</w:t>
      </w:r>
    </w:p>
    <w:p>
      <w:pPr>
        <w:spacing w:after="0" w:line="123"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The proceeds of $10.0 million were allocated based on the relative fair values of the debt instrument and the warrant instrument. The fair value of the warrants and the closing costs were recorded as debt discounts and are being amortized using the effective interest rate method over the term of the loan. Amortization of the debt discount was $123,543 and $19,149 for the years ended December 31, 2017 and 2016, respectively.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46" w:name="page147"/>
    <w:bookmarkEnd w:id="1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580" w:type="dxa"/>
            <w:vAlign w:val="bottom"/>
            <w:gridSpan w:val="3"/>
          </w:tcPr>
          <w:p>
            <w:pPr>
              <w:jc w:val="right"/>
              <w:ind w:right="710"/>
              <w:spacing w:after="0"/>
              <w:rPr>
                <w:sz w:val="20"/>
                <w:szCs w:val="20"/>
                <w:color w:val="auto"/>
              </w:rPr>
            </w:pPr>
            <w:r>
              <w:rPr>
                <w:rFonts w:ascii="Arial" w:cs="Arial" w:eastAsia="Arial" w:hAnsi="Arial"/>
                <w:sz w:val="18"/>
                <w:szCs w:val="18"/>
                <w:color w:val="auto"/>
                <w:w w:val="91"/>
              </w:rPr>
              <w:t>Scheduled principal payments on outstanding debt, as of December 31, 2017, are as follows: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8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w w:val="79"/>
              </w:rPr>
              <w:t>2018</w:t>
            </w:r>
          </w:p>
        </w:tc>
        <w:tc>
          <w:tcPr>
            <w:tcW w:w="7580" w:type="dxa"/>
            <w:vAlign w:val="bottom"/>
            <w:gridSpan w:val="3"/>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3,333,333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jc w:val="right"/>
              <w:ind w:right="50"/>
              <w:spacing w:after="0" w:line="176" w:lineRule="exact"/>
              <w:rPr>
                <w:sz w:val="20"/>
                <w:szCs w:val="20"/>
                <w:color w:val="auto"/>
              </w:rPr>
            </w:pPr>
            <w:r>
              <w:rPr>
                <w:rFonts w:ascii="Arial" w:cs="Arial" w:eastAsia="Arial" w:hAnsi="Arial"/>
                <w:sz w:val="18"/>
                <w:szCs w:val="18"/>
                <w:color w:val="auto"/>
                <w:w w:val="79"/>
              </w:rPr>
              <w:t>2019</w:t>
            </w:r>
          </w:p>
        </w:tc>
        <w:tc>
          <w:tcPr>
            <w:tcW w:w="7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3,333,333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w w:val="79"/>
              </w:rPr>
              <w:t>2020</w:t>
            </w:r>
          </w:p>
        </w:tc>
        <w:tc>
          <w:tcPr>
            <w:tcW w:w="7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3,055,556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9,722,222</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189"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color w:val="auto"/>
        </w:rPr>
        <w:t>As of December 31, 2014, the Company was authorized to issue 14,689,000 shares of common stock at $0.0001 par value per share. In April 2015, the Company’s board of directors and stockholders approved an increase of the Company’s authorized shares of common stock to 22,033,500 shares. In connection with the close of the Company’s IPO on November 24, 2015, the Company’s stockholders approved an amended and restated certificate of incorporation increasing the number of authorized shares of common stock to 150,000,000 and the number of authorized shares of preferred stock to 10,000,000, par value $0.0001 per share.</w:t>
      </w:r>
    </w:p>
    <w:p>
      <w:pPr>
        <w:spacing w:after="0" w:line="162"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6"/>
          <w:szCs w:val="16"/>
          <w:color w:val="auto"/>
        </w:rPr>
        <w:t>In November 2015, the Company completed its IPO, whereby it sold 5,666,667 shares of common stock at a public offering price of $9.00 per share. The Company received gross proceeds of approximately $51.0 million and net proceeds of approximately $45.5 million, after deducting underwriting discounts and commissions and offering-related transaction costs.</w:t>
      </w:r>
    </w:p>
    <w:p>
      <w:pPr>
        <w:spacing w:after="0" w:line="107" w:lineRule="exact"/>
        <w:rPr>
          <w:sz w:val="20"/>
          <w:szCs w:val="20"/>
          <w:color w:val="auto"/>
        </w:rPr>
      </w:pPr>
    </w:p>
    <w:p>
      <w:pPr>
        <w:ind w:right="220" w:firstLine="648"/>
        <w:spacing w:after="0" w:line="238" w:lineRule="auto"/>
        <w:rPr>
          <w:sz w:val="20"/>
          <w:szCs w:val="20"/>
          <w:color w:val="auto"/>
        </w:rPr>
      </w:pPr>
      <w:r>
        <w:rPr>
          <w:rFonts w:ascii="Arial" w:cs="Arial" w:eastAsia="Arial" w:hAnsi="Arial"/>
          <w:sz w:val="17"/>
          <w:szCs w:val="17"/>
          <w:color w:val="auto"/>
        </w:rPr>
        <w:t>In March 2017, the Company completed an underwritten public offering, whereby it sold 4,304,813 shares of common stock at a public offering price of $3.74 per share. The Company received gross proceeds of approximately $16.1 million and net proceeds of approximately $14.8 million, net of underwriting discounts and offering expenses.</w:t>
      </w:r>
    </w:p>
    <w:p>
      <w:pPr>
        <w:spacing w:after="0" w:line="121"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In October 2017, the Company entered into the Sales Agreement with Leerink , pursuant to which the Company may sell up to $30 million in shares of its common stock from time to time through Leerink, acting as its sales agent, in one or more at-the-market offerings. Leerink is entitled to receive a commission of 3.0% of the gross proceeds for any shares sold under the Sales Agreement. Gross sales of $0.1 million were made under the Sales Agreement during the year ended December 31, 2017.</w:t>
      </w:r>
    </w:p>
    <w:p>
      <w:pPr>
        <w:spacing w:after="0" w:line="122"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In December 2017, the Company completed the Registered Direct Offering, whereby it sold an aggregate of $9.5 million worth of units (“Units”) at a purchase price of $5.325 per Unit with each Unit consisting of (i) one share of the Company’s common stock, and (ii) a Common Warrant at an exercise price equal to $5.25 per share. The Company sold an aggregate of 1,783,587 Units for gross proceeds of approximately $9.5 million and net proceeds of approximately $8.8 million, net of underwriting discounts and offering expenses. Additionally, the Company issued 107,015 Placement Agent Warrants. The Company incurred issuance costs associated with the Units offering of $745,856, which included $81,000 related to issuance of 107,015 Placement Agent Warrants, of which, $583,768 was allocated to the common stock sold and was recorded as a reduction to equity. The remaining amount was allocated to the Common Warrants and was expensed. The Placement Agent Warrants have the same terms as the Common Warrants, except for the exercise price of $6.6562 per share.</w:t>
      </w:r>
    </w:p>
    <w:p>
      <w:pPr>
        <w:spacing w:after="0" w:line="60"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Each of the warrants issued in December 2017, in connection with the Registered Direct Offering are liabilities pursuant to ASC 815 as registered common stock warrants that require the issuance of registered shares upon exercise and do not expressly preclude an implied right to cash settlement are accounted for as derivative liabilities. The Company classifies these derivative warrant liabilities on the consolidated balance sheet as a current liability. The initial fair value of the Common Warrants and Placement Agent Warrants was estimated to be approximately $2,145,000 and was deducted from the gross proceeds of the Unit offering with the residual amount recorded to equity.</w:t>
      </w:r>
    </w:p>
    <w:p>
      <w:pPr>
        <w:spacing w:after="0" w:line="57"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color w:val="auto"/>
        </w:rPr>
        <w:t>The holders of shares of common stock are entitled to one vote for each share of common stock held at all meetings of stockholders and written actions in lieu of meetings. The holders of shares of common stock are entitled to receive dividends, if and when declared by the board of directors.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47" w:name="page148"/>
    <w:bookmarkEnd w:id="1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Shelf Registration Statement</w:t>
      </w:r>
    </w:p>
    <w:p>
      <w:pPr>
        <w:spacing w:after="0" w:line="67"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On December 1, 2016, the Company filed a shelf registration statement with the Securities and Exchange Commission (“SEC”) for the issuance of common stock, preferred stock, warrants, rights, debt securities and units up to an aggregate amount of $150.0 million, which the Company refers to as the 2016 Shelf Registration Statement. On December 16, 2016, the 2016 Shelf Registration Statement was declared effective by the SEC. The Company completed an offering of common stock in March 2017, entered into a sales agreement in October 2017 pursuant to which the Company may sell shares of its common stock from time to time in an at-the-market offering and sold shares of its common stock and warrants (as described above) in the Registered Direct Offering priced at the market in December 2017 utilizing the 2016 Shelf Registration Statement. In the future, the Company may also periodically offer one or more of these securities in amounts, prices and terms to be announced when and if the securities are offered. At the time any of the securities covered by the 2016 Shelf Registration Statement are offered for sale, a prospectus supplement will be prepared and filed with the SEC containing specific information about the terms of any such offering.</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89"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The Company had granted stock options under its 2013 Equity Compensation Plan (the "2013 Plan"), which was adopted for employees and consultants for the purpose of advancing the interests of the Company's stockholders by enhancing its ability to attract, retain and motivate persons who are expected to make important contributions to the Company. In November 2015, the 2015 Omnibus Incentive Compensation Plan (the “2015 Plan”) was adopted by the Company’s stockholders. The 2015 Plan is the successor to the Company's 2013 Plan. In conjunction with the adoption of the 2015 Plan, no additional grants were made from the 2013 Plan and options from the 2013 Plan remain outstanding. As of December 31, 2017, there were 2,852,551 shares available for future grant under the 2015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as of December 31, 2017:</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Weighted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9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average</w:t>
            </w: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2"/>
              </w:rPr>
              <w:t>contractual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of shares</w:t>
            </w:r>
          </w:p>
        </w:tc>
        <w:tc>
          <w:tcPr>
            <w:tcW w:w="80" w:type="dxa"/>
            <w:vAlign w:val="bottom"/>
          </w:tcPr>
          <w:p>
            <w:pPr>
              <w:spacing w:after="0"/>
              <w:rPr>
                <w:sz w:val="14"/>
                <w:szCs w:val="14"/>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exercise price</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term</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169"/>
        </w:trPr>
        <w:tc>
          <w:tcPr>
            <w:tcW w:w="50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2016</w:t>
            </w:r>
          </w:p>
        </w:tc>
        <w:tc>
          <w:tcPr>
            <w:tcW w:w="9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1,772,050</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5.74</w:t>
            </w:r>
          </w:p>
        </w:tc>
        <w:tc>
          <w:tcPr>
            <w:tcW w:w="1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20" w:type="dxa"/>
            <w:vAlign w:val="bottom"/>
          </w:tcPr>
          <w:p>
            <w:pPr>
              <w:ind w:left="220"/>
              <w:spacing w:after="0" w:line="176" w:lineRule="exact"/>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847,510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5.24</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Exercised</w:t>
            </w:r>
          </w:p>
        </w:tc>
        <w:tc>
          <w:tcPr>
            <w:tcW w:w="9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(88,922)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20" w:type="dxa"/>
            <w:vAlign w:val="bottom"/>
          </w:tcPr>
          <w:p>
            <w:pPr>
              <w:ind w:left="220"/>
              <w:spacing w:after="0" w:line="176" w:lineRule="exact"/>
              <w:rPr>
                <w:sz w:val="20"/>
                <w:szCs w:val="20"/>
                <w:color w:val="auto"/>
              </w:rPr>
            </w:pPr>
            <w:r>
              <w:rPr>
                <w:rFonts w:ascii="Arial" w:cs="Arial" w:eastAsia="Arial" w:hAnsi="Arial"/>
                <w:sz w:val="18"/>
                <w:szCs w:val="18"/>
                <w:color w:val="auto"/>
              </w:rPr>
              <w:t>Forfeited</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(101,497)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6.69</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Expired</w:t>
            </w:r>
          </w:p>
        </w:tc>
        <w:tc>
          <w:tcPr>
            <w:tcW w:w="9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(113,503)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6.30</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20" w:type="dxa"/>
            <w:vAlign w:val="bottom"/>
          </w:tcPr>
          <w:p>
            <w:pPr>
              <w:spacing w:after="0" w:line="170" w:lineRule="exact"/>
              <w:rPr>
                <w:sz w:val="20"/>
                <w:szCs w:val="20"/>
                <w:color w:val="auto"/>
              </w:rPr>
            </w:pPr>
            <w:r>
              <w:rPr>
                <w:rFonts w:ascii="Arial" w:cs="Arial" w:eastAsia="Arial" w:hAnsi="Arial"/>
                <w:sz w:val="18"/>
                <w:szCs w:val="18"/>
                <w:color w:val="auto"/>
              </w:rPr>
              <w:t>Outstanding at December 31, 2017</w:t>
            </w:r>
          </w:p>
        </w:tc>
        <w:tc>
          <w:tcPr>
            <w:tcW w:w="9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2,315,638</w:t>
            </w:r>
          </w:p>
        </w:tc>
        <w:tc>
          <w:tcPr>
            <w:tcW w:w="60" w:type="dxa"/>
            <w:vAlign w:val="bottom"/>
          </w:tcPr>
          <w:p>
            <w:pPr>
              <w:spacing w:after="0"/>
              <w:rPr>
                <w:sz w:val="15"/>
                <w:szCs w:val="15"/>
                <w:color w:val="auto"/>
              </w:rPr>
            </w:pPr>
          </w:p>
        </w:tc>
        <w:tc>
          <w:tcPr>
            <w:tcW w:w="20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70" w:lineRule="exact"/>
              <w:rPr>
                <w:sz w:val="20"/>
                <w:szCs w:val="20"/>
                <w:color w:val="auto"/>
              </w:rPr>
            </w:pPr>
            <w:r>
              <w:rPr>
                <w:rFonts w:ascii="Arial" w:cs="Arial" w:eastAsia="Arial" w:hAnsi="Arial"/>
                <w:sz w:val="18"/>
                <w:szCs w:val="18"/>
                <w:color w:val="auto"/>
              </w:rPr>
              <w:t>5.57</w:t>
            </w:r>
          </w:p>
        </w:tc>
        <w:tc>
          <w:tcPr>
            <w:tcW w:w="160" w:type="dxa"/>
            <w:vAlign w:val="bottom"/>
          </w:tcPr>
          <w:p>
            <w:pPr>
              <w:spacing w:after="0"/>
              <w:rPr>
                <w:sz w:val="15"/>
                <w:szCs w:val="15"/>
                <w:color w:val="auto"/>
              </w:rPr>
            </w:pPr>
          </w:p>
        </w:tc>
        <w:tc>
          <w:tcPr>
            <w:tcW w:w="720" w:type="dxa"/>
            <w:vAlign w:val="bottom"/>
          </w:tcPr>
          <w:p>
            <w:pPr>
              <w:jc w:val="right"/>
              <w:spacing w:after="0" w:line="170" w:lineRule="exact"/>
              <w:rPr>
                <w:sz w:val="20"/>
                <w:szCs w:val="20"/>
                <w:color w:val="auto"/>
              </w:rPr>
            </w:pPr>
            <w:r>
              <w:rPr>
                <w:rFonts w:ascii="Arial" w:cs="Arial" w:eastAsia="Arial" w:hAnsi="Arial"/>
                <w:sz w:val="18"/>
                <w:szCs w:val="18"/>
                <w:color w:val="auto"/>
              </w:rPr>
              <w:t>8.2</w:t>
            </w:r>
          </w:p>
        </w:tc>
        <w:tc>
          <w:tcPr>
            <w:tcW w:w="160" w:type="dxa"/>
            <w:vAlign w:val="bottom"/>
          </w:tcPr>
          <w:p>
            <w:pPr>
              <w:spacing w:after="0"/>
              <w:rPr>
                <w:sz w:val="15"/>
                <w:szCs w:val="15"/>
                <w:color w:val="auto"/>
              </w:rPr>
            </w:pPr>
          </w:p>
        </w:tc>
        <w:tc>
          <w:tcPr>
            <w:tcW w:w="120" w:type="dxa"/>
            <w:vAlign w:val="bottom"/>
            <w:gridSpan w:val="2"/>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70" w:lineRule="exact"/>
              <w:rPr>
                <w:sz w:val="20"/>
                <w:szCs w:val="20"/>
                <w:color w:val="auto"/>
              </w:rPr>
            </w:pPr>
            <w:r>
              <w:rPr>
                <w:rFonts w:ascii="Arial" w:cs="Arial" w:eastAsia="Arial" w:hAnsi="Arial"/>
                <w:sz w:val="18"/>
                <w:szCs w:val="18"/>
                <w:color w:val="auto"/>
                <w:w w:val="97"/>
              </w:rPr>
              <w:t>2,385,761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20" w:type="dxa"/>
            <w:vAlign w:val="bottom"/>
            <w:tcBorders>
              <w:top w:val="single" w:sz="8" w:color="CCEEFF"/>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Vested and expected to vest at December 31, 2017</w:t>
            </w:r>
          </w:p>
        </w:tc>
        <w:tc>
          <w:tcPr>
            <w:tcW w:w="92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2,309,469</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5.58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2,359,235</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020" w:type="dxa"/>
            <w:vAlign w:val="bottom"/>
          </w:tcPr>
          <w:p>
            <w:pPr>
              <w:spacing w:after="0" w:line="163" w:lineRule="exact"/>
              <w:rPr>
                <w:sz w:val="20"/>
                <w:szCs w:val="20"/>
                <w:color w:val="auto"/>
              </w:rPr>
            </w:pPr>
            <w:r>
              <w:rPr>
                <w:rFonts w:ascii="Arial" w:cs="Arial" w:eastAsia="Arial" w:hAnsi="Arial"/>
                <w:sz w:val="18"/>
                <w:szCs w:val="18"/>
                <w:color w:val="auto"/>
              </w:rPr>
              <w:t>Exercisable at December 31, 2017</w:t>
            </w:r>
          </w:p>
        </w:tc>
        <w:tc>
          <w:tcPr>
            <w:tcW w:w="9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1,190,135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4.78</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7.5</w:t>
            </w: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97"/>
              </w:rPr>
              <w:t>2,042,324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20" w:firstLine="648"/>
        <w:spacing w:after="0" w:line="181" w:lineRule="exact"/>
        <w:rPr>
          <w:sz w:val="20"/>
          <w:szCs w:val="20"/>
          <w:color w:val="auto"/>
        </w:rPr>
      </w:pPr>
      <w:r>
        <w:rPr>
          <w:rFonts w:ascii="Arial" w:cs="Arial" w:eastAsia="Arial" w:hAnsi="Arial"/>
          <w:sz w:val="16"/>
          <w:szCs w:val="16"/>
          <w:color w:val="auto"/>
        </w:rPr>
        <w:t>The fair value of each stock option grant is estimated on the date of grant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The Company periodically remeasures the fair value of stock</w:t>
      </w:r>
      <w:r>
        <w:rPr>
          <w:rFonts w:ascii="MS PGothic" w:cs="MS PGothic" w:eastAsia="MS PGothic" w:hAnsi="MS PGothic"/>
          <w:sz w:val="16"/>
          <w:szCs w:val="16"/>
          <w:color w:val="auto"/>
        </w:rPr>
        <w:t>‑</w:t>
      </w:r>
      <w:r>
        <w:rPr>
          <w:rFonts w:ascii="Arial" w:cs="Arial" w:eastAsia="Arial" w:hAnsi="Arial"/>
          <w:sz w:val="16"/>
          <w:szCs w:val="16"/>
          <w:color w:val="auto"/>
        </w:rPr>
        <w:t>based awards issued to non</w:t>
      </w:r>
      <w:r>
        <w:rPr>
          <w:rFonts w:ascii="MS PGothic" w:cs="MS PGothic" w:eastAsia="MS PGothic" w:hAnsi="MS PGothic"/>
          <w:sz w:val="16"/>
          <w:szCs w:val="16"/>
          <w:color w:val="auto"/>
        </w:rPr>
        <w:t>‑</w:t>
      </w:r>
      <w:r>
        <w:rPr>
          <w:rFonts w:ascii="Arial" w:cs="Arial" w:eastAsia="Arial" w:hAnsi="Arial"/>
          <w:sz w:val="16"/>
          <w:szCs w:val="16"/>
          <w:color w:val="auto"/>
        </w:rPr>
        <w:t>employees and records the expense over the requisite service period. The expected term of the Company’s stock options has been determined utilizing the “simplified” method as described in the SEC’s Staff Accounting Bulletin No. 107 relating to stock</w:t>
      </w:r>
      <w:r>
        <w:rPr>
          <w:rFonts w:ascii="MS PGothic" w:cs="MS PGothic" w:eastAsia="MS PGothic" w:hAnsi="MS PGothic"/>
          <w:sz w:val="16"/>
          <w:szCs w:val="16"/>
          <w:color w:val="auto"/>
        </w:rPr>
        <w:t>‑</w:t>
      </w:r>
      <w:r>
        <w:rPr>
          <w:rFonts w:ascii="Arial" w:cs="Arial" w:eastAsia="Arial" w:hAnsi="Arial"/>
          <w:sz w:val="16"/>
          <w:szCs w:val="16"/>
          <w:color w:val="auto"/>
        </w:rPr>
        <w:t>based compensation. The simplified method was chosen because the Company has limited historical option exercise experience due to its short operating history. The risk</w:t>
      </w:r>
      <w:r>
        <w:rPr>
          <w:rFonts w:ascii="MS PGothic" w:cs="MS PGothic" w:eastAsia="MS PGothic" w:hAnsi="MS PGothic"/>
          <w:sz w:val="16"/>
          <w:szCs w:val="16"/>
          <w:color w:val="auto"/>
        </w:rPr>
        <w:t>‑</w:t>
      </w:r>
      <w:r>
        <w:rPr>
          <w:rFonts w:ascii="Arial" w:cs="Arial" w:eastAsia="Arial" w:hAnsi="Arial"/>
          <w:sz w:val="16"/>
          <w:szCs w:val="16"/>
          <w:color w:val="auto"/>
        </w:rPr>
        <w:t>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Expected volatility is based on historical volatilities of similar entities within the Company’s industry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48" w:name="page149"/>
    <w:bookmarkEnd w:id="1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which were commensurate with the Company’s expected term assumption. The relevant data used to determine the value of the stock option grants for the years ended December 31, 2017, 2016 and 2015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Black-Scholes option valuation assumptions</w:t>
            </w:r>
          </w:p>
        </w:tc>
        <w:tc>
          <w:tcPr>
            <w:tcW w:w="4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2017</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Arial" w:cs="Arial" w:eastAsia="Arial" w:hAnsi="Arial"/>
                <w:sz w:val="14"/>
                <w:szCs w:val="14"/>
                <w:b w:val="1"/>
                <w:bCs w:val="1"/>
                <w:color w:val="auto"/>
                <w:w w:val="89"/>
              </w:rPr>
              <w:t>2016</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w w:val="89"/>
              </w:rPr>
              <w:t>2015</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9"/>
        </w:trPr>
        <w:tc>
          <w:tcPr>
            <w:tcW w:w="43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0.7</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- 1.9</w:t>
            </w: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176"/>
        </w:trPr>
        <w:tc>
          <w:tcPr>
            <w:tcW w:w="4520" w:type="dxa"/>
            <w:vAlign w:val="bottom"/>
            <w:gridSpan w:val="2"/>
          </w:tcPr>
          <w:p>
            <w:pPr>
              <w:spacing w:after="0" w:line="176" w:lineRule="exact"/>
              <w:rPr>
                <w:sz w:val="20"/>
                <w:szCs w:val="20"/>
                <w:color w:val="auto"/>
              </w:rPr>
            </w:pPr>
            <w:r>
              <w:rPr>
                <w:rFonts w:ascii="Arial" w:cs="Arial" w:eastAsia="Arial" w:hAnsi="Arial"/>
                <w:sz w:val="18"/>
                <w:szCs w:val="18"/>
                <w:color w:val="auto"/>
              </w:rPr>
              <w:t>Dividend yield</w:t>
            </w:r>
          </w:p>
        </w:tc>
        <w:tc>
          <w:tcPr>
            <w:tcW w:w="440" w:type="dxa"/>
            <w:vAlign w:val="bottom"/>
          </w:tcPr>
          <w:p>
            <w:pPr>
              <w:spacing w:after="0"/>
              <w:rPr>
                <w:sz w:val="15"/>
                <w:szCs w:val="15"/>
                <w:color w:val="auto"/>
              </w:rPr>
            </w:pPr>
          </w:p>
        </w:tc>
        <w:tc>
          <w:tcPr>
            <w:tcW w:w="320" w:type="dxa"/>
            <w:vAlign w:val="bottom"/>
          </w:tcPr>
          <w:p>
            <w:pPr>
              <w:jc w:val="center"/>
              <w:spacing w:after="0" w:line="176" w:lineRule="exact"/>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ind w:left="40"/>
              <w:spacing w:after="0" w:line="17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2"/>
          </w:tcPr>
          <w:p>
            <w:pPr>
              <w:jc w:val="center"/>
              <w:ind w:right="130"/>
              <w:spacing w:after="0" w:line="176" w:lineRule="exact"/>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- 77</w:t>
            </w: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- 75</w:t>
            </w: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67</w:t>
            </w:r>
          </w:p>
        </w:tc>
        <w:tc>
          <w:tcPr>
            <w:tcW w:w="2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71</w:t>
            </w: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Weighted average expected term</w:t>
            </w:r>
          </w:p>
        </w:tc>
        <w:tc>
          <w:tcPr>
            <w:tcW w:w="440" w:type="dxa"/>
            <w:vAlign w:val="bottom"/>
          </w:tcPr>
          <w:p>
            <w:pPr>
              <w:jc w:val="right"/>
              <w:spacing w:after="0"/>
              <w:rPr>
                <w:sz w:val="20"/>
                <w:szCs w:val="20"/>
                <w:color w:val="auto"/>
              </w:rPr>
            </w:pPr>
            <w:r>
              <w:rPr>
                <w:rFonts w:ascii="Arial" w:cs="Arial" w:eastAsia="Arial" w:hAnsi="Arial"/>
                <w:sz w:val="18"/>
                <w:szCs w:val="18"/>
                <w:color w:val="auto"/>
              </w:rPr>
              <w:t>3.50</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1"/>
              </w:rPr>
              <w:t>6.12</w:t>
            </w:r>
          </w:p>
        </w:tc>
        <w:tc>
          <w:tcPr>
            <w:tcW w:w="480" w:type="dxa"/>
            <w:vAlign w:val="bottom"/>
            <w:gridSpan w:val="2"/>
          </w:tcPr>
          <w:p>
            <w:pPr>
              <w:ind w:left="20"/>
              <w:spacing w:after="0"/>
              <w:rPr>
                <w:sz w:val="20"/>
                <w:szCs w:val="20"/>
                <w:color w:val="auto"/>
              </w:rPr>
            </w:pPr>
            <w:r>
              <w:rPr>
                <w:rFonts w:ascii="Arial" w:cs="Arial" w:eastAsia="Arial" w:hAnsi="Arial"/>
                <w:sz w:val="18"/>
                <w:szCs w:val="18"/>
                <w:color w:val="auto"/>
                <w:w w:val="99"/>
              </w:rPr>
              <w:t>years</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3.25</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6.25</w:t>
            </w: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years</w:t>
            </w:r>
          </w:p>
        </w:tc>
        <w:tc>
          <w:tcPr>
            <w:tcW w:w="240" w:type="dxa"/>
            <w:vAlign w:val="bottom"/>
          </w:tcPr>
          <w:p>
            <w:pPr>
              <w:jc w:val="right"/>
              <w:spacing w:after="0"/>
              <w:rPr>
                <w:sz w:val="20"/>
                <w:szCs w:val="20"/>
                <w:color w:val="auto"/>
              </w:rPr>
            </w:pPr>
            <w:r>
              <w:rPr>
                <w:rFonts w:ascii="Arial" w:cs="Arial" w:eastAsia="Arial" w:hAnsi="Arial"/>
                <w:sz w:val="18"/>
                <w:szCs w:val="18"/>
                <w:color w:val="auto"/>
                <w:w w:val="79"/>
              </w:rPr>
              <w:t>2.5</w:t>
            </w:r>
          </w:p>
        </w:tc>
        <w:tc>
          <w:tcPr>
            <w:tcW w:w="20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gridSpan w:val="2"/>
          </w:tcPr>
          <w:p>
            <w:pPr>
              <w:ind w:left="40"/>
              <w:spacing w:after="0"/>
              <w:rPr>
                <w:sz w:val="20"/>
                <w:szCs w:val="20"/>
                <w:color w:val="auto"/>
              </w:rPr>
            </w:pPr>
            <w:r>
              <w:rPr>
                <w:rFonts w:ascii="Arial" w:cs="Arial" w:eastAsia="Arial" w:hAnsi="Arial"/>
                <w:sz w:val="18"/>
                <w:szCs w:val="18"/>
                <w:color w:val="auto"/>
                <w:w w:val="90"/>
              </w:rPr>
              <w:t>years</w:t>
            </w:r>
          </w:p>
        </w:tc>
      </w:tr>
    </w:tbl>
    <w:p>
      <w:pPr>
        <w:spacing w:after="0" w:line="161" w:lineRule="exact"/>
        <w:rPr>
          <w:sz w:val="20"/>
          <w:szCs w:val="20"/>
          <w:color w:val="auto"/>
        </w:rPr>
      </w:pPr>
    </w:p>
    <w:p>
      <w:pPr>
        <w:ind w:right="200" w:firstLine="648"/>
        <w:spacing w:after="0" w:line="185" w:lineRule="exact"/>
        <w:rPr>
          <w:sz w:val="20"/>
          <w:szCs w:val="20"/>
          <w:color w:val="auto"/>
        </w:rPr>
      </w:pPr>
      <w:r>
        <w:rPr>
          <w:rFonts w:ascii="Arial" w:cs="Arial" w:eastAsia="Arial" w:hAnsi="Arial"/>
          <w:sz w:val="17"/>
          <w:szCs w:val="17"/>
          <w:color w:val="auto"/>
        </w:rPr>
        <w:t>The weighted average valuation date fair value of options granted was $3.06, $5.13, and $4.21 per option for the years ended December 31, 2017, 2016 and 2015, respectively. As of December 31, 2017, there was $4.1 million of total unrecognized compensation cost related to non</w:t>
      </w:r>
      <w:r>
        <w:rPr>
          <w:rFonts w:ascii="MS PGothic" w:cs="MS PGothic" w:eastAsia="MS PGothic" w:hAnsi="MS PGothic"/>
          <w:sz w:val="17"/>
          <w:szCs w:val="17"/>
          <w:color w:val="auto"/>
        </w:rPr>
        <w:t>‑</w:t>
      </w:r>
      <w:r>
        <w:rPr>
          <w:rFonts w:ascii="Arial" w:cs="Arial" w:eastAsia="Arial" w:hAnsi="Arial"/>
          <w:sz w:val="17"/>
          <w:szCs w:val="17"/>
          <w:color w:val="auto"/>
        </w:rPr>
        <w:t>vested stock options which is expected to be recognized over a weighted average period of 2.7 years. These amounts do not include 47,153 options outstanding as of December 31, 2017, which are performance</w:t>
      </w:r>
      <w:r>
        <w:rPr>
          <w:rFonts w:ascii="MS PGothic" w:cs="MS PGothic" w:eastAsia="MS PGothic" w:hAnsi="MS PGothic"/>
          <w:sz w:val="17"/>
          <w:szCs w:val="17"/>
          <w:color w:val="auto"/>
        </w:rPr>
        <w:t>‑</w:t>
      </w:r>
      <w:r>
        <w:rPr>
          <w:rFonts w:ascii="Arial" w:cs="Arial" w:eastAsia="Arial" w:hAnsi="Arial"/>
          <w:sz w:val="17"/>
          <w:szCs w:val="17"/>
          <w:color w:val="auto"/>
        </w:rPr>
        <w:t>based and vest upon the achievement of certain corporate milestones.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will be measured and recorded if and when it is probable that the milestone will occur.</w:t>
      </w:r>
    </w:p>
    <w:p>
      <w:pPr>
        <w:spacing w:after="0" w:line="165"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recognized for the years ended December 31, 2017, 2016 and 2015 was as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CCEEFF"/>
            </w:tcBorders>
          </w:tcPr>
          <w:p>
            <w:pPr>
              <w:spacing w:after="0"/>
              <w:rPr>
                <w:sz w:val="14"/>
                <w:szCs w:val="14"/>
                <w:color w:val="auto"/>
              </w:rPr>
            </w:pPr>
          </w:p>
        </w:tc>
      </w:tr>
      <w:tr>
        <w:trPr>
          <w:trHeight w:val="169"/>
        </w:trPr>
        <w:tc>
          <w:tcPr>
            <w:tcW w:w="35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Research and development</w:t>
            </w:r>
          </w:p>
        </w:tc>
        <w:tc>
          <w:tcPr>
            <w:tcW w:w="16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5"/>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613,629</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4"/>
              </w:rPr>
              <w:t>1,115,626</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5"/>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622,901</w:t>
            </w:r>
          </w:p>
        </w:tc>
        <w:tc>
          <w:tcPr>
            <w:tcW w:w="40" w:type="dxa"/>
            <w:vAlign w:val="bottom"/>
            <w:shd w:val="clear" w:color="auto" w:fill="CCEEFF"/>
          </w:tcPr>
          <w:p>
            <w:pPr>
              <w:spacing w:after="0"/>
              <w:rPr>
                <w:sz w:val="14"/>
                <w:szCs w:val="14"/>
                <w:color w:val="auto"/>
              </w:rPr>
            </w:pPr>
          </w:p>
        </w:tc>
      </w:tr>
      <w:tr>
        <w:trPr>
          <w:trHeight w:val="176"/>
        </w:trPr>
        <w:tc>
          <w:tcPr>
            <w:tcW w:w="35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General and administrative</w:t>
            </w:r>
          </w:p>
        </w:tc>
        <w:tc>
          <w:tcPr>
            <w:tcW w:w="16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1,458,581</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915,792</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180,378</w:t>
            </w:r>
          </w:p>
        </w:tc>
        <w:tc>
          <w:tcPr>
            <w:tcW w:w="40" w:type="dxa"/>
            <w:vAlign w:val="bottom"/>
            <w:tcBorders>
              <w:bottom w:val="single" w:sz="8" w:color="CCEEFF"/>
            </w:tcBorders>
          </w:tcPr>
          <w:p>
            <w:pPr>
              <w:spacing w:after="0"/>
              <w:rPr>
                <w:sz w:val="15"/>
                <w:szCs w:val="15"/>
                <w:color w:val="auto"/>
              </w:rPr>
            </w:pPr>
          </w:p>
        </w:tc>
      </w:tr>
      <w:tr>
        <w:trPr>
          <w:trHeight w:val="176"/>
        </w:trPr>
        <w:tc>
          <w:tcPr>
            <w:tcW w:w="358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5"/>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2,072,210</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4"/>
              </w:rPr>
              <w:t>2,031,418</w:t>
            </w:r>
          </w:p>
        </w:tc>
        <w:tc>
          <w:tcPr>
            <w:tcW w:w="1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5"/>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803,279</w:t>
            </w:r>
          </w:p>
        </w:tc>
        <w:tc>
          <w:tcPr>
            <w:tcW w:w="40" w:type="dxa"/>
            <w:vAlign w:val="bottom"/>
            <w:tcBorders>
              <w:bottom w:val="single" w:sz="8" w:color="CCEEFF"/>
            </w:tcBorders>
            <w:shd w:val="clear" w:color="auto" w:fill="CCEEFF"/>
          </w:tcPr>
          <w:p>
            <w:pPr>
              <w:spacing w:after="0"/>
              <w:rPr>
                <w:sz w:val="15"/>
                <w:szCs w:val="15"/>
                <w:color w:val="auto"/>
              </w:rPr>
            </w:pPr>
          </w:p>
        </w:tc>
      </w:tr>
    </w:tbl>
    <w:p>
      <w:pPr>
        <w:spacing w:after="0" w:line="18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Performance</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Awards</w:t>
      </w:r>
    </w:p>
    <w:p>
      <w:pPr>
        <w:spacing w:after="0" w:line="189" w:lineRule="exact"/>
        <w:rPr>
          <w:sz w:val="20"/>
          <w:szCs w:val="20"/>
          <w:color w:val="auto"/>
        </w:rPr>
      </w:pPr>
    </w:p>
    <w:p>
      <w:pPr>
        <w:ind w:right="40" w:firstLine="648"/>
        <w:spacing w:after="0" w:line="181" w:lineRule="exact"/>
        <w:rPr>
          <w:sz w:val="20"/>
          <w:szCs w:val="20"/>
          <w:color w:val="auto"/>
        </w:rPr>
      </w:pPr>
      <w:r>
        <w:rPr>
          <w:rFonts w:ascii="Arial" w:cs="Arial" w:eastAsia="Arial" w:hAnsi="Arial"/>
          <w:sz w:val="16"/>
          <w:szCs w:val="16"/>
          <w:color w:val="auto"/>
        </w:rPr>
        <w:t>During the year ended December 31, 2017, the Company issued 20,650 performance-based awards, with a weighted average exercise price of $5.70, to employees that vest upon completion of certain clinical events. The Company issued no performance-based awards during the year ended December 31, 2016. During the year ended December 31, 2015, the Company issued 81,346 options with a weighted average exercise price of $6.47, to employees and non</w:t>
      </w:r>
      <w:r>
        <w:rPr>
          <w:rFonts w:ascii="MS PGothic" w:cs="MS PGothic" w:eastAsia="MS PGothic" w:hAnsi="MS PGothic"/>
          <w:sz w:val="16"/>
          <w:szCs w:val="16"/>
          <w:color w:val="auto"/>
        </w:rPr>
        <w:t>‑</w:t>
      </w:r>
      <w:r>
        <w:rPr>
          <w:rFonts w:ascii="Arial" w:cs="Arial" w:eastAsia="Arial" w:hAnsi="Arial"/>
          <w:sz w:val="16"/>
          <w:szCs w:val="16"/>
          <w:color w:val="auto"/>
        </w:rPr>
        <w:t>employees that vest upon the completion of certain clinical and corporate events. For awards granted to employees with performance conditions, no expense will be recognized, and no measurement date can occur, until the occurrence of the event is probable. For awards granted to non</w:t>
      </w:r>
      <w:r>
        <w:rPr>
          <w:rFonts w:ascii="MS PGothic" w:cs="MS PGothic" w:eastAsia="MS PGothic" w:hAnsi="MS PGothic"/>
          <w:sz w:val="16"/>
          <w:szCs w:val="16"/>
          <w:color w:val="auto"/>
        </w:rPr>
        <w:t>‑</w:t>
      </w:r>
      <w:r>
        <w:rPr>
          <w:rFonts w:ascii="Arial" w:cs="Arial" w:eastAsia="Arial" w:hAnsi="Arial"/>
          <w:sz w:val="16"/>
          <w:szCs w:val="16"/>
          <w:color w:val="auto"/>
        </w:rPr>
        <w:t>employees, the Company will recognize the lowest aggregate amount within the range of potential values as expense until the measurement date is established. For the years ended December 31, 2017, 2016, and 2015, the Company recognized $59,424, $604,866, and $283,394, respectively, as expense related to performance</w:t>
      </w:r>
      <w:r>
        <w:rPr>
          <w:rFonts w:ascii="MS PGothic" w:cs="MS PGothic" w:eastAsia="MS PGothic" w:hAnsi="MS PGothic"/>
          <w:sz w:val="16"/>
          <w:szCs w:val="16"/>
          <w:color w:val="auto"/>
        </w:rPr>
        <w:t>‑</w:t>
      </w:r>
      <w:r>
        <w:rPr>
          <w:rFonts w:ascii="Arial" w:cs="Arial" w:eastAsia="Arial" w:hAnsi="Arial"/>
          <w:sz w:val="16"/>
          <w:szCs w:val="16"/>
          <w:color w:val="auto"/>
        </w:rPr>
        <w:t>based awards.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9" w:name="page150"/>
    <w:bookmarkEnd w:id="1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Warrants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2017, the Company had outstanding warrants to purchase 2,099,149 shares of common stock.</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warrant activity as of December 31, 2017, 2016 and 2015: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6460" w:type="dxa"/>
            <w:vAlign w:val="bottom"/>
          </w:tcPr>
          <w:p>
            <w:pPr>
              <w:spacing w:after="0"/>
              <w:rPr>
                <w:sz w:val="11"/>
                <w:szCs w:val="11"/>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Warrants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64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69"/>
        </w:trPr>
        <w:tc>
          <w:tcPr>
            <w:tcW w:w="64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2014</w:t>
            </w:r>
          </w:p>
        </w:tc>
        <w:tc>
          <w:tcPr>
            <w:tcW w:w="9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230,409</w:t>
            </w:r>
          </w:p>
        </w:tc>
        <w:tc>
          <w:tcPr>
            <w:tcW w:w="2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1.30</w:t>
            </w: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60" w:type="dxa"/>
            <w:vAlign w:val="bottom"/>
            <w:tcBorders>
              <w:bottom w:val="single" w:sz="8" w:color="CCEEFF"/>
            </w:tcBorders>
          </w:tcPr>
          <w:p>
            <w:pPr>
              <w:ind w:left="220"/>
              <w:spacing w:after="0" w:line="170" w:lineRule="exact"/>
              <w:rPr>
                <w:sz w:val="20"/>
                <w:szCs w:val="20"/>
                <w:color w:val="auto"/>
              </w:rPr>
            </w:pPr>
            <w:r>
              <w:rPr>
                <w:rFonts w:ascii="Arial" w:cs="Arial" w:eastAsia="Arial" w:hAnsi="Arial"/>
                <w:sz w:val="18"/>
                <w:szCs w:val="18"/>
                <w:color w:val="auto"/>
              </w:rPr>
              <w:t>Issued</w:t>
            </w: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42,059</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5.94</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2015</w:t>
            </w:r>
          </w:p>
        </w:tc>
        <w:tc>
          <w:tcPr>
            <w:tcW w:w="9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272,468</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2.02</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60" w:type="dxa"/>
            <w:vAlign w:val="bottom"/>
            <w:tcBorders>
              <w:bottom w:val="single" w:sz="8" w:color="CCEEFF"/>
            </w:tcBorders>
          </w:tcPr>
          <w:p>
            <w:pPr>
              <w:ind w:left="220"/>
              <w:spacing w:after="0" w:line="170" w:lineRule="exact"/>
              <w:rPr>
                <w:sz w:val="20"/>
                <w:szCs w:val="20"/>
                <w:color w:val="auto"/>
              </w:rPr>
            </w:pPr>
            <w:r>
              <w:rPr>
                <w:rFonts w:ascii="Arial" w:cs="Arial" w:eastAsia="Arial" w:hAnsi="Arial"/>
                <w:sz w:val="18"/>
                <w:szCs w:val="18"/>
                <w:color w:val="auto"/>
              </w:rPr>
              <w:t>Issued</w:t>
            </w: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65,228</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7.41</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2016</w:t>
            </w:r>
          </w:p>
        </w:tc>
        <w:tc>
          <w:tcPr>
            <w:tcW w:w="9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337,696</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3.06</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60" w:type="dxa"/>
            <w:vAlign w:val="bottom"/>
          </w:tcPr>
          <w:p>
            <w:pPr>
              <w:ind w:left="220"/>
              <w:spacing w:after="0" w:line="170" w:lineRule="exact"/>
              <w:rPr>
                <w:sz w:val="20"/>
                <w:szCs w:val="20"/>
                <w:color w:val="auto"/>
              </w:rPr>
            </w:pPr>
            <w:r>
              <w:rPr>
                <w:rFonts w:ascii="Arial" w:cs="Arial" w:eastAsia="Arial" w:hAnsi="Arial"/>
                <w:sz w:val="18"/>
                <w:szCs w:val="18"/>
                <w:color w:val="auto"/>
              </w:rPr>
              <w:t>Issued</w:t>
            </w:r>
          </w:p>
        </w:tc>
        <w:tc>
          <w:tcPr>
            <w:tcW w:w="940" w:type="dxa"/>
            <w:vAlign w:val="bottom"/>
          </w:tcPr>
          <w:p>
            <w:pPr>
              <w:jc w:val="right"/>
              <w:spacing w:after="0" w:line="170" w:lineRule="exact"/>
              <w:rPr>
                <w:sz w:val="20"/>
                <w:szCs w:val="20"/>
                <w:color w:val="auto"/>
              </w:rPr>
            </w:pPr>
            <w:r>
              <w:rPr>
                <w:rFonts w:ascii="Arial" w:cs="Arial" w:eastAsia="Arial" w:hAnsi="Arial"/>
                <w:sz w:val="18"/>
                <w:szCs w:val="18"/>
                <w:color w:val="auto"/>
              </w:rPr>
              <w:t>1,890,602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line="170" w:lineRule="exact"/>
              <w:rPr>
                <w:sz w:val="20"/>
                <w:szCs w:val="20"/>
                <w:color w:val="auto"/>
              </w:rPr>
            </w:pPr>
            <w:r>
              <w:rPr>
                <w:rFonts w:ascii="Arial" w:cs="Arial" w:eastAsia="Arial" w:hAnsi="Arial"/>
                <w:sz w:val="18"/>
                <w:szCs w:val="18"/>
                <w:color w:val="auto"/>
              </w:rPr>
              <w:t>5.33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Exercised</w:t>
            </w: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(129,149)</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1.30</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Pr>
          <w:p>
            <w:pPr>
              <w:spacing w:after="0" w:line="170" w:lineRule="exact"/>
              <w:rPr>
                <w:sz w:val="20"/>
                <w:szCs w:val="20"/>
                <w:color w:val="auto"/>
              </w:rPr>
            </w:pPr>
            <w:r>
              <w:rPr>
                <w:rFonts w:ascii="Arial" w:cs="Arial" w:eastAsia="Arial" w:hAnsi="Arial"/>
                <w:sz w:val="18"/>
                <w:szCs w:val="18"/>
                <w:color w:val="auto"/>
              </w:rPr>
              <w:t>Outstanding at December 31, 2017</w:t>
            </w: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2,099,149</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5.21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color w:val="auto"/>
        </w:rPr>
        <w:t>In connection with the the Registered Direct Offering, the Company issued Common Warrants and Placement Agent Warrants to purchase 1,783,587 shares and 107,015 shares of common stock, respectively, with an exercise price of $5.25 per share and $6.6562 per share, respectively, which are exercisable from the date of issuance until December 11, 2018. The Common Warrants and Placement Agent Warrants were classified as warrant liabilitity. See Note 3, “Fair Value Measurements”, for the fair value calculations of the warrant liability.</w:t>
      </w:r>
    </w:p>
    <w:p>
      <w:pPr>
        <w:spacing w:after="0" w:line="161" w:lineRule="exact"/>
        <w:rPr>
          <w:sz w:val="20"/>
          <w:szCs w:val="20"/>
          <w:color w:val="auto"/>
        </w:rPr>
      </w:pPr>
    </w:p>
    <w:p>
      <w:pPr>
        <w:ind w:right="80" w:firstLine="648"/>
        <w:spacing w:after="0" w:line="238" w:lineRule="auto"/>
        <w:rPr>
          <w:sz w:val="20"/>
          <w:szCs w:val="20"/>
          <w:color w:val="auto"/>
        </w:rPr>
      </w:pPr>
      <w:r>
        <w:rPr>
          <w:rFonts w:ascii="Arial" w:cs="Arial" w:eastAsia="Arial" w:hAnsi="Arial"/>
          <w:sz w:val="17"/>
          <w:szCs w:val="17"/>
          <w:color w:val="auto"/>
        </w:rPr>
        <w:t>In connection with the Company’s debt financing which was completed on November 9, 2016, the Company issued warrants to purchase 65,228 shares of common stock with an exercise price of $7.41 per share, which are exercisable upon issuance. The warrants were classified as a component of stockholders' equity.</w:t>
      </w:r>
    </w:p>
    <w:p>
      <w:pPr>
        <w:spacing w:after="0" w:line="161"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On November 3, 2014, the Company issued warrants to purchase 42,059 shares of common stock with an exercise price of $5.94 per share to the placement agent in connection with the issuance of the September 2014 Notes, which were exercisable upon issuance. The warrants were initially classified as a liability in the consolidated financial statements, as upon a qualified financing, as defined in the September 2014 Notes, the warrant price would automatically adjust to a 10% premium to the conversion price of the September 2014 Notes in such mandatory conversion. The initial fair value of the warrant liability was $79,129 which was recorded as a discount to the notes and amortized over the term of the original September 2014 Notes. Upon the note amendment that occurred in September 2015, the discount was included in the carrying amount in the calculation of a loss on extinguishment. In connection with the automatic conversion of the September 2014 Notes upon the close of the Company’s IPO in November 2015, the warrant liability was reclassified to equity. See Note 3, “Fair Value Measurements”, for the fair value calculations of the warrant liability.</w:t>
      </w:r>
    </w:p>
    <w:p>
      <w:pPr>
        <w:spacing w:after="0" w:line="163" w:lineRule="exact"/>
        <w:rPr>
          <w:sz w:val="20"/>
          <w:szCs w:val="20"/>
          <w:color w:val="auto"/>
        </w:rPr>
      </w:pPr>
    </w:p>
    <w:p>
      <w:pPr>
        <w:ind w:right="180" w:firstLine="648"/>
        <w:spacing w:after="0" w:line="224" w:lineRule="auto"/>
        <w:rPr>
          <w:sz w:val="20"/>
          <w:szCs w:val="20"/>
          <w:color w:val="auto"/>
        </w:rPr>
      </w:pPr>
      <w:r>
        <w:rPr>
          <w:rFonts w:ascii="Arial" w:cs="Arial" w:eastAsia="Arial" w:hAnsi="Arial"/>
          <w:sz w:val="18"/>
          <w:szCs w:val="18"/>
          <w:color w:val="auto"/>
        </w:rPr>
        <w:t>On October 29, 2013, the Company issued warrants to purchase 230,409 shares of common stock with an exercise price of $1.30 per share to the placement agent in connection with the June 2013 Notes, which were exercisable upon issuance. The warrants were classified as a component of stockholders’ equity.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0" w:name="page151"/>
    <w:bookmarkEnd w:id="1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The value of the warrants issued in 2016 of $264,365 was determined using the Black-Scholes option-pricing model with the following assumptions: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40" w:type="dxa"/>
            <w:vAlign w:val="bottom"/>
            <w:gridSpan w:val="2"/>
          </w:tcPr>
          <w:p>
            <w:pPr>
              <w:spacing w:after="0"/>
              <w:rPr>
                <w:sz w:val="20"/>
                <w:szCs w:val="20"/>
                <w:color w:val="auto"/>
              </w:rPr>
            </w:pPr>
            <w:r>
              <w:rPr>
                <w:rFonts w:ascii="Arial" w:cs="Arial" w:eastAsia="Arial" w:hAnsi="Arial"/>
                <w:sz w:val="14"/>
                <w:szCs w:val="14"/>
                <w:b w:val="1"/>
                <w:bCs w:val="1"/>
                <w:color w:val="auto"/>
              </w:rPr>
              <w:t>Black-Scholes option valuation assumptions</w:t>
            </w:r>
          </w:p>
        </w:tc>
        <w:tc>
          <w:tcPr>
            <w:tcW w:w="11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9"/>
        </w:trPr>
        <w:tc>
          <w:tcPr>
            <w:tcW w:w="740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Risk-free interest rate</w:t>
            </w:r>
          </w:p>
        </w:tc>
        <w:tc>
          <w:tcPr>
            <w:tcW w:w="24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1.8</w:t>
            </w:r>
          </w:p>
        </w:tc>
        <w:tc>
          <w:tcPr>
            <w:tcW w:w="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87"/>
              </w:rPr>
              <w:t>%</w:t>
            </w:r>
          </w:p>
        </w:tc>
      </w:tr>
      <w:tr>
        <w:trPr>
          <w:trHeight w:val="176"/>
        </w:trPr>
        <w:tc>
          <w:tcPr>
            <w:tcW w:w="7640" w:type="dxa"/>
            <w:vAlign w:val="bottom"/>
            <w:gridSpan w:val="2"/>
          </w:tcPr>
          <w:p>
            <w:pPr>
              <w:spacing w:after="0" w:line="176" w:lineRule="exact"/>
              <w:rPr>
                <w:sz w:val="20"/>
                <w:szCs w:val="20"/>
                <w:color w:val="auto"/>
              </w:rPr>
            </w:pPr>
            <w:r>
              <w:rPr>
                <w:rFonts w:ascii="Arial" w:cs="Arial" w:eastAsia="Arial" w:hAnsi="Arial"/>
                <w:sz w:val="18"/>
                <w:szCs w:val="18"/>
                <w:color w:val="auto"/>
              </w:rPr>
              <w:t>Dividend yield</w:t>
            </w: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6"/>
        </w:trPr>
        <w:tc>
          <w:tcPr>
            <w:tcW w:w="76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Volatility</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73</w:t>
            </w:r>
          </w:p>
        </w:tc>
        <w:tc>
          <w:tcPr>
            <w:tcW w:w="280" w:type="dxa"/>
            <w:vAlign w:val="bottom"/>
            <w:gridSpan w:val="2"/>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99"/>
              </w:rPr>
              <w:t>%</w:t>
            </w: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Weighted average contractual term</w:t>
            </w:r>
          </w:p>
        </w:tc>
        <w:tc>
          <w:tcPr>
            <w:tcW w:w="1140" w:type="dxa"/>
            <w:vAlign w:val="bottom"/>
          </w:tcPr>
          <w:p>
            <w:pPr>
              <w:jc w:val="right"/>
              <w:spacing w:after="0"/>
              <w:rPr>
                <w:sz w:val="20"/>
                <w:szCs w:val="20"/>
                <w:color w:val="auto"/>
              </w:rPr>
            </w:pPr>
            <w:r>
              <w:rPr>
                <w:rFonts w:ascii="Arial" w:cs="Arial" w:eastAsia="Arial" w:hAnsi="Arial"/>
                <w:sz w:val="18"/>
                <w:szCs w:val="18"/>
                <w:color w:val="auto"/>
              </w:rPr>
              <w:t>7 years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License Agreements</w:t>
      </w:r>
    </w:p>
    <w:p>
      <w:pPr>
        <w:spacing w:after="0" w:line="189" w:lineRule="exact"/>
        <w:rPr>
          <w:sz w:val="20"/>
          <w:szCs w:val="20"/>
          <w:color w:val="auto"/>
        </w:rPr>
      </w:pPr>
    </w:p>
    <w:p>
      <w:pPr>
        <w:ind w:right="20" w:firstLine="648"/>
        <w:spacing w:after="0" w:line="179" w:lineRule="exact"/>
        <w:rPr>
          <w:sz w:val="20"/>
          <w:szCs w:val="20"/>
          <w:color w:val="auto"/>
        </w:rPr>
      </w:pPr>
      <w:r>
        <w:rPr>
          <w:rFonts w:ascii="Arial" w:cs="Arial" w:eastAsia="Arial" w:hAnsi="Arial"/>
          <w:sz w:val="16"/>
          <w:szCs w:val="16"/>
          <w:color w:val="auto"/>
        </w:rPr>
        <w:t>In 2012, the Company entered into three exclusive license agreements with Antecip Bioventures II LLC, or Antecip, an entity owned by Axsome’s Chief Executive Officer and Chairman of the Board, Herriot Tabuteau, M.D., in which it was granted exclusive licenses to develop, manufacture, and commercialize Antecip’s patents and applications related to the development of AXS</w:t>
      </w:r>
      <w:r>
        <w:rPr>
          <w:rFonts w:ascii="MS PGothic" w:cs="MS PGothic" w:eastAsia="MS PGothic" w:hAnsi="MS PGothic"/>
          <w:sz w:val="16"/>
          <w:szCs w:val="16"/>
          <w:color w:val="auto"/>
        </w:rPr>
        <w:t>‑</w:t>
      </w:r>
      <w:r>
        <w:rPr>
          <w:rFonts w:ascii="Arial" w:cs="Arial" w:eastAsia="Arial" w:hAnsi="Arial"/>
          <w:sz w:val="16"/>
          <w:szCs w:val="16"/>
          <w:color w:val="auto"/>
        </w:rPr>
        <w:t>02, AXS</w:t>
      </w:r>
      <w:r>
        <w:rPr>
          <w:rFonts w:ascii="MS PGothic" w:cs="MS PGothic" w:eastAsia="MS PGothic" w:hAnsi="MS PGothic"/>
          <w:sz w:val="16"/>
          <w:szCs w:val="16"/>
          <w:color w:val="auto"/>
        </w:rPr>
        <w:t>‑</w:t>
      </w:r>
      <w:r>
        <w:rPr>
          <w:rFonts w:ascii="Arial" w:cs="Arial" w:eastAsia="Arial" w:hAnsi="Arial"/>
          <w:sz w:val="16"/>
          <w:szCs w:val="16"/>
          <w:color w:val="auto"/>
        </w:rPr>
        <w:t>05, and AXS</w:t>
      </w:r>
      <w:r>
        <w:rPr>
          <w:rFonts w:ascii="MS PGothic" w:cs="MS PGothic" w:eastAsia="MS PGothic" w:hAnsi="MS PGothic"/>
          <w:sz w:val="16"/>
          <w:szCs w:val="16"/>
          <w:color w:val="auto"/>
        </w:rPr>
        <w:t>‑</w:t>
      </w:r>
      <w:r>
        <w:rPr>
          <w:rFonts w:ascii="Arial" w:cs="Arial" w:eastAsia="Arial" w:hAnsi="Arial"/>
          <w:sz w:val="16"/>
          <w:szCs w:val="16"/>
          <w:color w:val="auto"/>
        </w:rPr>
        <w:t xml:space="preserve">04, a product candidate that is currently in early stage development, anywhere in the world for veterinary and human therapeutic and diagnostic use. Pursuant to the agreements, the Company is required to use commercially reasonable efforts to develop, obtain regulatory approval for and commercialize AXS </w:t>
      </w:r>
      <w:r>
        <w:rPr>
          <w:rFonts w:ascii="MS PGothic" w:cs="MS PGothic" w:eastAsia="MS PGothic" w:hAnsi="MS PGothic"/>
          <w:sz w:val="16"/>
          <w:szCs w:val="16"/>
          <w:color w:val="auto"/>
        </w:rPr>
        <w:t>‑</w:t>
      </w:r>
      <w:r>
        <w:rPr>
          <w:rFonts w:ascii="Arial" w:cs="Arial" w:eastAsia="Arial" w:hAnsi="Arial"/>
          <w:sz w:val="16"/>
          <w:szCs w:val="16"/>
          <w:color w:val="auto"/>
        </w:rPr>
        <w:t>02, AXS</w:t>
      </w:r>
      <w:r>
        <w:rPr>
          <w:rFonts w:ascii="MS PGothic" w:cs="MS PGothic" w:eastAsia="MS PGothic" w:hAnsi="MS PGothic"/>
          <w:sz w:val="16"/>
          <w:szCs w:val="16"/>
          <w:color w:val="auto"/>
        </w:rPr>
        <w:t>‑</w:t>
      </w:r>
      <w:r>
        <w:rPr>
          <w:rFonts w:ascii="Arial" w:cs="Arial" w:eastAsia="Arial" w:hAnsi="Arial"/>
          <w:sz w:val="16"/>
          <w:szCs w:val="16"/>
          <w:color w:val="auto"/>
        </w:rPr>
        <w:t>05, and AXS</w:t>
      </w:r>
      <w:r>
        <w:rPr>
          <w:rFonts w:ascii="MS PGothic" w:cs="MS PGothic" w:eastAsia="MS PGothic" w:hAnsi="MS PGothic"/>
          <w:sz w:val="16"/>
          <w:szCs w:val="16"/>
          <w:color w:val="auto"/>
        </w:rPr>
        <w:t>‑</w:t>
      </w:r>
      <w:r>
        <w:rPr>
          <w:rFonts w:ascii="Arial" w:cs="Arial" w:eastAsia="Arial" w:hAnsi="Arial"/>
          <w:sz w:val="16"/>
          <w:szCs w:val="16"/>
          <w:color w:val="auto"/>
        </w:rPr>
        <w:t>04. Under the terms of the agreements, the Company is required to pay to Antecip a royalty equal to 4.5% for AXS</w:t>
      </w:r>
      <w:r>
        <w:rPr>
          <w:rFonts w:ascii="MS PGothic" w:cs="MS PGothic" w:eastAsia="MS PGothic" w:hAnsi="MS PGothic"/>
          <w:sz w:val="16"/>
          <w:szCs w:val="16"/>
          <w:color w:val="auto"/>
        </w:rPr>
        <w:t>‑</w:t>
      </w:r>
      <w:r>
        <w:rPr>
          <w:rFonts w:ascii="Arial" w:cs="Arial" w:eastAsia="Arial" w:hAnsi="Arial"/>
          <w:sz w:val="16"/>
          <w:szCs w:val="16"/>
          <w:color w:val="auto"/>
        </w:rPr>
        <w:t>02, 3.0% for AXS</w:t>
      </w:r>
      <w:r>
        <w:rPr>
          <w:rFonts w:ascii="MS PGothic" w:cs="MS PGothic" w:eastAsia="MS PGothic" w:hAnsi="MS PGothic"/>
          <w:sz w:val="16"/>
          <w:szCs w:val="16"/>
          <w:color w:val="auto"/>
        </w:rPr>
        <w:t>‑</w:t>
      </w:r>
      <w:r>
        <w:rPr>
          <w:rFonts w:ascii="Arial" w:cs="Arial" w:eastAsia="Arial" w:hAnsi="Arial"/>
          <w:sz w:val="16"/>
          <w:szCs w:val="16"/>
          <w:color w:val="auto"/>
        </w:rPr>
        <w:t>05, and 1.5% for AXS</w:t>
      </w:r>
      <w:r>
        <w:rPr>
          <w:rFonts w:ascii="MS PGothic" w:cs="MS PGothic" w:eastAsia="MS PGothic" w:hAnsi="MS PGothic"/>
          <w:sz w:val="16"/>
          <w:szCs w:val="16"/>
          <w:color w:val="auto"/>
        </w:rPr>
        <w:t>‑</w:t>
      </w:r>
      <w:r>
        <w:rPr>
          <w:rFonts w:ascii="Arial" w:cs="Arial" w:eastAsia="Arial" w:hAnsi="Arial"/>
          <w:sz w:val="16"/>
          <w:szCs w:val="16"/>
          <w:color w:val="auto"/>
        </w:rPr>
        <w:t>04, of net sales of products containing the licensed technology by the Company, its affiliates, or permitted sublicensees. These royalty payments are subject to reduction by an amount up to 50.0% of any required payments to third parties. Unless earlier terminated by a party for cause or by the Company for convenience, the agreements shall remain in effect on a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and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until the later to occur of (i) the applicable product is no longer covered by a valid claim in that country or (ii) 10 years from the first commercial sale of the applicable product in that country. Upon expiration of the agreements with respect to a product in a country, the Company’s license grant for that product in that country will become a fully paid</w:t>
      </w:r>
      <w:r>
        <w:rPr>
          <w:rFonts w:ascii="MS PGothic" w:cs="MS PGothic" w:eastAsia="MS PGothic" w:hAnsi="MS PGothic"/>
          <w:sz w:val="16"/>
          <w:szCs w:val="16"/>
          <w:color w:val="auto"/>
        </w:rPr>
        <w:t>‑</w:t>
      </w:r>
      <w:r>
        <w:rPr>
          <w:rFonts w:ascii="Arial" w:cs="Arial" w:eastAsia="Arial" w:hAnsi="Arial"/>
          <w:sz w:val="16"/>
          <w:szCs w:val="16"/>
          <w:color w:val="auto"/>
        </w:rPr>
        <w:t>up, royalty</w:t>
      </w:r>
      <w:r>
        <w:rPr>
          <w:rFonts w:ascii="MS PGothic" w:cs="MS PGothic" w:eastAsia="MS PGothic" w:hAnsi="MS PGothic"/>
          <w:sz w:val="16"/>
          <w:szCs w:val="16"/>
          <w:color w:val="auto"/>
        </w:rPr>
        <w:t>‑</w:t>
      </w:r>
      <w:r>
        <w:rPr>
          <w:rFonts w:ascii="Arial" w:cs="Arial" w:eastAsia="Arial" w:hAnsi="Arial"/>
          <w:sz w:val="16"/>
          <w:szCs w:val="16"/>
          <w:color w:val="auto"/>
        </w:rPr>
        <w:t>free, perpetual non</w:t>
      </w:r>
      <w:r>
        <w:rPr>
          <w:rFonts w:ascii="MS PGothic" w:cs="MS PGothic" w:eastAsia="MS PGothic" w:hAnsi="MS PGothic"/>
          <w:sz w:val="16"/>
          <w:szCs w:val="16"/>
          <w:color w:val="auto"/>
        </w:rPr>
        <w:t>‑</w:t>
      </w:r>
      <w:r>
        <w:rPr>
          <w:rFonts w:ascii="Arial" w:cs="Arial" w:eastAsia="Arial" w:hAnsi="Arial"/>
          <w:sz w:val="16"/>
          <w:szCs w:val="16"/>
          <w:color w:val="auto"/>
        </w:rPr>
        <w:t>exclusive license. If Antecip terminates any of the agreements for cause, or if the Company exercises its right to terminate any of the agreements for convenience, the rights granted to the Company under such terminated agreement will revert to Antecip. To date, the Company has not been required to make any payments to Antecip under any of the license agreements.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offices are located in New York, New York. The Company is not currently under a lease agreement.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Rent expense incurred during the years ended December 31, 2017, 2016 and 2015 was $307,557, $254,170, and $127,559.</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1" w:name="page152"/>
    <w:bookmarkEnd w:id="1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189"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As of December 31, 2017, the Company had U.S. net operating loss (“NOL”) carryforwards of $61 million, which will expire beginning in 2033. The NOL carryforwards are subject to review and possible adjustment by the Internal Revenue Service and state tax authorities. NOL carryforwards may become subject to an annual limitation in the event of certain cumulative changes in the ownership interest of significant stockholders, as defined under Sections 382 and 383 of the Internal Revenue Code of 1986, as amended, as well as similar state tax provisions. This could limit the amount of NOLs that the Company can utilize annually to offset future taxable income or tax liabilities.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Company’s deferred tax assets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w w:val="97"/>
              </w:rPr>
              <w:t>December 31, 2017</w:t>
            </w:r>
          </w:p>
        </w:tc>
        <w:tc>
          <w:tcPr>
            <w:tcW w:w="200" w:type="dxa"/>
            <w:vAlign w:val="bottom"/>
          </w:tcPr>
          <w:p>
            <w:pPr>
              <w:spacing w:after="0"/>
              <w:rPr>
                <w:sz w:val="14"/>
                <w:szCs w:val="14"/>
                <w:color w:val="auto"/>
              </w:rPr>
            </w:pPr>
          </w:p>
        </w:tc>
        <w:tc>
          <w:tcPr>
            <w:tcW w:w="1340" w:type="dxa"/>
            <w:vAlign w:val="bottom"/>
            <w:gridSpan w:val="3"/>
          </w:tcPr>
          <w:p>
            <w:pPr>
              <w:ind w:left="80"/>
              <w:spacing w:after="0"/>
              <w:rPr>
                <w:sz w:val="20"/>
                <w:szCs w:val="20"/>
                <w:color w:val="auto"/>
              </w:rPr>
            </w:pPr>
            <w:r>
              <w:rPr>
                <w:rFonts w:ascii="Arial" w:cs="Arial" w:eastAsia="Arial" w:hAnsi="Arial"/>
                <w:sz w:val="14"/>
                <w:szCs w:val="14"/>
                <w:color w:val="auto"/>
              </w:rPr>
              <w:t>December 31, 2016</w:t>
            </w:r>
          </w:p>
        </w:tc>
      </w:tr>
      <w:tr>
        <w:trPr>
          <w:trHeight w:val="169"/>
        </w:trPr>
        <w:tc>
          <w:tcPr>
            <w:tcW w:w="49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Deferred tax assets:</w:t>
            </w:r>
          </w:p>
        </w:tc>
        <w:tc>
          <w:tcPr>
            <w:tcW w:w="13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176"/>
        </w:trPr>
        <w:tc>
          <w:tcPr>
            <w:tcW w:w="4900" w:type="dxa"/>
            <w:vAlign w:val="bottom"/>
          </w:tcPr>
          <w:p>
            <w:pPr>
              <w:spacing w:after="0" w:line="176" w:lineRule="exact"/>
              <w:rPr>
                <w:sz w:val="20"/>
                <w:szCs w:val="20"/>
                <w:color w:val="auto"/>
              </w:rPr>
            </w:pPr>
            <w:r>
              <w:rPr>
                <w:rFonts w:ascii="Arial" w:cs="Arial" w:eastAsia="Arial" w:hAnsi="Arial"/>
                <w:sz w:val="18"/>
                <w:szCs w:val="18"/>
                <w:color w:val="auto"/>
              </w:rPr>
              <w:t>Net federal operating loss carryforward</w:t>
            </w:r>
          </w:p>
        </w:tc>
        <w:tc>
          <w:tcPr>
            <w:tcW w:w="14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12,844,032</w:t>
            </w:r>
          </w:p>
        </w:tc>
        <w:tc>
          <w:tcPr>
            <w:tcW w:w="3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12,747,837</w:t>
            </w:r>
          </w:p>
        </w:tc>
        <w:tc>
          <w:tcPr>
            <w:tcW w:w="40" w:type="dxa"/>
            <w:vAlign w:val="bottom"/>
          </w:tcPr>
          <w:p>
            <w:pPr>
              <w:spacing w:after="0"/>
              <w:rPr>
                <w:sz w:val="15"/>
                <w:szCs w:val="15"/>
                <w:color w:val="auto"/>
              </w:rPr>
            </w:pPr>
          </w:p>
        </w:tc>
      </w:tr>
      <w:tr>
        <w:trPr>
          <w:trHeight w:val="176"/>
        </w:trPr>
        <w:tc>
          <w:tcPr>
            <w:tcW w:w="4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foreign operating loss carryforward</w:t>
            </w: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49,846</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23,293</w:t>
            </w:r>
          </w:p>
        </w:tc>
        <w:tc>
          <w:tcPr>
            <w:tcW w:w="40" w:type="dxa"/>
            <w:vAlign w:val="bottom"/>
            <w:shd w:val="clear" w:color="auto" w:fill="CCEEFF"/>
          </w:tcPr>
          <w:p>
            <w:pPr>
              <w:spacing w:after="0"/>
              <w:rPr>
                <w:sz w:val="15"/>
                <w:szCs w:val="15"/>
                <w:color w:val="auto"/>
              </w:rPr>
            </w:pPr>
          </w:p>
        </w:tc>
      </w:tr>
      <w:tr>
        <w:trPr>
          <w:trHeight w:val="176"/>
        </w:trPr>
        <w:tc>
          <w:tcPr>
            <w:tcW w:w="4900" w:type="dxa"/>
            <w:vAlign w:val="bottom"/>
          </w:tcPr>
          <w:p>
            <w:pPr>
              <w:spacing w:after="0" w:line="176" w:lineRule="exact"/>
              <w:rPr>
                <w:sz w:val="20"/>
                <w:szCs w:val="20"/>
                <w:color w:val="auto"/>
              </w:rPr>
            </w:pPr>
            <w:r>
              <w:rPr>
                <w:rFonts w:ascii="Arial" w:cs="Arial" w:eastAsia="Arial" w:hAnsi="Arial"/>
                <w:sz w:val="18"/>
                <w:szCs w:val="18"/>
                <w:color w:val="auto"/>
              </w:rPr>
              <w:t>Net state operating loss carryforward</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7,981,812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4,068,086</w:t>
            </w:r>
          </w:p>
        </w:tc>
        <w:tc>
          <w:tcPr>
            <w:tcW w:w="40" w:type="dxa"/>
            <w:vAlign w:val="bottom"/>
          </w:tcPr>
          <w:p>
            <w:pPr>
              <w:spacing w:after="0"/>
              <w:rPr>
                <w:sz w:val="15"/>
                <w:szCs w:val="15"/>
                <w:color w:val="auto"/>
              </w:rPr>
            </w:pPr>
          </w:p>
        </w:tc>
      </w:tr>
      <w:tr>
        <w:trPr>
          <w:trHeight w:val="176"/>
        </w:trPr>
        <w:tc>
          <w:tcPr>
            <w:tcW w:w="4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Non-cash compensation</w:t>
            </w: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1,719,315</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1,450,620</w:t>
            </w:r>
          </w:p>
        </w:tc>
        <w:tc>
          <w:tcPr>
            <w:tcW w:w="40" w:type="dxa"/>
            <w:vAlign w:val="bottom"/>
            <w:shd w:val="clear" w:color="auto" w:fill="CCEEFF"/>
          </w:tcPr>
          <w:p>
            <w:pPr>
              <w:spacing w:after="0"/>
              <w:rPr>
                <w:sz w:val="15"/>
                <w:szCs w:val="15"/>
                <w:color w:val="auto"/>
              </w:rPr>
            </w:pPr>
          </w:p>
        </w:tc>
      </w:tr>
      <w:tr>
        <w:trPr>
          <w:trHeight w:val="176"/>
        </w:trPr>
        <w:tc>
          <w:tcPr>
            <w:tcW w:w="4900" w:type="dxa"/>
            <w:vAlign w:val="bottom"/>
          </w:tcPr>
          <w:p>
            <w:pPr>
              <w:spacing w:after="0" w:line="176" w:lineRule="exact"/>
              <w:rPr>
                <w:sz w:val="20"/>
                <w:szCs w:val="20"/>
                <w:color w:val="auto"/>
              </w:rPr>
            </w:pPr>
            <w:r>
              <w:rPr>
                <w:rFonts w:ascii="Arial" w:cs="Arial" w:eastAsia="Arial" w:hAnsi="Arial"/>
                <w:sz w:val="18"/>
                <w:szCs w:val="18"/>
                <w:color w:val="auto"/>
              </w:rPr>
              <w:t>Research and development credits</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5,713,709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3,491,251</w:t>
            </w:r>
          </w:p>
        </w:tc>
        <w:tc>
          <w:tcPr>
            <w:tcW w:w="40" w:type="dxa"/>
            <w:vAlign w:val="bottom"/>
          </w:tcPr>
          <w:p>
            <w:pPr>
              <w:spacing w:after="0"/>
              <w:rPr>
                <w:sz w:val="15"/>
                <w:szCs w:val="15"/>
                <w:color w:val="auto"/>
              </w:rPr>
            </w:pPr>
          </w:p>
        </w:tc>
      </w:tr>
      <w:tr>
        <w:trPr>
          <w:trHeight w:val="176"/>
        </w:trPr>
        <w:tc>
          <w:tcPr>
            <w:tcW w:w="4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Deferred finance costs</w:t>
            </w: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44,042</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w:t>
            </w:r>
          </w:p>
        </w:tc>
      </w:tr>
      <w:tr>
        <w:trPr>
          <w:trHeight w:val="176"/>
        </w:trPr>
        <w:tc>
          <w:tcPr>
            <w:tcW w:w="4900" w:type="dxa"/>
            <w:vAlign w:val="bottom"/>
          </w:tcPr>
          <w:p>
            <w:pPr>
              <w:spacing w:after="0" w:line="176" w:lineRule="exact"/>
              <w:rPr>
                <w:sz w:val="20"/>
                <w:szCs w:val="20"/>
                <w:color w:val="auto"/>
              </w:rPr>
            </w:pPr>
            <w:r>
              <w:rPr>
                <w:rFonts w:ascii="Arial" w:cs="Arial" w:eastAsia="Arial" w:hAnsi="Arial"/>
                <w:sz w:val="18"/>
                <w:szCs w:val="18"/>
                <w:color w:val="auto"/>
              </w:rPr>
              <w:t>Fixed Assets</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2,597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w:t>
            </w:r>
          </w:p>
        </w:tc>
      </w:tr>
      <w:tr>
        <w:trPr>
          <w:trHeight w:val="176"/>
        </w:trPr>
        <w:tc>
          <w:tcPr>
            <w:tcW w:w="4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Accrued expenses</w:t>
            </w: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472,004</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308,007</w:t>
            </w:r>
          </w:p>
        </w:tc>
        <w:tc>
          <w:tcPr>
            <w:tcW w:w="40" w:type="dxa"/>
            <w:vAlign w:val="bottom"/>
            <w:shd w:val="clear" w:color="auto" w:fill="CCEEFF"/>
          </w:tcPr>
          <w:p>
            <w:pPr>
              <w:spacing w:after="0"/>
              <w:rPr>
                <w:sz w:val="15"/>
                <w:szCs w:val="15"/>
                <w:color w:val="auto"/>
              </w:rPr>
            </w:pPr>
          </w:p>
        </w:tc>
      </w:tr>
      <w:tr>
        <w:trPr>
          <w:trHeight w:val="169"/>
        </w:trPr>
        <w:tc>
          <w:tcPr>
            <w:tcW w:w="4900" w:type="dxa"/>
            <w:vAlign w:val="bottom"/>
          </w:tcPr>
          <w:p>
            <w:pPr>
              <w:spacing w:after="0" w:line="170" w:lineRule="exact"/>
              <w:rPr>
                <w:sz w:val="20"/>
                <w:szCs w:val="20"/>
                <w:color w:val="auto"/>
              </w:rPr>
            </w:pPr>
            <w:r>
              <w:rPr>
                <w:rFonts w:ascii="Arial" w:cs="Arial" w:eastAsia="Arial" w:hAnsi="Arial"/>
                <w:sz w:val="18"/>
                <w:szCs w:val="18"/>
                <w:color w:val="auto"/>
              </w:rPr>
              <w:t>Deferred tax asset, excluding valuation allowance</w:t>
            </w: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line="170" w:lineRule="exact"/>
              <w:rPr>
                <w:sz w:val="20"/>
                <w:szCs w:val="20"/>
                <w:color w:val="auto"/>
              </w:rPr>
            </w:pPr>
            <w:r>
              <w:rPr>
                <w:rFonts w:ascii="Arial" w:cs="Arial" w:eastAsia="Arial" w:hAnsi="Arial"/>
                <w:sz w:val="18"/>
                <w:szCs w:val="18"/>
                <w:color w:val="auto"/>
              </w:rPr>
              <w:t>28,827,357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line="170" w:lineRule="exact"/>
              <w:rPr>
                <w:sz w:val="20"/>
                <w:szCs w:val="20"/>
                <w:color w:val="auto"/>
              </w:rPr>
            </w:pPr>
            <w:r>
              <w:rPr>
                <w:rFonts w:ascii="Arial" w:cs="Arial" w:eastAsia="Arial" w:hAnsi="Arial"/>
                <w:sz w:val="18"/>
                <w:szCs w:val="18"/>
                <w:color w:val="auto"/>
              </w:rPr>
              <w:t>22,089,094</w:t>
            </w:r>
          </w:p>
        </w:tc>
        <w:tc>
          <w:tcPr>
            <w:tcW w:w="40" w:type="dxa"/>
            <w:vAlign w:val="bottom"/>
          </w:tcPr>
          <w:p>
            <w:pPr>
              <w:spacing w:after="0"/>
              <w:rPr>
                <w:sz w:val="14"/>
                <w:szCs w:val="14"/>
                <w:color w:val="auto"/>
              </w:rPr>
            </w:pPr>
          </w:p>
        </w:tc>
      </w:tr>
      <w:tr>
        <w:trPr>
          <w:trHeight w:val="176"/>
        </w:trPr>
        <w:tc>
          <w:tcPr>
            <w:tcW w:w="4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Fixed Assets</w:t>
            </w: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(19,985)</w:t>
            </w:r>
          </w:p>
        </w:tc>
      </w:tr>
      <w:tr>
        <w:trPr>
          <w:trHeight w:val="176"/>
        </w:trPr>
        <w:tc>
          <w:tcPr>
            <w:tcW w:w="4900" w:type="dxa"/>
            <w:vAlign w:val="bottom"/>
          </w:tcPr>
          <w:p>
            <w:pPr>
              <w:spacing w:after="0" w:line="176" w:lineRule="exact"/>
              <w:rPr>
                <w:sz w:val="20"/>
                <w:szCs w:val="20"/>
                <w:color w:val="auto"/>
              </w:rPr>
            </w:pPr>
            <w:r>
              <w:rPr>
                <w:rFonts w:ascii="Arial" w:cs="Arial" w:eastAsia="Arial" w:hAnsi="Arial"/>
                <w:sz w:val="18"/>
                <w:szCs w:val="18"/>
                <w:color w:val="auto"/>
              </w:rPr>
              <w:t>Less valuation allowance</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(28,827,357)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(22,069,109)</w:t>
            </w:r>
          </w:p>
        </w:tc>
      </w:tr>
      <w:tr>
        <w:trPr>
          <w:trHeight w:val="176"/>
        </w:trPr>
        <w:tc>
          <w:tcPr>
            <w:tcW w:w="490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deferred tax assets</w:t>
            </w:r>
          </w:p>
        </w:tc>
        <w:tc>
          <w:tcPr>
            <w:tcW w:w="13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r>
    </w:tbl>
    <w:p>
      <w:pPr>
        <w:spacing w:after="0" w:line="188"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The Company records a valuation allowance to reduce the deferred tax assets reported if, based on the weight of available evidence, it is more likely than not that some portion or all of the deferred tax assets will not be realized. After consideration of all the evidence, both positive and negative, the Company has recorded a full valuation allowance against its deferred tax assets at December 31, 2017 and 2016 because the Company’s management has determined that it is more likely than not that these assets will not be realized. The valuation allowance for deferred tax assets was $7,756,147 as of December 31, 2015.</w:t>
      </w:r>
    </w:p>
    <w:p>
      <w:pPr>
        <w:spacing w:after="0" w:line="162" w:lineRule="exact"/>
        <w:rPr>
          <w:sz w:val="20"/>
          <w:szCs w:val="20"/>
          <w:color w:val="auto"/>
        </w:rPr>
      </w:pPr>
    </w:p>
    <w:p>
      <w:pPr>
        <w:ind w:right="620" w:firstLine="648"/>
        <w:spacing w:after="0" w:line="235" w:lineRule="auto"/>
        <w:rPr>
          <w:sz w:val="20"/>
          <w:szCs w:val="20"/>
          <w:color w:val="auto"/>
        </w:rPr>
      </w:pPr>
      <w:r>
        <w:rPr>
          <w:rFonts w:ascii="Arial" w:cs="Arial" w:eastAsia="Arial" w:hAnsi="Arial"/>
          <w:sz w:val="18"/>
          <w:szCs w:val="18"/>
          <w:color w:val="auto"/>
        </w:rPr>
        <w:t>A reconciliation of income tax expense (benefit) at the statutory federal income tax rate and income taxes as reflected in the consolidated financial statements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2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December 31, 2017</w:t>
            </w:r>
          </w:p>
        </w:tc>
        <w:tc>
          <w:tcPr>
            <w:tcW w:w="24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December 31, 2016</w:t>
            </w:r>
          </w:p>
        </w:tc>
        <w:tc>
          <w:tcPr>
            <w:tcW w:w="160" w:type="dxa"/>
            <w:vAlign w:val="bottom"/>
            <w:tcBorders>
              <w:bottom w:val="single" w:sz="8" w:color="CCEEFF"/>
            </w:tcBorders>
          </w:tcPr>
          <w:p>
            <w:pPr>
              <w:spacing w:after="0"/>
              <w:rPr>
                <w:sz w:val="14"/>
                <w:szCs w:val="14"/>
                <w:color w:val="auto"/>
              </w:rPr>
            </w:pPr>
          </w:p>
        </w:tc>
      </w:tr>
      <w:tr>
        <w:trPr>
          <w:trHeight w:val="169"/>
        </w:trPr>
        <w:tc>
          <w:tcPr>
            <w:tcW w:w="62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U.S. federal statutory income tax rate</w:t>
            </w:r>
          </w:p>
        </w:tc>
        <w:tc>
          <w:tcPr>
            <w:tcW w:w="12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34.0</w:t>
            </w:r>
          </w:p>
        </w:tc>
        <w:tc>
          <w:tcPr>
            <w:tcW w:w="24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4"/>
              </w:rPr>
              <w:t>%</w:t>
            </w:r>
          </w:p>
        </w:tc>
        <w:tc>
          <w:tcPr>
            <w:tcW w:w="12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34.0</w:t>
            </w: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r>
      <w:tr>
        <w:trPr>
          <w:trHeight w:val="176"/>
        </w:trPr>
        <w:tc>
          <w:tcPr>
            <w:tcW w:w="6260" w:type="dxa"/>
            <w:vAlign w:val="bottom"/>
          </w:tcPr>
          <w:p>
            <w:pPr>
              <w:spacing w:after="0" w:line="176" w:lineRule="exact"/>
              <w:rPr>
                <w:sz w:val="20"/>
                <w:szCs w:val="20"/>
                <w:color w:val="auto"/>
              </w:rPr>
            </w:pPr>
            <w:r>
              <w:rPr>
                <w:rFonts w:ascii="Arial" w:cs="Arial" w:eastAsia="Arial" w:hAnsi="Arial"/>
                <w:sz w:val="18"/>
                <w:szCs w:val="18"/>
                <w:color w:val="auto"/>
              </w:rPr>
              <w:t>State taxes, net of federal benefit</w:t>
            </w:r>
          </w:p>
        </w:tc>
        <w:tc>
          <w:tcPr>
            <w:tcW w:w="1200" w:type="dxa"/>
            <w:vAlign w:val="bottom"/>
          </w:tcPr>
          <w:p>
            <w:pPr>
              <w:jc w:val="right"/>
              <w:spacing w:after="0" w:line="176" w:lineRule="exact"/>
              <w:rPr>
                <w:sz w:val="20"/>
                <w:szCs w:val="20"/>
                <w:color w:val="auto"/>
              </w:rPr>
            </w:pPr>
            <w:r>
              <w:rPr>
                <w:rFonts w:ascii="Arial" w:cs="Arial" w:eastAsia="Arial" w:hAnsi="Arial"/>
                <w:sz w:val="18"/>
                <w:szCs w:val="18"/>
                <w:color w:val="auto"/>
              </w:rPr>
              <w:t>10.0</w:t>
            </w:r>
          </w:p>
        </w:tc>
        <w:tc>
          <w:tcPr>
            <w:tcW w:w="24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8"/>
                <w:szCs w:val="18"/>
                <w:color w:val="auto"/>
              </w:rPr>
              <w:t>9.4</w:t>
            </w:r>
          </w:p>
        </w:tc>
        <w:tc>
          <w:tcPr>
            <w:tcW w:w="160" w:type="dxa"/>
            <w:vAlign w:val="bottom"/>
          </w:tcPr>
          <w:p>
            <w:pPr>
              <w:spacing w:after="0"/>
              <w:rPr>
                <w:sz w:val="15"/>
                <w:szCs w:val="15"/>
                <w:color w:val="auto"/>
              </w:rPr>
            </w:pPr>
          </w:p>
        </w:tc>
      </w:tr>
      <w:tr>
        <w:trPr>
          <w:trHeight w:val="176"/>
        </w:trPr>
        <w:tc>
          <w:tcPr>
            <w:tcW w:w="6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Permanent differences</w:t>
            </w:r>
          </w:p>
        </w:tc>
        <w:tc>
          <w:tcPr>
            <w:tcW w:w="1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5"/>
                <w:szCs w:val="15"/>
                <w:color w:val="auto"/>
              </w:rPr>
            </w:pPr>
          </w:p>
        </w:tc>
      </w:tr>
      <w:tr>
        <w:trPr>
          <w:trHeight w:val="176"/>
        </w:trPr>
        <w:tc>
          <w:tcPr>
            <w:tcW w:w="6260" w:type="dxa"/>
            <w:vAlign w:val="bottom"/>
          </w:tcPr>
          <w:p>
            <w:pPr>
              <w:spacing w:after="0" w:line="176" w:lineRule="exact"/>
              <w:rPr>
                <w:sz w:val="20"/>
                <w:szCs w:val="20"/>
                <w:color w:val="auto"/>
              </w:rPr>
            </w:pPr>
            <w:r>
              <w:rPr>
                <w:rFonts w:ascii="Arial" w:cs="Arial" w:eastAsia="Arial" w:hAnsi="Arial"/>
                <w:sz w:val="18"/>
                <w:szCs w:val="18"/>
                <w:color w:val="auto"/>
              </w:rPr>
              <w:t>Tax credit</w:t>
            </w:r>
          </w:p>
        </w:tc>
        <w:tc>
          <w:tcPr>
            <w:tcW w:w="1200" w:type="dxa"/>
            <w:vAlign w:val="bottom"/>
          </w:tcPr>
          <w:p>
            <w:pPr>
              <w:jc w:val="right"/>
              <w:spacing w:after="0" w:line="176" w:lineRule="exact"/>
              <w:rPr>
                <w:sz w:val="20"/>
                <w:szCs w:val="20"/>
                <w:color w:val="auto"/>
              </w:rPr>
            </w:pPr>
            <w:r>
              <w:rPr>
                <w:rFonts w:ascii="Arial" w:cs="Arial" w:eastAsia="Arial" w:hAnsi="Arial"/>
                <w:sz w:val="18"/>
                <w:szCs w:val="18"/>
                <w:color w:val="auto"/>
              </w:rPr>
              <w:t>7.7</w:t>
            </w:r>
          </w:p>
        </w:tc>
        <w:tc>
          <w:tcPr>
            <w:tcW w:w="24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8"/>
                <w:szCs w:val="18"/>
                <w:color w:val="auto"/>
              </w:rPr>
              <w:t>12.8</w:t>
            </w:r>
          </w:p>
        </w:tc>
        <w:tc>
          <w:tcPr>
            <w:tcW w:w="160" w:type="dxa"/>
            <w:vAlign w:val="bottom"/>
          </w:tcPr>
          <w:p>
            <w:pPr>
              <w:spacing w:after="0"/>
              <w:rPr>
                <w:sz w:val="15"/>
                <w:szCs w:val="15"/>
                <w:color w:val="auto"/>
              </w:rPr>
            </w:pPr>
          </w:p>
        </w:tc>
      </w:tr>
      <w:tr>
        <w:trPr>
          <w:trHeight w:val="176"/>
        </w:trPr>
        <w:tc>
          <w:tcPr>
            <w:tcW w:w="6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US Federal tax rate change - tax reform</w:t>
            </w:r>
          </w:p>
        </w:tc>
        <w:tc>
          <w:tcPr>
            <w:tcW w:w="1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(25.4)</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r>
      <w:tr>
        <w:trPr>
          <w:trHeight w:val="176"/>
        </w:trPr>
        <w:tc>
          <w:tcPr>
            <w:tcW w:w="6260" w:type="dxa"/>
            <w:vAlign w:val="bottom"/>
          </w:tcPr>
          <w:p>
            <w:pPr>
              <w:spacing w:after="0" w:line="176" w:lineRule="exact"/>
              <w:rPr>
                <w:sz w:val="20"/>
                <w:szCs w:val="20"/>
                <w:color w:val="auto"/>
              </w:rPr>
            </w:pPr>
            <w:r>
              <w:rPr>
                <w:rFonts w:ascii="Arial" w:cs="Arial" w:eastAsia="Arial" w:hAnsi="Arial"/>
                <w:sz w:val="18"/>
                <w:szCs w:val="18"/>
                <w:color w:val="auto"/>
              </w:rPr>
              <w:t>Change in valuation allowance</w:t>
            </w:r>
          </w:p>
        </w:tc>
        <w:tc>
          <w:tcPr>
            <w:tcW w:w="1200" w:type="dxa"/>
            <w:vAlign w:val="bottom"/>
          </w:tcPr>
          <w:p>
            <w:pPr>
              <w:jc w:val="right"/>
              <w:spacing w:after="0" w:line="176" w:lineRule="exact"/>
              <w:rPr>
                <w:sz w:val="20"/>
                <w:szCs w:val="20"/>
                <w:color w:val="auto"/>
              </w:rPr>
            </w:pPr>
            <w:r>
              <w:rPr>
                <w:rFonts w:ascii="Arial" w:cs="Arial" w:eastAsia="Arial" w:hAnsi="Arial"/>
                <w:sz w:val="18"/>
                <w:szCs w:val="18"/>
                <w:color w:val="auto"/>
              </w:rPr>
              <w:t>(23.4)</w:t>
            </w:r>
          </w:p>
        </w:tc>
        <w:tc>
          <w:tcPr>
            <w:tcW w:w="24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8"/>
                <w:szCs w:val="18"/>
                <w:color w:val="auto"/>
              </w:rPr>
              <w:t>(52.5)</w:t>
            </w:r>
          </w:p>
        </w:tc>
        <w:tc>
          <w:tcPr>
            <w:tcW w:w="160" w:type="dxa"/>
            <w:vAlign w:val="bottom"/>
          </w:tcPr>
          <w:p>
            <w:pPr>
              <w:spacing w:after="0"/>
              <w:rPr>
                <w:sz w:val="15"/>
                <w:szCs w:val="15"/>
                <w:color w:val="auto"/>
              </w:rPr>
            </w:pPr>
          </w:p>
        </w:tc>
      </w:tr>
      <w:tr>
        <w:trPr>
          <w:trHeight w:val="176"/>
        </w:trPr>
        <w:tc>
          <w:tcPr>
            <w:tcW w:w="6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r>
      <w:tr>
        <w:trPr>
          <w:trHeight w:val="176"/>
        </w:trPr>
        <w:tc>
          <w:tcPr>
            <w:tcW w:w="6260" w:type="dxa"/>
            <w:vAlign w:val="bottom"/>
          </w:tcPr>
          <w:p>
            <w:pPr>
              <w:spacing w:after="0" w:line="170" w:lineRule="exact"/>
              <w:rPr>
                <w:sz w:val="20"/>
                <w:szCs w:val="20"/>
                <w:color w:val="auto"/>
              </w:rPr>
            </w:pPr>
            <w:r>
              <w:rPr>
                <w:rFonts w:ascii="Arial" w:cs="Arial" w:eastAsia="Arial" w:hAnsi="Arial"/>
                <w:sz w:val="18"/>
                <w:szCs w:val="18"/>
                <w:color w:val="auto"/>
              </w:rPr>
              <w:t>Effective tax rate</w:t>
            </w:r>
          </w:p>
        </w:tc>
        <w:tc>
          <w:tcPr>
            <w:tcW w:w="1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line="170" w:lineRule="exact"/>
              <w:rPr>
                <w:sz w:val="20"/>
                <w:szCs w:val="20"/>
                <w:color w:val="auto"/>
              </w:rPr>
            </w:pPr>
            <w:r>
              <w:rPr>
                <w:rFonts w:ascii="Arial" w:cs="Arial" w:eastAsia="Arial" w:hAnsi="Arial"/>
                <w:sz w:val="18"/>
                <w:szCs w:val="18"/>
                <w:color w:val="auto"/>
                <w:w w:val="74"/>
              </w:rPr>
              <w:t>%</w:t>
            </w:r>
          </w:p>
        </w:tc>
        <w:tc>
          <w:tcPr>
            <w:tcW w:w="1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170" w:lineRule="exact"/>
              <w:rPr>
                <w:sz w:val="20"/>
                <w:szCs w:val="20"/>
                <w:color w:val="auto"/>
              </w:rPr>
            </w:pPr>
            <w:r>
              <w:rPr>
                <w:rFonts w:ascii="Arial" w:cs="Arial" w:eastAsia="Arial" w:hAnsi="Arial"/>
                <w:sz w:val="18"/>
                <w:szCs w:val="18"/>
                <w:color w:val="auto"/>
                <w:w w:val="87"/>
              </w:rPr>
              <w:t>%</w:t>
            </w:r>
          </w:p>
        </w:tc>
      </w:tr>
    </w:tbl>
    <w:p>
      <w:pPr>
        <w:spacing w:after="0" w:line="188"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The Company is not currently under examination at the federal or state levels and as of the date of the consolidated financial statements there were no known assessments.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U.S. Tax Reform</w:t>
      </w:r>
    </w:p>
    <w:p>
      <w:pPr>
        <w:spacing w:after="0" w:line="216" w:lineRule="exact"/>
        <w:rPr>
          <w:sz w:val="20"/>
          <w:szCs w:val="20"/>
          <w:color w:val="auto"/>
        </w:rPr>
      </w:pPr>
    </w:p>
    <w:p>
      <w:pPr>
        <w:ind w:right="80" w:firstLine="648"/>
        <w:spacing w:after="0" w:line="258" w:lineRule="auto"/>
        <w:rPr>
          <w:sz w:val="20"/>
          <w:szCs w:val="20"/>
          <w:color w:val="auto"/>
        </w:rPr>
      </w:pPr>
      <w:r>
        <w:rPr>
          <w:rFonts w:ascii="Arial" w:cs="Arial" w:eastAsia="Arial" w:hAnsi="Arial"/>
          <w:sz w:val="17"/>
          <w:szCs w:val="17"/>
          <w:color w:val="auto"/>
        </w:rPr>
        <w:t>On December 22, 2017, the U.S. President signed the Tax Cuts and Jobs Act (the “Act”) into law. Effective January 1, 2018, among other changes, the Act (1) reduces the Company’s U.S. federal corporate tax rate from 34</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52" w:name="page153"/>
    <w:bookmarkEnd w:id="1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spacing w:after="0" w:line="214" w:lineRule="auto"/>
        <w:rPr>
          <w:sz w:val="20"/>
          <w:szCs w:val="20"/>
          <w:color w:val="auto"/>
        </w:rPr>
      </w:pPr>
      <w:r>
        <w:rPr>
          <w:rFonts w:ascii="Arial" w:cs="Arial" w:eastAsia="Arial" w:hAnsi="Arial"/>
          <w:sz w:val="18"/>
          <w:szCs w:val="18"/>
          <w:color w:val="auto"/>
        </w:rPr>
        <w:t>percent to 21 percent, (2) changes the rules relating to net operating loss ("NOL") carryforwards and carrybacks, (3) eliminates the corporate alternative minimum tax ("AMT") and changes how existing AMT credits can be realized; and (4) requires companies to pay a one-time transition tax on certain unrepatriated earnings of foreign subsidiaries. The impact on the Company's financial statements for the period ended December 31, 2017 is immaterial, primarily because the Company has a valuation allowance on deferred tax assets in the U.S. In addition, the Act makes the AMT credit refundable in tax years beginning after 2017.</w:t>
      </w:r>
    </w:p>
    <w:p>
      <w:pPr>
        <w:spacing w:after="0" w:line="162"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The SEC staff issued Staff Accounting Bulletin ("SAB") 118, which provides guidance on accounting for the tax effects of the Tax Act. SAB 118 provides a measurement period that should not extend beyond one year from the Tax Act enactment date for companies to complete the accounting under Accounting Standards Codification (ASC) 740.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Act.</w:t>
      </w:r>
    </w:p>
    <w:p>
      <w:pPr>
        <w:spacing w:after="0" w:line="166" w:lineRule="exact"/>
        <w:rPr>
          <w:sz w:val="20"/>
          <w:szCs w:val="20"/>
          <w:color w:val="auto"/>
        </w:rPr>
      </w:pPr>
    </w:p>
    <w:p>
      <w:pPr>
        <w:jc w:val="both"/>
        <w:ind w:right="120" w:firstLine="648"/>
        <w:spacing w:after="0" w:line="224" w:lineRule="auto"/>
        <w:rPr>
          <w:sz w:val="20"/>
          <w:szCs w:val="20"/>
          <w:color w:val="auto"/>
        </w:rPr>
      </w:pPr>
      <w:r>
        <w:rPr>
          <w:rFonts w:ascii="Arial" w:cs="Arial" w:eastAsia="Arial" w:hAnsi="Arial"/>
          <w:sz w:val="18"/>
          <w:szCs w:val="18"/>
          <w:color w:val="auto"/>
        </w:rPr>
        <w:t>The Tax Act did not have a material impact on our financial statements since our deferred temporary differences in the United States are fully offset by a valuation allowance and we do not have any significant off shore earnings from which to record the mandatory transition tax.</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189"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From March 2013 through June 2015, members of the Company’s board of directors, officers, and some family members participated in the Company’s issuance of convertible notes for a total investment of $3,371,469. The terms of these convertible notes were identical to the terms of the convertible notes issued to unrelated third parties. As of December 31, 2015, the entire principal plus interest under these convertible notes issued to these related parties have converted into 696,221 shares of the Company’s common stock.</w:t>
      </w:r>
    </w:p>
    <w:p>
      <w:pPr>
        <w:spacing w:after="0" w:line="162" w:lineRule="exact"/>
        <w:rPr>
          <w:sz w:val="20"/>
          <w:szCs w:val="20"/>
          <w:color w:val="auto"/>
        </w:rPr>
      </w:pPr>
    </w:p>
    <w:p>
      <w:pPr>
        <w:ind w:right="20" w:firstLine="648"/>
        <w:spacing w:after="0" w:line="178" w:lineRule="exact"/>
        <w:rPr>
          <w:sz w:val="20"/>
          <w:szCs w:val="20"/>
          <w:color w:val="auto"/>
        </w:rPr>
      </w:pPr>
      <w:r>
        <w:rPr>
          <w:rFonts w:ascii="Arial" w:cs="Arial" w:eastAsia="Arial" w:hAnsi="Arial"/>
          <w:sz w:val="16"/>
          <w:szCs w:val="16"/>
          <w:color w:val="auto"/>
        </w:rPr>
        <w:t>In April 2012, the Company entered into a three</w:t>
      </w:r>
      <w:r>
        <w:rPr>
          <w:rFonts w:ascii="MS PGothic" w:cs="MS PGothic" w:eastAsia="MS PGothic" w:hAnsi="MS PGothic"/>
          <w:sz w:val="16"/>
          <w:szCs w:val="16"/>
          <w:color w:val="auto"/>
        </w:rPr>
        <w:t>‑</w:t>
      </w:r>
      <w:r>
        <w:rPr>
          <w:rFonts w:ascii="Arial" w:cs="Arial" w:eastAsia="Arial" w:hAnsi="Arial"/>
          <w:sz w:val="16"/>
          <w:szCs w:val="16"/>
          <w:color w:val="auto"/>
        </w:rPr>
        <w:t>year consulting agreement with Mark Coleman, M.D., a member of its board of directors since December 2014, which was subsequently amended in June 2014, to engage Dr. Coleman to provide certain consulting services in connection with the Company’s development of pharmaceutical and other therapeutic product candidates. The consulting agreement provided the Company with the ability to compensate Dr. Coleman in cash or options. In March 2013, the Company issued to Dr. Coleman an option grant to purchase 20,997 shares of the Company’s common stock with an exercise price of $1.30 per share that vested immediately; in June 2014, the Company issued to</w:t>
      </w:r>
    </w:p>
    <w:p>
      <w:pPr>
        <w:spacing w:after="0" w:line="2" w:lineRule="exact"/>
        <w:rPr>
          <w:sz w:val="20"/>
          <w:szCs w:val="20"/>
          <w:color w:val="auto"/>
        </w:rPr>
      </w:pPr>
    </w:p>
    <w:p>
      <w:pPr>
        <w:ind w:right="140"/>
        <w:spacing w:after="0" w:line="182" w:lineRule="exact"/>
        <w:rPr>
          <w:sz w:val="20"/>
          <w:szCs w:val="20"/>
          <w:color w:val="auto"/>
        </w:rPr>
      </w:pPr>
      <w:r>
        <w:rPr>
          <w:rFonts w:ascii="Arial" w:cs="Arial" w:eastAsia="Arial" w:hAnsi="Arial"/>
          <w:sz w:val="18"/>
          <w:szCs w:val="18"/>
          <w:color w:val="auto"/>
        </w:rPr>
        <w:t>Dr. Coleman an option grant to purchase 76,904 shares of the Company’s common stock with an exercise price of $1.30 per share which were subject to certain performance</w:t>
      </w:r>
      <w:r>
        <w:rPr>
          <w:rFonts w:ascii="MS PGothic" w:cs="MS PGothic" w:eastAsia="MS PGothic" w:hAnsi="MS PGothic"/>
          <w:sz w:val="18"/>
          <w:szCs w:val="18"/>
          <w:color w:val="auto"/>
        </w:rPr>
        <w:t>‑</w:t>
      </w:r>
      <w:r>
        <w:rPr>
          <w:rFonts w:ascii="Arial" w:cs="Arial" w:eastAsia="Arial" w:hAnsi="Arial"/>
          <w:sz w:val="18"/>
          <w:szCs w:val="18"/>
          <w:color w:val="auto"/>
        </w:rPr>
        <w:t>based vesting restrictions, of which the grant was forfeited in December 2015; and in June 2015, the Company issued to Dr. Coleman an option grant to purchase 33,410 shares of the Company’s common stock with an exercise price of $5.94 per share that vested immediately. The Company recorded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of $99,234 during the year ended December 31, 2015 related to these option grants. No further expense will be incurred related to these grants.</w:t>
      </w:r>
    </w:p>
    <w:p>
      <w:pPr>
        <w:spacing w:after="0" w:line="162"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In 2013, the Company had an outstanding loan payable to its Chief Executive Officer and Chairman of the Board in the amount of $62,469 pertaining to payment of startup costs of the Company. The loan carried no interest payable and was payable on demand. In December 2014, the Company satisfied a portion of the loan payable with a cash payment of $21,000, leaving a balance at December 31, 2014 of $41,469. In June 2015, the Company paid the remaining balance of the loan obligation, which Dr. Tabuteau then reinvested into the Company by purchasing an equivalent amount of convertible notes issued by the Company.</w:t>
      </w:r>
    </w:p>
    <w:p>
      <w:pPr>
        <w:spacing w:after="0" w:line="162" w:lineRule="exact"/>
        <w:rPr>
          <w:sz w:val="20"/>
          <w:szCs w:val="20"/>
          <w:color w:val="auto"/>
        </w:rPr>
      </w:pPr>
    </w:p>
    <w:p>
      <w:pPr>
        <w:ind w:right="140" w:firstLine="648"/>
        <w:spacing w:after="0" w:line="216" w:lineRule="auto"/>
        <w:rPr>
          <w:sz w:val="20"/>
          <w:szCs w:val="20"/>
          <w:color w:val="auto"/>
        </w:rPr>
      </w:pPr>
      <w:r>
        <w:rPr>
          <w:rFonts w:ascii="Arial" w:cs="Arial" w:eastAsia="Arial" w:hAnsi="Arial"/>
          <w:sz w:val="18"/>
          <w:szCs w:val="18"/>
          <w:color w:val="auto"/>
        </w:rPr>
        <w:t>From the Company’s inception, Herriot Tabuteau, M.D. has been the Company’s founder, Chief Executive Officer, Chairman of the Company’s board of directors, and the beneficial owner of more than 5% of the outstanding shares of the Company’s common stock. In connection with the formation of the Company, in January 2012, the Company issued to Antecip Capital LLC, an entity controlled by Dr. Tabuteau, an aggregate of 7,344,500 shares of the Company’s common stock for nominal consideration.</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3" w:name="page154"/>
    <w:bookmarkEnd w:id="1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The Company is a party to three exclusive license agreements with Antecip Bioventures II LLC, an entity owned by Dr. Tabuteau. See Note 10 for further information regarding the license agreements.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Quarterly Consolidated Financial Data (Unaudited)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83"/>
              </w:rPr>
              <w:t>2017</w:t>
            </w: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Mar. 31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174"/>
              <w:spacing w:after="0" w:line="129"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214"/>
              <w:spacing w:after="0" w:line="129" w:lineRule="exact"/>
              <w:rPr>
                <w:sz w:val="20"/>
                <w:szCs w:val="20"/>
                <w:color w:val="auto"/>
              </w:rPr>
            </w:pPr>
            <w:r>
              <w:rPr>
                <w:rFonts w:ascii="Arial" w:cs="Arial" w:eastAsia="Arial" w:hAnsi="Arial"/>
                <w:sz w:val="14"/>
                <w:szCs w:val="14"/>
                <w:b w:val="1"/>
                <w:bCs w:val="1"/>
                <w:color w:val="auto"/>
              </w:rPr>
              <w:t>Sept. 30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194"/>
              <w:spacing w:after="0" w:line="129" w:lineRule="exact"/>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Total operating expenses</w:t>
            </w:r>
          </w:p>
        </w:tc>
        <w:tc>
          <w:tcPr>
            <w:tcW w:w="52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7,672,033</w:t>
            </w:r>
          </w:p>
        </w:tc>
        <w:tc>
          <w:tcPr>
            <w:tcW w:w="1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6,750,738</w:t>
            </w:r>
          </w:p>
        </w:tc>
        <w:tc>
          <w:tcPr>
            <w:tcW w:w="36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6,297,416</w:t>
            </w:r>
          </w:p>
        </w:tc>
        <w:tc>
          <w:tcPr>
            <w:tcW w:w="34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6,444,120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2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52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w w:val="93"/>
              </w:rPr>
              <w:t>(7,995,039)</w:t>
            </w:r>
          </w:p>
        </w:tc>
        <w:tc>
          <w:tcPr>
            <w:tcW w:w="100" w:type="dxa"/>
            <w:vAlign w:val="bottom"/>
          </w:tcPr>
          <w:p>
            <w:pPr>
              <w:spacing w:after="0"/>
              <w:rPr>
                <w:sz w:val="15"/>
                <w:szCs w:val="15"/>
                <w:color w:val="auto"/>
              </w:rPr>
            </w:pPr>
          </w:p>
        </w:tc>
        <w:tc>
          <w:tcPr>
            <w:tcW w:w="24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w w:val="93"/>
              </w:rPr>
              <w:t>(7,084,316)</w:t>
            </w:r>
          </w:p>
        </w:tc>
        <w:tc>
          <w:tcPr>
            <w:tcW w:w="36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w w:val="97"/>
              </w:rPr>
              <w:t>(6,433,536)</w:t>
            </w:r>
          </w:p>
        </w:tc>
        <w:tc>
          <w:tcPr>
            <w:tcW w:w="34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w w:val="93"/>
              </w:rPr>
              <w:t>(7,430,501)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9"/>
              </w:rPr>
              <w:t>Net loss per common share, basic and diluted (1)</w:t>
            </w:r>
          </w:p>
        </w:tc>
        <w:tc>
          <w:tcPr>
            <w:tcW w:w="52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(0.41)</w:t>
            </w:r>
          </w:p>
        </w:tc>
        <w:tc>
          <w:tcPr>
            <w:tcW w:w="24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(0.30)</w:t>
            </w:r>
          </w:p>
        </w:tc>
        <w:tc>
          <w:tcPr>
            <w:tcW w:w="36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(0.27)</w:t>
            </w:r>
          </w:p>
        </w:tc>
        <w:tc>
          <w:tcPr>
            <w:tcW w:w="34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83"/>
              </w:rPr>
              <w:t>2016</w:t>
            </w: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Mar. 31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174"/>
              <w:spacing w:after="0" w:line="129"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214"/>
              <w:spacing w:after="0" w:line="129" w:lineRule="exact"/>
              <w:rPr>
                <w:sz w:val="20"/>
                <w:szCs w:val="20"/>
                <w:color w:val="auto"/>
              </w:rPr>
            </w:pPr>
            <w:r>
              <w:rPr>
                <w:rFonts w:ascii="Arial" w:cs="Arial" w:eastAsia="Arial" w:hAnsi="Arial"/>
                <w:sz w:val="14"/>
                <w:szCs w:val="14"/>
                <w:b w:val="1"/>
                <w:bCs w:val="1"/>
                <w:color w:val="auto"/>
              </w:rPr>
              <w:t>Sept. 30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194"/>
              <w:spacing w:after="0" w:line="129" w:lineRule="exact"/>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Total operating expenses</w:t>
            </w:r>
          </w:p>
        </w:tc>
        <w:tc>
          <w:tcPr>
            <w:tcW w:w="52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5,882,865</w:t>
            </w:r>
          </w:p>
        </w:tc>
        <w:tc>
          <w:tcPr>
            <w:tcW w:w="1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6,827,280</w:t>
            </w:r>
          </w:p>
        </w:tc>
        <w:tc>
          <w:tcPr>
            <w:tcW w:w="36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7,207,803</w:t>
            </w:r>
          </w:p>
        </w:tc>
        <w:tc>
          <w:tcPr>
            <w:tcW w:w="34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7,625,560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2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52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w w:val="93"/>
              </w:rPr>
              <w:t>(5,865,941)</w:t>
            </w:r>
          </w:p>
        </w:tc>
        <w:tc>
          <w:tcPr>
            <w:tcW w:w="100" w:type="dxa"/>
            <w:vAlign w:val="bottom"/>
          </w:tcPr>
          <w:p>
            <w:pPr>
              <w:spacing w:after="0"/>
              <w:rPr>
                <w:sz w:val="15"/>
                <w:szCs w:val="15"/>
                <w:color w:val="auto"/>
              </w:rPr>
            </w:pPr>
          </w:p>
        </w:tc>
        <w:tc>
          <w:tcPr>
            <w:tcW w:w="24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w w:val="93"/>
              </w:rPr>
              <w:t>(6,812,190)</w:t>
            </w:r>
          </w:p>
        </w:tc>
        <w:tc>
          <w:tcPr>
            <w:tcW w:w="36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w w:val="97"/>
              </w:rPr>
              <w:t>(7,194,584)</w:t>
            </w:r>
          </w:p>
        </w:tc>
        <w:tc>
          <w:tcPr>
            <w:tcW w:w="34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w w:val="93"/>
              </w:rPr>
              <w:t>(7,328,938)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9"/>
              </w:rPr>
              <w:t>Net loss per common share, basic and diluted (1)</w:t>
            </w:r>
          </w:p>
        </w:tc>
        <w:tc>
          <w:tcPr>
            <w:tcW w:w="52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(0.31)</w:t>
            </w:r>
          </w:p>
        </w:tc>
        <w:tc>
          <w:tcPr>
            <w:tcW w:w="24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(0.36)</w:t>
            </w:r>
          </w:p>
        </w:tc>
        <w:tc>
          <w:tcPr>
            <w:tcW w:w="36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(0.38)</w:t>
            </w:r>
          </w:p>
        </w:tc>
        <w:tc>
          <w:tcPr>
            <w:tcW w:w="34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right="40" w:hanging="333"/>
        <w:spacing w:after="0" w:line="224"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Basic and diluted net loss per common share is computed independently for each of the quarters presented. Therefore, the sum of all quarterly basic and fully diluted net loss per common share may not equal the annual basic and diluted net loss per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4" w:name="page155"/>
    <w:bookmarkEnd w:id="1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80" w:type="dxa"/>
            <w:vAlign w:val="bottom"/>
          </w:tcPr>
          <w:p>
            <w:pPr>
              <w:ind w:left="2880"/>
              <w:spacing w:after="0"/>
              <w:rPr>
                <w:sz w:val="20"/>
                <w:szCs w:val="20"/>
                <w:color w:val="auto"/>
              </w:rPr>
            </w:pPr>
            <w:r>
              <w:rPr>
                <w:rFonts w:ascii="Arial" w:cs="Arial" w:eastAsia="Arial" w:hAnsi="Arial"/>
                <w:sz w:val="18"/>
                <w:szCs w:val="18"/>
                <w:b w:val="1"/>
                <w:bCs w:val="1"/>
                <w:color w:val="auto"/>
              </w:rPr>
              <w:t>INDEX OF EXHIBITS</w:t>
            </w:r>
          </w:p>
        </w:tc>
        <w:tc>
          <w:tcPr>
            <w:tcW w:w="0" w:type="dxa"/>
            <w:vAlign w:val="bottom"/>
          </w:tcPr>
          <w:p>
            <w:pPr>
              <w:spacing w:after="0"/>
              <w:rPr>
                <w:sz w:val="1"/>
                <w:szCs w:val="1"/>
                <w:color w:val="auto"/>
              </w:rPr>
            </w:pPr>
          </w:p>
        </w:tc>
      </w:tr>
      <w:tr>
        <w:trPr>
          <w:trHeight w:val="342"/>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24"/>
                <w:szCs w:val="24"/>
                <w:color w:val="auto"/>
              </w:rPr>
            </w:pPr>
          </w:p>
        </w:tc>
        <w:tc>
          <w:tcPr>
            <w:tcW w:w="7680" w:type="dxa"/>
            <w:vAlign w:val="bottom"/>
            <w:vMerge w:val="restart"/>
          </w:tcPr>
          <w:p>
            <w:pPr>
              <w:ind w:left="3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4"/>
                <w:szCs w:val="14"/>
                <w:color w:val="auto"/>
              </w:rPr>
            </w:pPr>
          </w:p>
        </w:tc>
        <w:tc>
          <w:tcPr>
            <w:tcW w:w="7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ind w:left="460"/>
        <w:spacing w:after="0"/>
        <w:rPr>
          <w:rFonts w:ascii="Arial" w:cs="Arial" w:eastAsia="Arial" w:hAnsi="Arial"/>
          <w:sz w:val="16"/>
          <w:szCs w:val="16"/>
          <w:color w:val="auto"/>
        </w:rPr>
      </w:pPr>
      <w:r>
        <w:rPr>
          <w:rFonts w:ascii="Arial" w:cs="Arial" w:eastAsia="Arial" w:hAnsi="Arial"/>
          <w:sz w:val="16"/>
          <w:szCs w:val="16"/>
          <w:color w:val="auto"/>
        </w:rPr>
        <w:t xml:space="preserve">3.1 </w:t>
      </w:r>
      <w:hyperlink r:id="rId177">
        <w:r>
          <w:rPr>
            <w:rFonts w:ascii="Arial" w:cs="Arial" w:eastAsia="Arial" w:hAnsi="Arial"/>
            <w:sz w:val="16"/>
            <w:szCs w:val="16"/>
            <w:u w:val="single" w:color="auto"/>
            <w:color w:val="0000EE"/>
          </w:rPr>
          <w:t>Amended and Restated Certificate of Incorporation of the Company (Incorporated by reference, Exhibit</w:t>
        </w:r>
      </w:hyperlink>
    </w:p>
    <w:p>
      <w:pPr>
        <w:spacing w:after="0" w:line="2" w:lineRule="exact"/>
        <w:rPr>
          <w:sz w:val="20"/>
          <w:szCs w:val="20"/>
          <w:color w:val="auto"/>
        </w:rPr>
      </w:pPr>
    </w:p>
    <w:p>
      <w:pPr>
        <w:ind w:left="760"/>
        <w:spacing w:after="0"/>
        <w:rPr>
          <w:rFonts w:ascii="Arial" w:cs="Arial" w:eastAsia="Arial" w:hAnsi="Arial"/>
          <w:sz w:val="18"/>
          <w:szCs w:val="18"/>
          <w:u w:val="single" w:color="auto"/>
          <w:color w:val="0000EE"/>
        </w:rPr>
      </w:pPr>
      <w:hyperlink r:id="rId177">
        <w:r>
          <w:rPr>
            <w:rFonts w:ascii="Arial" w:cs="Arial" w:eastAsia="Arial" w:hAnsi="Arial"/>
            <w:sz w:val="18"/>
            <w:szCs w:val="18"/>
            <w:u w:val="single" w:color="auto"/>
            <w:color w:val="0000EE"/>
          </w:rPr>
          <w:t>3.1 to the Company’s Form 8-K (No. 001-37635) filed November 24, 2015.)</w:t>
        </w:r>
      </w:hyperlink>
    </w:p>
    <w:p>
      <w:pPr>
        <w:ind w:left="760" w:right="659" w:hanging="301"/>
        <w:spacing w:after="0" w:line="21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3.2 </w:t>
      </w:r>
      <w:hyperlink r:id="rId178">
        <w:r>
          <w:rPr>
            <w:rFonts w:ascii="Arial" w:cs="Arial" w:eastAsia="Arial" w:hAnsi="Arial"/>
            <w:sz w:val="18"/>
            <w:szCs w:val="18"/>
            <w:u w:val="single" w:color="auto"/>
            <w:color w:val="0000EE"/>
          </w:rPr>
          <w:t>Amended and Restated Bylaws of the Company (Incorporated by reference, Exhibit 3.2 to the Company’s</w:t>
        </w:r>
      </w:hyperlink>
      <w:r>
        <w:rPr>
          <w:rFonts w:ascii="Arial" w:cs="Arial" w:eastAsia="Arial" w:hAnsi="Arial"/>
          <w:sz w:val="18"/>
          <w:szCs w:val="18"/>
          <w:color w:val="auto"/>
        </w:rPr>
        <w:t xml:space="preserve"> </w:t>
      </w:r>
      <w:hyperlink r:id="rId178">
        <w:r>
          <w:rPr>
            <w:rFonts w:ascii="Arial" w:cs="Arial" w:eastAsia="Arial" w:hAnsi="Arial"/>
            <w:sz w:val="18"/>
            <w:szCs w:val="18"/>
            <w:u w:val="single" w:color="auto"/>
            <w:color w:val="0000EE"/>
          </w:rPr>
          <w:t>Form 8-K (No. 001-37635) filed November 24, 2015.)</w:t>
        </w:r>
      </w:hyperlink>
    </w:p>
    <w:p>
      <w:pPr>
        <w:ind w:left="760" w:right="699" w:hanging="301"/>
        <w:spacing w:after="0" w:line="21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4.1 </w:t>
      </w:r>
      <w:hyperlink r:id="rId179">
        <w:r>
          <w:rPr>
            <w:rFonts w:ascii="Arial" w:cs="Arial" w:eastAsia="Arial" w:hAnsi="Arial"/>
            <w:sz w:val="18"/>
            <w:szCs w:val="18"/>
            <w:u w:val="single" w:color="auto"/>
            <w:color w:val="0000EE"/>
          </w:rPr>
          <w:t>Specimen Certificate evidencing shares of Company’s common stock (Incorporated by reference, Exhibit</w:t>
        </w:r>
      </w:hyperlink>
      <w:r>
        <w:rPr>
          <w:rFonts w:ascii="Arial" w:cs="Arial" w:eastAsia="Arial" w:hAnsi="Arial"/>
          <w:sz w:val="18"/>
          <w:szCs w:val="18"/>
          <w:color w:val="auto"/>
        </w:rPr>
        <w:t xml:space="preserve"> </w:t>
      </w:r>
      <w:hyperlink r:id="rId179">
        <w:r>
          <w:rPr>
            <w:rFonts w:ascii="Arial" w:cs="Arial" w:eastAsia="Arial" w:hAnsi="Arial"/>
            <w:sz w:val="18"/>
            <w:szCs w:val="18"/>
            <w:u w:val="single" w:color="auto"/>
            <w:color w:val="0000EE"/>
          </w:rPr>
          <w:t>4.1 to Amendment No. 1 to the Company’s Registration Statement on Form S-1 (No. 333-207393) filed</w:t>
        </w:r>
      </w:hyperlink>
      <w:r>
        <w:rPr>
          <w:rFonts w:ascii="Arial" w:cs="Arial" w:eastAsia="Arial" w:hAnsi="Arial"/>
          <w:sz w:val="18"/>
          <w:szCs w:val="18"/>
          <w:u w:val="single" w:color="auto"/>
          <w:color w:val="0000EE"/>
        </w:rPr>
        <w:t xml:space="preserve"> </w:t>
      </w:r>
      <w:hyperlink r:id="rId179">
        <w:r>
          <w:rPr>
            <w:rFonts w:ascii="Arial" w:cs="Arial" w:eastAsia="Arial" w:hAnsi="Arial"/>
            <w:sz w:val="18"/>
            <w:szCs w:val="18"/>
            <w:u w:val="single" w:color="auto"/>
            <w:color w:val="0000EE"/>
          </w:rPr>
          <w:t>October 30, 2015.)</w:t>
        </w:r>
      </w:hyperlink>
    </w:p>
    <w:p>
      <w:pPr>
        <w:spacing w:after="0" w:line="1" w:lineRule="exact"/>
        <w:rPr>
          <w:rFonts w:ascii="Arial" w:cs="Arial" w:eastAsia="Arial" w:hAnsi="Arial"/>
          <w:sz w:val="18"/>
          <w:szCs w:val="18"/>
          <w:color w:val="auto"/>
        </w:rPr>
      </w:pPr>
    </w:p>
    <w:p>
      <w:pPr>
        <w:ind w:left="760" w:right="1039" w:hanging="301"/>
        <w:spacing w:after="0" w:line="21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4.2 </w:t>
      </w:r>
      <w:hyperlink r:id="rId180">
        <w:r>
          <w:rPr>
            <w:rFonts w:ascii="Arial" w:cs="Arial" w:eastAsia="Arial" w:hAnsi="Arial"/>
            <w:sz w:val="18"/>
            <w:szCs w:val="18"/>
            <w:u w:val="single" w:color="auto"/>
            <w:color w:val="0000EE"/>
          </w:rPr>
          <w:t>Form of warrant to purchase shares of Company’s common stock issued in 2013 (Incorporated by</w:t>
        </w:r>
      </w:hyperlink>
      <w:r>
        <w:rPr>
          <w:rFonts w:ascii="Arial" w:cs="Arial" w:eastAsia="Arial" w:hAnsi="Arial"/>
          <w:sz w:val="18"/>
          <w:szCs w:val="18"/>
          <w:color w:val="auto"/>
        </w:rPr>
        <w:t xml:space="preserve"> </w:t>
      </w:r>
      <w:hyperlink r:id="rId180">
        <w:r>
          <w:rPr>
            <w:rFonts w:ascii="Arial" w:cs="Arial" w:eastAsia="Arial" w:hAnsi="Arial"/>
            <w:sz w:val="18"/>
            <w:szCs w:val="18"/>
            <w:u w:val="single" w:color="auto"/>
            <w:color w:val="0000EE"/>
          </w:rPr>
          <w:t>reference, Exhibit 4.2 to the Company’s Registration Statement on Form S-1 (No. 333-207393) filed</w:t>
        </w:r>
      </w:hyperlink>
      <w:r>
        <w:rPr>
          <w:rFonts w:ascii="Arial" w:cs="Arial" w:eastAsia="Arial" w:hAnsi="Arial"/>
          <w:sz w:val="18"/>
          <w:szCs w:val="18"/>
          <w:u w:val="single" w:color="auto"/>
          <w:color w:val="0000EE"/>
        </w:rPr>
        <w:t xml:space="preserve"> </w:t>
      </w:r>
      <w:hyperlink r:id="rId180">
        <w:r>
          <w:rPr>
            <w:rFonts w:ascii="Arial" w:cs="Arial" w:eastAsia="Arial" w:hAnsi="Arial"/>
            <w:sz w:val="18"/>
            <w:szCs w:val="18"/>
            <w:u w:val="single" w:color="auto"/>
            <w:color w:val="0000EE"/>
          </w:rPr>
          <w:t>October 13, 2015.)</w:t>
        </w:r>
      </w:hyperlink>
    </w:p>
    <w:p>
      <w:pPr>
        <w:spacing w:after="0" w:line="1" w:lineRule="exact"/>
        <w:rPr>
          <w:rFonts w:ascii="Arial" w:cs="Arial" w:eastAsia="Arial" w:hAnsi="Arial"/>
          <w:sz w:val="18"/>
          <w:szCs w:val="18"/>
          <w:color w:val="auto"/>
        </w:rPr>
      </w:pPr>
    </w:p>
    <w:p>
      <w:pPr>
        <w:ind w:left="760" w:right="1039" w:hanging="301"/>
        <w:spacing w:after="0" w:line="21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4.3 </w:t>
      </w:r>
      <w:hyperlink r:id="rId181">
        <w:r>
          <w:rPr>
            <w:rFonts w:ascii="Arial" w:cs="Arial" w:eastAsia="Arial" w:hAnsi="Arial"/>
            <w:sz w:val="18"/>
            <w:szCs w:val="18"/>
            <w:u w:val="single" w:color="auto"/>
            <w:color w:val="0000EE"/>
          </w:rPr>
          <w:t>Form of warrant to purchase shares of Company’s common stock issued in 2014 (Incorporated by</w:t>
        </w:r>
      </w:hyperlink>
      <w:r>
        <w:rPr>
          <w:rFonts w:ascii="Arial" w:cs="Arial" w:eastAsia="Arial" w:hAnsi="Arial"/>
          <w:sz w:val="18"/>
          <w:szCs w:val="18"/>
          <w:color w:val="auto"/>
        </w:rPr>
        <w:t xml:space="preserve"> </w:t>
      </w:r>
      <w:hyperlink r:id="rId181">
        <w:r>
          <w:rPr>
            <w:rFonts w:ascii="Arial" w:cs="Arial" w:eastAsia="Arial" w:hAnsi="Arial"/>
            <w:sz w:val="18"/>
            <w:szCs w:val="18"/>
            <w:u w:val="single" w:color="auto"/>
            <w:color w:val="0000EE"/>
          </w:rPr>
          <w:t>reference, Exhibit 4.3 to the Company’s Registration Statement on Form S-1 (No. 333-207393) filed</w:t>
        </w:r>
      </w:hyperlink>
      <w:r>
        <w:rPr>
          <w:rFonts w:ascii="Arial" w:cs="Arial" w:eastAsia="Arial" w:hAnsi="Arial"/>
          <w:sz w:val="18"/>
          <w:szCs w:val="18"/>
          <w:u w:val="single" w:color="auto"/>
          <w:color w:val="0000EE"/>
        </w:rPr>
        <w:t xml:space="preserve"> </w:t>
      </w:r>
      <w:hyperlink r:id="rId181">
        <w:r>
          <w:rPr>
            <w:rFonts w:ascii="Arial" w:cs="Arial" w:eastAsia="Arial" w:hAnsi="Arial"/>
            <w:sz w:val="18"/>
            <w:szCs w:val="18"/>
            <w:u w:val="single" w:color="auto"/>
            <w:color w:val="0000EE"/>
          </w:rPr>
          <w:t>October 13, 2015.)</w:t>
        </w:r>
      </w:hyperlink>
    </w:p>
    <w:p>
      <w:pPr>
        <w:spacing w:after="0" w:line="1" w:lineRule="exact"/>
        <w:rPr>
          <w:rFonts w:ascii="Arial" w:cs="Arial" w:eastAsia="Arial" w:hAnsi="Arial"/>
          <w:sz w:val="18"/>
          <w:szCs w:val="18"/>
          <w:color w:val="auto"/>
        </w:rPr>
      </w:pPr>
    </w:p>
    <w:p>
      <w:pPr>
        <w:ind w:left="760" w:right="979" w:hanging="301"/>
        <w:spacing w:after="0" w:line="21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4.4 </w:t>
      </w:r>
      <w:hyperlink r:id="rId182">
        <w:r>
          <w:rPr>
            <w:rFonts w:ascii="Arial" w:cs="Arial" w:eastAsia="Arial" w:hAnsi="Arial"/>
            <w:sz w:val="18"/>
            <w:szCs w:val="18"/>
            <w:u w:val="single" w:color="auto"/>
            <w:color w:val="0000EE"/>
          </w:rPr>
          <w:t>Warrant Agreement between Axsome Therapeutics, Inc. and Silicon Valley Bank, dated November 9,</w:t>
        </w:r>
      </w:hyperlink>
      <w:r>
        <w:rPr>
          <w:rFonts w:ascii="Arial" w:cs="Arial" w:eastAsia="Arial" w:hAnsi="Arial"/>
          <w:sz w:val="18"/>
          <w:szCs w:val="18"/>
          <w:color w:val="auto"/>
        </w:rPr>
        <w:t xml:space="preserve"> </w:t>
      </w:r>
      <w:hyperlink r:id="rId182">
        <w:r>
          <w:rPr>
            <w:rFonts w:ascii="Arial" w:cs="Arial" w:eastAsia="Arial" w:hAnsi="Arial"/>
            <w:sz w:val="18"/>
            <w:szCs w:val="18"/>
            <w:u w:val="single" w:color="auto"/>
            <w:color w:val="0000EE"/>
          </w:rPr>
          <w:t>2016 (Incorporated by reference, Exhibit 4.1 to the Company’s Current Report on Form 8-K filed</w:t>
        </w:r>
      </w:hyperlink>
      <w:r>
        <w:rPr>
          <w:rFonts w:ascii="Arial" w:cs="Arial" w:eastAsia="Arial" w:hAnsi="Arial"/>
          <w:sz w:val="18"/>
          <w:szCs w:val="18"/>
          <w:u w:val="single" w:color="auto"/>
          <w:color w:val="0000EE"/>
        </w:rPr>
        <w:t xml:space="preserve"> </w:t>
      </w:r>
      <w:hyperlink r:id="rId182">
        <w:r>
          <w:rPr>
            <w:rFonts w:ascii="Arial" w:cs="Arial" w:eastAsia="Arial" w:hAnsi="Arial"/>
            <w:sz w:val="18"/>
            <w:szCs w:val="18"/>
            <w:u w:val="single" w:color="auto"/>
            <w:color w:val="0000EE"/>
          </w:rPr>
          <w:t>November 10, 2016.)</w:t>
        </w:r>
      </w:hyperlink>
    </w:p>
    <w:p>
      <w:pPr>
        <w:spacing w:after="0" w:line="1" w:lineRule="exact"/>
        <w:rPr>
          <w:rFonts w:ascii="Arial" w:cs="Arial" w:eastAsia="Arial" w:hAnsi="Arial"/>
          <w:sz w:val="18"/>
          <w:szCs w:val="18"/>
          <w:color w:val="auto"/>
        </w:rPr>
      </w:pPr>
    </w:p>
    <w:p>
      <w:pPr>
        <w:ind w:left="760" w:right="719" w:hanging="301"/>
        <w:spacing w:after="0" w:line="21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4.5 </w:t>
      </w:r>
      <w:hyperlink r:id="rId183">
        <w:r>
          <w:rPr>
            <w:rFonts w:ascii="Arial" w:cs="Arial" w:eastAsia="Arial" w:hAnsi="Arial"/>
            <w:sz w:val="18"/>
            <w:szCs w:val="18"/>
            <w:u w:val="single" w:color="auto"/>
            <w:color w:val="0000EE"/>
          </w:rPr>
          <w:t>Warrant Agreement between Axsome Therapeutics, Inc. and Life Sciences Loans, LLC, dated November</w:t>
        </w:r>
      </w:hyperlink>
      <w:r>
        <w:rPr>
          <w:rFonts w:ascii="Arial" w:cs="Arial" w:eastAsia="Arial" w:hAnsi="Arial"/>
          <w:sz w:val="18"/>
          <w:szCs w:val="18"/>
          <w:color w:val="auto"/>
        </w:rPr>
        <w:t xml:space="preserve"> </w:t>
      </w:r>
      <w:hyperlink r:id="rId183">
        <w:r>
          <w:rPr>
            <w:rFonts w:ascii="Arial" w:cs="Arial" w:eastAsia="Arial" w:hAnsi="Arial"/>
            <w:sz w:val="18"/>
            <w:szCs w:val="18"/>
            <w:u w:val="single" w:color="auto"/>
            <w:color w:val="0000EE"/>
          </w:rPr>
          <w:t>9, 2016 (Incorporated by reference, Exhibit 4.2 to the Company’s Current Report on Form 8-K filed</w:t>
        </w:r>
      </w:hyperlink>
      <w:r>
        <w:rPr>
          <w:rFonts w:ascii="Arial" w:cs="Arial" w:eastAsia="Arial" w:hAnsi="Arial"/>
          <w:sz w:val="18"/>
          <w:szCs w:val="18"/>
          <w:u w:val="single" w:color="auto"/>
          <w:color w:val="0000EE"/>
        </w:rPr>
        <w:t xml:space="preserve"> </w:t>
      </w:r>
      <w:hyperlink r:id="rId183">
        <w:r>
          <w:rPr>
            <w:rFonts w:ascii="Arial" w:cs="Arial" w:eastAsia="Arial" w:hAnsi="Arial"/>
            <w:sz w:val="18"/>
            <w:szCs w:val="18"/>
            <w:u w:val="single" w:color="auto"/>
            <w:color w:val="0000EE"/>
          </w:rPr>
          <w:t>November 10, 2016.)</w:t>
        </w:r>
      </w:hyperlink>
    </w:p>
    <w:p>
      <w:pPr>
        <w:spacing w:after="0" w:line="1" w:lineRule="exact"/>
        <w:rPr>
          <w:rFonts w:ascii="Arial" w:cs="Arial" w:eastAsia="Arial" w:hAnsi="Arial"/>
          <w:sz w:val="18"/>
          <w:szCs w:val="18"/>
          <w:color w:val="auto"/>
        </w:rPr>
      </w:pPr>
    </w:p>
    <w:p>
      <w:pPr>
        <w:ind w:left="760" w:right="799" w:hanging="301"/>
        <w:spacing w:after="0" w:line="21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4.6 </w:t>
      </w:r>
      <w:hyperlink r:id="rId184">
        <w:r>
          <w:rPr>
            <w:rFonts w:ascii="Arial" w:cs="Arial" w:eastAsia="Arial" w:hAnsi="Arial"/>
            <w:sz w:val="18"/>
            <w:szCs w:val="18"/>
            <w:u w:val="single" w:color="auto"/>
            <w:color w:val="0000EE"/>
          </w:rPr>
          <w:t>Form of Warrant (Incorporated by reference, Exhibit 4.1 to the Company’s Current Report on Form 8-K</w:t>
        </w:r>
      </w:hyperlink>
      <w:r>
        <w:rPr>
          <w:rFonts w:ascii="Arial" w:cs="Arial" w:eastAsia="Arial" w:hAnsi="Arial"/>
          <w:sz w:val="18"/>
          <w:szCs w:val="18"/>
          <w:color w:val="auto"/>
        </w:rPr>
        <w:t xml:space="preserve"> </w:t>
      </w:r>
      <w:hyperlink r:id="rId184">
        <w:r>
          <w:rPr>
            <w:rFonts w:ascii="Arial" w:cs="Arial" w:eastAsia="Arial" w:hAnsi="Arial"/>
            <w:sz w:val="18"/>
            <w:szCs w:val="18"/>
            <w:u w:val="single" w:color="auto"/>
            <w:color w:val="0000EE"/>
          </w:rPr>
          <w:t>filed December 4, 2017.)</w:t>
        </w:r>
      </w:hyperlink>
    </w:p>
    <w:p>
      <w:pPr>
        <w:ind w:left="760" w:right="719" w:hanging="570"/>
        <w:spacing w:after="0" w:line="219" w:lineRule="auto"/>
        <w:tabs>
          <w:tab w:leader="none" w:pos="74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85">
        <w:r>
          <w:rPr>
            <w:rFonts w:ascii="Arial" w:cs="Arial" w:eastAsia="Arial" w:hAnsi="Arial"/>
            <w:sz w:val="18"/>
            <w:szCs w:val="18"/>
            <w:u w:val="single" w:color="auto"/>
            <w:color w:val="0000EE"/>
          </w:rPr>
          <w:t>Axsome Therapeutics, Inc. 2013 Equity Compensation Plan and Form of Nonqualified Stock Option</w:t>
        </w:r>
      </w:hyperlink>
      <w:r>
        <w:rPr>
          <w:rFonts w:ascii="Arial" w:cs="Arial" w:eastAsia="Arial" w:hAnsi="Arial"/>
          <w:sz w:val="18"/>
          <w:szCs w:val="18"/>
          <w:u w:val="single" w:color="auto"/>
          <w:color w:val="0000EE"/>
        </w:rPr>
        <w:t xml:space="preserve"> </w:t>
      </w:r>
      <w:hyperlink r:id="rId185">
        <w:r>
          <w:rPr>
            <w:rFonts w:ascii="Arial" w:cs="Arial" w:eastAsia="Arial" w:hAnsi="Arial"/>
            <w:sz w:val="18"/>
            <w:szCs w:val="18"/>
            <w:u w:val="single" w:color="auto"/>
            <w:color w:val="0000EE"/>
          </w:rPr>
          <w:t>Agreement thereunder (Incorporated by reference, Exhibit 10.1 to the Company’s Registration Statement</w:t>
        </w:r>
      </w:hyperlink>
      <w:r>
        <w:rPr>
          <w:rFonts w:ascii="Arial" w:cs="Arial" w:eastAsia="Arial" w:hAnsi="Arial"/>
          <w:sz w:val="18"/>
          <w:szCs w:val="18"/>
          <w:u w:val="single" w:color="auto"/>
          <w:color w:val="0000EE"/>
        </w:rPr>
        <w:t xml:space="preserve"> </w:t>
      </w:r>
      <w:hyperlink r:id="rId185">
        <w:r>
          <w:rPr>
            <w:rFonts w:ascii="Arial" w:cs="Arial" w:eastAsia="Arial" w:hAnsi="Arial"/>
            <w:sz w:val="18"/>
            <w:szCs w:val="18"/>
            <w:u w:val="single" w:color="auto"/>
            <w:color w:val="0000EE"/>
          </w:rPr>
          <w:t>on Form S-1 (No. 333-207393) filed October 13, 2015.)</w:t>
        </w:r>
      </w:hyperlink>
    </w:p>
    <w:p>
      <w:pPr>
        <w:spacing w:after="0" w:line="1" w:lineRule="exact"/>
        <w:rPr>
          <w:rFonts w:ascii="Arial" w:cs="Arial" w:eastAsia="Arial" w:hAnsi="Arial"/>
          <w:sz w:val="18"/>
          <w:szCs w:val="18"/>
          <w:u w:val="single" w:color="auto"/>
          <w:color w:val="0000EE"/>
        </w:rPr>
      </w:pPr>
    </w:p>
    <w:p>
      <w:pPr>
        <w:ind w:left="760" w:right="599" w:hanging="570"/>
        <w:spacing w:after="0" w:line="219" w:lineRule="auto"/>
        <w:tabs>
          <w:tab w:leader="none" w:pos="74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186">
        <w:r>
          <w:rPr>
            <w:rFonts w:ascii="Arial" w:cs="Arial" w:eastAsia="Arial" w:hAnsi="Arial"/>
            <w:sz w:val="18"/>
            <w:szCs w:val="18"/>
            <w:u w:val="single" w:color="auto"/>
            <w:color w:val="0000EE"/>
          </w:rPr>
          <w:t>Axsome Therapeutics, Inc. 2015 Omnibus Incentive Compensation Plan (Incorporated by reference,</w:t>
        </w:r>
      </w:hyperlink>
      <w:r>
        <w:rPr>
          <w:rFonts w:ascii="Arial" w:cs="Arial" w:eastAsia="Arial" w:hAnsi="Arial"/>
          <w:sz w:val="18"/>
          <w:szCs w:val="18"/>
          <w:u w:val="single" w:color="auto"/>
          <w:color w:val="0000EE"/>
        </w:rPr>
        <w:t xml:space="preserve"> </w:t>
      </w:r>
      <w:hyperlink r:id="rId186">
        <w:r>
          <w:rPr>
            <w:rFonts w:ascii="Arial" w:cs="Arial" w:eastAsia="Arial" w:hAnsi="Arial"/>
            <w:sz w:val="18"/>
            <w:szCs w:val="18"/>
            <w:u w:val="single" w:color="auto"/>
            <w:color w:val="0000EE"/>
          </w:rPr>
          <w:t>Exhibit 10.6 to Amendment to the Company’s Registration Statement on Form S-1 (No. 333-207393) filed</w:t>
        </w:r>
      </w:hyperlink>
      <w:r>
        <w:rPr>
          <w:rFonts w:ascii="Arial" w:cs="Arial" w:eastAsia="Arial" w:hAnsi="Arial"/>
          <w:sz w:val="18"/>
          <w:szCs w:val="18"/>
          <w:u w:val="single" w:color="auto"/>
          <w:color w:val="0000EE"/>
        </w:rPr>
        <w:t xml:space="preserve"> </w:t>
      </w:r>
      <w:hyperlink r:id="rId186">
        <w:r>
          <w:rPr>
            <w:rFonts w:ascii="Arial" w:cs="Arial" w:eastAsia="Arial" w:hAnsi="Arial"/>
            <w:sz w:val="18"/>
            <w:szCs w:val="18"/>
            <w:u w:val="single" w:color="auto"/>
            <w:color w:val="0000EE"/>
          </w:rPr>
          <w:t>October 30, 2015.)</w:t>
        </w:r>
      </w:hyperlink>
    </w:p>
    <w:p>
      <w:pPr>
        <w:spacing w:after="0" w:line="1" w:lineRule="exact"/>
        <w:rPr>
          <w:rFonts w:ascii="Arial" w:cs="Arial" w:eastAsia="Arial" w:hAnsi="Arial"/>
          <w:sz w:val="18"/>
          <w:szCs w:val="18"/>
          <w:u w:val="single" w:color="auto"/>
          <w:color w:val="0000EE"/>
        </w:rPr>
      </w:pPr>
    </w:p>
    <w:p>
      <w:pPr>
        <w:ind w:left="760" w:right="699" w:hanging="570"/>
        <w:spacing w:after="0" w:line="219" w:lineRule="auto"/>
        <w:tabs>
          <w:tab w:leader="none" w:pos="74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87">
        <w:r>
          <w:rPr>
            <w:rFonts w:ascii="Arial" w:cs="Arial" w:eastAsia="Arial" w:hAnsi="Arial"/>
            <w:sz w:val="18"/>
            <w:szCs w:val="18"/>
            <w:u w:val="single" w:color="auto"/>
            <w:color w:val="0000EE"/>
          </w:rPr>
          <w:t>Axsome Therapeutics, Inc. Form of Stock Option Agreement pursuant to the 2015 Omnibus Incentive</w:t>
        </w:r>
      </w:hyperlink>
      <w:r>
        <w:rPr>
          <w:rFonts w:ascii="Arial" w:cs="Arial" w:eastAsia="Arial" w:hAnsi="Arial"/>
          <w:sz w:val="18"/>
          <w:szCs w:val="18"/>
          <w:u w:val="single" w:color="auto"/>
          <w:color w:val="0000EE"/>
        </w:rPr>
        <w:t xml:space="preserve"> </w:t>
      </w:r>
      <w:hyperlink r:id="rId187">
        <w:r>
          <w:rPr>
            <w:rFonts w:ascii="Arial" w:cs="Arial" w:eastAsia="Arial" w:hAnsi="Arial"/>
            <w:sz w:val="18"/>
            <w:szCs w:val="18"/>
            <w:u w:val="single" w:color="auto"/>
            <w:color w:val="0000EE"/>
          </w:rPr>
          <w:t>Compensation Plan (Incorporated by reference, Exhibit 99.2 to the Company’s Registration Statement on</w:t>
        </w:r>
      </w:hyperlink>
      <w:r>
        <w:rPr>
          <w:rFonts w:ascii="Arial" w:cs="Arial" w:eastAsia="Arial" w:hAnsi="Arial"/>
          <w:sz w:val="18"/>
          <w:szCs w:val="18"/>
          <w:u w:val="single" w:color="auto"/>
          <w:color w:val="0000EE"/>
        </w:rPr>
        <w:t xml:space="preserve"> </w:t>
      </w:r>
      <w:hyperlink r:id="rId187">
        <w:r>
          <w:rPr>
            <w:rFonts w:ascii="Arial" w:cs="Arial" w:eastAsia="Arial" w:hAnsi="Arial"/>
            <w:sz w:val="18"/>
            <w:szCs w:val="18"/>
            <w:u w:val="single" w:color="auto"/>
            <w:color w:val="0000EE"/>
          </w:rPr>
          <w:t>Form S-8 (No. 333-208579) filed December 16, 2015.)</w:t>
        </w:r>
      </w:hyperlink>
    </w:p>
    <w:p>
      <w:pPr>
        <w:ind w:left="200"/>
        <w:spacing w:after="0"/>
        <w:tabs>
          <w:tab w:leader="none" w:pos="74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188">
        <w:r>
          <w:rPr>
            <w:rFonts w:ascii="Arial" w:cs="Arial" w:eastAsia="Arial" w:hAnsi="Arial"/>
            <w:sz w:val="16"/>
            <w:szCs w:val="16"/>
            <w:u w:val="single" w:color="auto"/>
            <w:color w:val="0000EE"/>
          </w:rPr>
          <w:t>License Agreement, dated January 12, 2012, by and between the Company and Antecip Bioventures</w:t>
        </w:r>
      </w:hyperlink>
    </w:p>
    <w:p>
      <w:pPr>
        <w:spacing w:after="0" w:line="1" w:lineRule="exact"/>
        <w:rPr>
          <w:rFonts w:ascii="Arial" w:cs="Arial" w:eastAsia="Arial" w:hAnsi="Arial"/>
          <w:sz w:val="18"/>
          <w:szCs w:val="18"/>
          <w:u w:val="single" w:color="auto"/>
          <w:color w:val="0000EE"/>
        </w:rPr>
      </w:pPr>
    </w:p>
    <w:p>
      <w:pPr>
        <w:ind w:left="760" w:right="899" w:hanging="5"/>
        <w:spacing w:after="0" w:line="246" w:lineRule="auto"/>
        <w:tabs>
          <w:tab w:leader="none" w:pos="925" w:val="left"/>
        </w:tabs>
        <w:numPr>
          <w:ilvl w:val="0"/>
          <w:numId w:val="64"/>
        </w:numPr>
        <w:rPr>
          <w:rFonts w:ascii="Arial" w:cs="Arial" w:eastAsia="Arial" w:hAnsi="Arial"/>
          <w:sz w:val="16"/>
          <w:szCs w:val="16"/>
          <w:u w:val="single" w:color="auto"/>
          <w:color w:val="0000EE"/>
        </w:rPr>
      </w:pPr>
      <w:hyperlink r:id="rId188">
        <w:r>
          <w:rPr>
            <w:rFonts w:ascii="Arial" w:cs="Arial" w:eastAsia="Arial" w:hAnsi="Arial"/>
            <w:sz w:val="16"/>
            <w:szCs w:val="16"/>
            <w:u w:val="single" w:color="auto"/>
            <w:color w:val="0000EE"/>
          </w:rPr>
          <w:t>LLC, as modified by the First Amendment to License Agreement, dated August 21, 2015, by and</w:t>
        </w:r>
      </w:hyperlink>
      <w:r>
        <w:rPr>
          <w:rFonts w:ascii="Arial" w:cs="Arial" w:eastAsia="Arial" w:hAnsi="Arial"/>
          <w:sz w:val="16"/>
          <w:szCs w:val="16"/>
          <w:u w:val="single" w:color="auto"/>
          <w:color w:val="0000EE"/>
        </w:rPr>
        <w:t xml:space="preserve"> </w:t>
      </w:r>
      <w:hyperlink r:id="rId188">
        <w:r>
          <w:rPr>
            <w:rFonts w:ascii="Arial" w:cs="Arial" w:eastAsia="Arial" w:hAnsi="Arial"/>
            <w:sz w:val="16"/>
            <w:szCs w:val="16"/>
            <w:u w:val="single" w:color="auto"/>
            <w:color w:val="0000EE"/>
          </w:rPr>
          <w:t>between the Company and Antecip Bioventures II LLC (Incorporated by reference, Exhibit 10.2 to the</w:t>
        </w:r>
      </w:hyperlink>
      <w:r>
        <w:rPr>
          <w:rFonts w:ascii="Arial" w:cs="Arial" w:eastAsia="Arial" w:hAnsi="Arial"/>
          <w:sz w:val="16"/>
          <w:szCs w:val="16"/>
          <w:u w:val="single" w:color="auto"/>
          <w:color w:val="0000EE"/>
        </w:rPr>
        <w:t xml:space="preserve"> </w:t>
      </w:r>
      <w:hyperlink r:id="rId188">
        <w:r>
          <w:rPr>
            <w:rFonts w:ascii="Arial" w:cs="Arial" w:eastAsia="Arial" w:hAnsi="Arial"/>
            <w:sz w:val="16"/>
            <w:szCs w:val="16"/>
            <w:u w:val="single" w:color="auto"/>
            <w:color w:val="0000EE"/>
          </w:rPr>
          <w:t>Company’s Registration Statement on Form S-1 (No. 333-207393) filed October 13, 2015.)</w:t>
        </w:r>
      </w:hyperlink>
    </w:p>
    <w:p>
      <w:pPr>
        <w:spacing w:after="0" w:line="1" w:lineRule="exact"/>
        <w:rPr>
          <w:rFonts w:ascii="Arial" w:cs="Arial" w:eastAsia="Arial" w:hAnsi="Arial"/>
          <w:sz w:val="16"/>
          <w:szCs w:val="16"/>
          <w:u w:val="single" w:color="auto"/>
          <w:color w:val="0000EE"/>
        </w:rPr>
      </w:pPr>
    </w:p>
    <w:p>
      <w:pPr>
        <w:ind w:left="760" w:right="639" w:hanging="558"/>
        <w:spacing w:after="0" w:line="232" w:lineRule="auto"/>
        <w:tabs>
          <w:tab w:leader="none" w:pos="740" w:val="left"/>
        </w:tabs>
        <w:rPr>
          <w:rFonts w:ascii="Arial" w:cs="Arial" w:eastAsia="Arial" w:hAnsi="Arial"/>
          <w:sz w:val="17"/>
          <w:szCs w:val="17"/>
          <w:u w:val="single" w:color="auto"/>
          <w:color w:val="0000EE"/>
        </w:rPr>
      </w:pPr>
      <w:r>
        <w:rPr>
          <w:rFonts w:ascii="Arial" w:cs="Arial" w:eastAsia="Arial" w:hAnsi="Arial"/>
          <w:sz w:val="18"/>
          <w:szCs w:val="18"/>
          <w:color w:val="auto"/>
        </w:rPr>
        <w:t>10.5*</w:t>
      </w:r>
      <w:r>
        <w:rPr>
          <w:sz w:val="20"/>
          <w:szCs w:val="20"/>
          <w:color w:val="auto"/>
        </w:rPr>
        <w:tab/>
      </w:r>
      <w:hyperlink r:id="rId189">
        <w:r>
          <w:rPr>
            <w:rFonts w:ascii="Arial" w:cs="Arial" w:eastAsia="Arial" w:hAnsi="Arial"/>
            <w:sz w:val="17"/>
            <w:szCs w:val="17"/>
            <w:u w:val="single" w:color="auto"/>
            <w:color w:val="0000EE"/>
          </w:rPr>
          <w:t>License Agreement, dated April 17, 2012, by and between the Company and Antecip Bioventures II LLC,</w:t>
        </w:r>
      </w:hyperlink>
      <w:r>
        <w:rPr>
          <w:rFonts w:ascii="Arial" w:cs="Arial" w:eastAsia="Arial" w:hAnsi="Arial"/>
          <w:sz w:val="17"/>
          <w:szCs w:val="17"/>
          <w:u w:val="single" w:color="auto"/>
          <w:color w:val="0000EE"/>
        </w:rPr>
        <w:t xml:space="preserve"> </w:t>
      </w:r>
      <w:hyperlink r:id="rId189">
        <w:r>
          <w:rPr>
            <w:rFonts w:ascii="Arial" w:cs="Arial" w:eastAsia="Arial" w:hAnsi="Arial"/>
            <w:sz w:val="17"/>
            <w:szCs w:val="17"/>
            <w:u w:val="single" w:color="auto"/>
            <w:color w:val="0000EE"/>
          </w:rPr>
          <w:t>as modified by the First Amendment to License Agreement, dated August 21, 2015, by and between the</w:t>
        </w:r>
      </w:hyperlink>
      <w:r>
        <w:rPr>
          <w:rFonts w:ascii="Arial" w:cs="Arial" w:eastAsia="Arial" w:hAnsi="Arial"/>
          <w:sz w:val="17"/>
          <w:szCs w:val="17"/>
          <w:u w:val="single" w:color="auto"/>
          <w:color w:val="0000EE"/>
        </w:rPr>
        <w:t xml:space="preserve"> </w:t>
      </w:r>
      <w:hyperlink r:id="rId189">
        <w:r>
          <w:rPr>
            <w:rFonts w:ascii="Arial" w:cs="Arial" w:eastAsia="Arial" w:hAnsi="Arial"/>
            <w:sz w:val="17"/>
            <w:szCs w:val="17"/>
            <w:u w:val="single" w:color="auto"/>
            <w:color w:val="0000EE"/>
          </w:rPr>
          <w:t>Company and Antecip Bioventures II LLC (Incorporated by reference, Exhibit 10.3 to the Company’s</w:t>
        </w:r>
      </w:hyperlink>
      <w:r>
        <w:rPr>
          <w:rFonts w:ascii="Arial" w:cs="Arial" w:eastAsia="Arial" w:hAnsi="Arial"/>
          <w:sz w:val="17"/>
          <w:szCs w:val="17"/>
          <w:u w:val="single" w:color="auto"/>
          <w:color w:val="0000EE"/>
        </w:rPr>
        <w:t xml:space="preserve"> </w:t>
      </w:r>
      <w:hyperlink r:id="rId189">
        <w:r>
          <w:rPr>
            <w:rFonts w:ascii="Arial" w:cs="Arial" w:eastAsia="Arial" w:hAnsi="Arial"/>
            <w:sz w:val="17"/>
            <w:szCs w:val="17"/>
            <w:u w:val="single" w:color="auto"/>
            <w:color w:val="0000EE"/>
          </w:rPr>
          <w:t>Registration Statement on Form S-1 (No. 333-207393) filed October 13, 2015.)</w:t>
        </w:r>
      </w:hyperlink>
    </w:p>
    <w:p>
      <w:pPr>
        <w:ind w:left="760" w:right="779" w:hanging="558"/>
        <w:spacing w:after="0" w:line="232" w:lineRule="auto"/>
        <w:tabs>
          <w:tab w:leader="none" w:pos="740" w:val="left"/>
        </w:tabs>
        <w:rPr>
          <w:rFonts w:ascii="Arial" w:cs="Arial" w:eastAsia="Arial" w:hAnsi="Arial"/>
          <w:sz w:val="17"/>
          <w:szCs w:val="17"/>
          <w:u w:val="single" w:color="auto"/>
          <w:color w:val="0000EE"/>
        </w:rPr>
      </w:pPr>
      <w:r>
        <w:rPr>
          <w:rFonts w:ascii="Arial" w:cs="Arial" w:eastAsia="Arial" w:hAnsi="Arial"/>
          <w:sz w:val="18"/>
          <w:szCs w:val="18"/>
          <w:color w:val="auto"/>
        </w:rPr>
        <w:t>10.6*</w:t>
      </w:r>
      <w:r>
        <w:rPr>
          <w:sz w:val="20"/>
          <w:szCs w:val="20"/>
          <w:color w:val="auto"/>
        </w:rPr>
        <w:tab/>
      </w:r>
      <w:hyperlink r:id="rId190">
        <w:r>
          <w:rPr>
            <w:rFonts w:ascii="Arial" w:cs="Arial" w:eastAsia="Arial" w:hAnsi="Arial"/>
            <w:sz w:val="17"/>
            <w:szCs w:val="17"/>
            <w:u w:val="single" w:color="auto"/>
            <w:color w:val="0000EE"/>
          </w:rPr>
          <w:t>License Agreement, dated June 6, 2012, by and between the Company and Antecip Bioventures II LLC,</w:t>
        </w:r>
      </w:hyperlink>
      <w:r>
        <w:rPr>
          <w:rFonts w:ascii="Arial" w:cs="Arial" w:eastAsia="Arial" w:hAnsi="Arial"/>
          <w:sz w:val="17"/>
          <w:szCs w:val="17"/>
          <w:u w:val="single" w:color="auto"/>
          <w:color w:val="0000EE"/>
        </w:rPr>
        <w:t xml:space="preserve"> </w:t>
      </w:r>
      <w:hyperlink r:id="rId190">
        <w:r>
          <w:rPr>
            <w:rFonts w:ascii="Arial" w:cs="Arial" w:eastAsia="Arial" w:hAnsi="Arial"/>
            <w:sz w:val="17"/>
            <w:szCs w:val="17"/>
            <w:u w:val="single" w:color="auto"/>
            <w:color w:val="0000EE"/>
          </w:rPr>
          <w:t>as modified by the First Amendment to License Agreement, dated August 21, 2015, by and between the</w:t>
        </w:r>
      </w:hyperlink>
      <w:r>
        <w:rPr>
          <w:rFonts w:ascii="Arial" w:cs="Arial" w:eastAsia="Arial" w:hAnsi="Arial"/>
          <w:sz w:val="17"/>
          <w:szCs w:val="17"/>
          <w:u w:val="single" w:color="auto"/>
          <w:color w:val="0000EE"/>
        </w:rPr>
        <w:t xml:space="preserve"> </w:t>
      </w:r>
      <w:hyperlink r:id="rId190">
        <w:r>
          <w:rPr>
            <w:rFonts w:ascii="Arial" w:cs="Arial" w:eastAsia="Arial" w:hAnsi="Arial"/>
            <w:sz w:val="17"/>
            <w:szCs w:val="17"/>
            <w:u w:val="single" w:color="auto"/>
            <w:color w:val="0000EE"/>
          </w:rPr>
          <w:t>Company and Antecip Bioventures II LLC (Incorporated by reference, Exhibit 10.4 to the Company’s</w:t>
        </w:r>
      </w:hyperlink>
      <w:r>
        <w:rPr>
          <w:rFonts w:ascii="Arial" w:cs="Arial" w:eastAsia="Arial" w:hAnsi="Arial"/>
          <w:sz w:val="17"/>
          <w:szCs w:val="17"/>
          <w:u w:val="single" w:color="auto"/>
          <w:color w:val="0000EE"/>
        </w:rPr>
        <w:t xml:space="preserve"> </w:t>
      </w:r>
      <w:hyperlink r:id="rId190">
        <w:r>
          <w:rPr>
            <w:rFonts w:ascii="Arial" w:cs="Arial" w:eastAsia="Arial" w:hAnsi="Arial"/>
            <w:sz w:val="17"/>
            <w:szCs w:val="17"/>
            <w:u w:val="single" w:color="auto"/>
            <w:color w:val="0000EE"/>
          </w:rPr>
          <w:t>Registration Statement on Form S-1 (No. 333-207393) filed October 13, 2015.)</w:t>
        </w:r>
      </w:hyperlink>
    </w:p>
    <w:p>
      <w:pPr>
        <w:ind w:left="760" w:right="699" w:hanging="570"/>
        <w:spacing w:after="0" w:line="232" w:lineRule="auto"/>
        <w:tabs>
          <w:tab w:leader="none" w:pos="740" w:val="left"/>
        </w:tabs>
        <w:rPr>
          <w:rFonts w:ascii="Arial" w:cs="Arial" w:eastAsia="Arial" w:hAnsi="Arial"/>
          <w:sz w:val="17"/>
          <w:szCs w:val="17"/>
          <w:u w:val="single" w:color="auto"/>
          <w:color w:val="0000EE"/>
        </w:rPr>
      </w:pPr>
      <w:r>
        <w:rPr>
          <w:rFonts w:ascii="Arial" w:cs="Arial" w:eastAsia="Arial" w:hAnsi="Arial"/>
          <w:sz w:val="18"/>
          <w:szCs w:val="18"/>
          <w:color w:val="auto"/>
        </w:rPr>
        <w:t>10.7+</w:t>
      </w:r>
      <w:r>
        <w:rPr>
          <w:sz w:val="20"/>
          <w:szCs w:val="20"/>
          <w:color w:val="auto"/>
        </w:rPr>
        <w:tab/>
      </w:r>
      <w:hyperlink r:id="rId191">
        <w:r>
          <w:rPr>
            <w:rFonts w:ascii="Arial" w:cs="Arial" w:eastAsia="Arial" w:hAnsi="Arial"/>
            <w:sz w:val="17"/>
            <w:szCs w:val="17"/>
            <w:u w:val="single" w:color="auto"/>
            <w:color w:val="0000EE"/>
          </w:rPr>
          <w:t>Consulting Agreement, dated April 13, 2012, by and between the Company and Mark Coleman, M.D., as</w:t>
        </w:r>
      </w:hyperlink>
      <w:r>
        <w:rPr>
          <w:rFonts w:ascii="Arial" w:cs="Arial" w:eastAsia="Arial" w:hAnsi="Arial"/>
          <w:sz w:val="17"/>
          <w:szCs w:val="17"/>
          <w:u w:val="single" w:color="auto"/>
          <w:color w:val="0000EE"/>
        </w:rPr>
        <w:t xml:space="preserve"> </w:t>
      </w:r>
      <w:hyperlink r:id="rId191">
        <w:r>
          <w:rPr>
            <w:rFonts w:ascii="Arial" w:cs="Arial" w:eastAsia="Arial" w:hAnsi="Arial"/>
            <w:sz w:val="17"/>
            <w:szCs w:val="17"/>
            <w:u w:val="single" w:color="auto"/>
            <w:color w:val="0000EE"/>
          </w:rPr>
          <w:t>modified by the First Amendment to Consulting Agreement, dated June 2, 2014, by and between the</w:t>
        </w:r>
      </w:hyperlink>
      <w:r>
        <w:rPr>
          <w:rFonts w:ascii="Arial" w:cs="Arial" w:eastAsia="Arial" w:hAnsi="Arial"/>
          <w:sz w:val="17"/>
          <w:szCs w:val="17"/>
          <w:u w:val="single" w:color="auto"/>
          <w:color w:val="0000EE"/>
        </w:rPr>
        <w:t xml:space="preserve"> </w:t>
      </w:r>
      <w:hyperlink r:id="rId191">
        <w:r>
          <w:rPr>
            <w:rFonts w:ascii="Arial" w:cs="Arial" w:eastAsia="Arial" w:hAnsi="Arial"/>
            <w:sz w:val="17"/>
            <w:szCs w:val="17"/>
            <w:u w:val="single" w:color="auto"/>
            <w:color w:val="0000EE"/>
          </w:rPr>
          <w:t>Company and Mark Coleman, M.D (Incorporated by reference, Exhibit 10.5 to the Company’s</w:t>
        </w:r>
      </w:hyperlink>
      <w:r>
        <w:rPr>
          <w:rFonts w:ascii="Arial" w:cs="Arial" w:eastAsia="Arial" w:hAnsi="Arial"/>
          <w:sz w:val="17"/>
          <w:szCs w:val="17"/>
          <w:u w:val="single" w:color="auto"/>
          <w:color w:val="0000EE"/>
        </w:rPr>
        <w:t xml:space="preserve"> </w:t>
      </w:r>
      <w:hyperlink r:id="rId191">
        <w:r>
          <w:rPr>
            <w:rFonts w:ascii="Arial" w:cs="Arial" w:eastAsia="Arial" w:hAnsi="Arial"/>
            <w:sz w:val="17"/>
            <w:szCs w:val="17"/>
            <w:u w:val="single" w:color="auto"/>
            <w:color w:val="0000EE"/>
          </w:rPr>
          <w:t>Registration Statement on Form S-1 (No. 333-207393) filed October 13, 2015.)</w:t>
        </w:r>
      </w:hyperlink>
    </w:p>
    <w:p>
      <w:pPr>
        <w:ind w:left="760" w:right="619" w:hanging="391"/>
        <w:spacing w:after="0" w:line="22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10.8 </w:t>
      </w:r>
      <w:hyperlink r:id="rId192">
        <w:r>
          <w:rPr>
            <w:rFonts w:ascii="Arial" w:cs="Arial" w:eastAsia="Arial" w:hAnsi="Arial"/>
            <w:sz w:val="18"/>
            <w:szCs w:val="18"/>
            <w:u w:val="single" w:color="auto"/>
            <w:color w:val="0000EE"/>
          </w:rPr>
          <w:t>Loan and Security Agreement, dated as of November 9, 2016, by and between Axsome Therapeutics, Inc.,</w:t>
        </w:r>
      </w:hyperlink>
      <w:r>
        <w:rPr>
          <w:rFonts w:ascii="Arial" w:cs="Arial" w:eastAsia="Arial" w:hAnsi="Arial"/>
          <w:sz w:val="18"/>
          <w:szCs w:val="18"/>
          <w:color w:val="auto"/>
        </w:rPr>
        <w:t xml:space="preserve"> </w:t>
      </w:r>
      <w:hyperlink r:id="rId192">
        <w:r>
          <w:rPr>
            <w:rFonts w:ascii="Arial" w:cs="Arial" w:eastAsia="Arial" w:hAnsi="Arial"/>
            <w:sz w:val="18"/>
            <w:szCs w:val="18"/>
            <w:u w:val="single" w:color="auto"/>
            <w:color w:val="0000EE"/>
          </w:rPr>
          <w:t>and Silicon Valley Bank (Incorporated by reference, Exhibit 10.1 to the Company’s Current Report on</w:t>
        </w:r>
      </w:hyperlink>
      <w:r>
        <w:rPr>
          <w:rFonts w:ascii="Arial" w:cs="Arial" w:eastAsia="Arial" w:hAnsi="Arial"/>
          <w:sz w:val="18"/>
          <w:szCs w:val="18"/>
          <w:u w:val="single" w:color="auto"/>
          <w:color w:val="0000EE"/>
        </w:rPr>
        <w:t xml:space="preserve"> </w:t>
      </w:r>
      <w:hyperlink r:id="rId192">
        <w:r>
          <w:rPr>
            <w:rFonts w:ascii="Arial" w:cs="Arial" w:eastAsia="Arial" w:hAnsi="Arial"/>
            <w:sz w:val="18"/>
            <w:szCs w:val="18"/>
            <w:u w:val="single" w:color="auto"/>
            <w:color w:val="0000EE"/>
          </w:rPr>
          <w:t>Form 8-K filed November 10, 2016.)</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575437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55" w:name="page156"/>
    <w:bookmarkEnd w:id="1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760" w:right="599" w:hanging="570"/>
        <w:spacing w:after="0" w:line="228" w:lineRule="auto"/>
        <w:tabs>
          <w:tab w:leader="none" w:pos="74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94">
        <w:r>
          <w:rPr>
            <w:rFonts w:ascii="Arial" w:cs="Arial" w:eastAsia="Arial" w:hAnsi="Arial"/>
            <w:sz w:val="18"/>
            <w:szCs w:val="18"/>
            <w:u w:val="single" w:color="auto"/>
            <w:color w:val="0000EE"/>
          </w:rPr>
          <w:t>John Golubieski Offer Letter, dated July 5, 2017 (Incoporated by reference, Exhibit 10.1 to the Company’s</w:t>
        </w:r>
      </w:hyperlink>
      <w:r>
        <w:rPr>
          <w:rFonts w:ascii="Arial" w:cs="Arial" w:eastAsia="Arial" w:hAnsi="Arial"/>
          <w:sz w:val="18"/>
          <w:szCs w:val="18"/>
          <w:u w:val="single" w:color="auto"/>
          <w:color w:val="0000EE"/>
        </w:rPr>
        <w:t xml:space="preserve"> </w:t>
      </w:r>
      <w:hyperlink r:id="rId194">
        <w:r>
          <w:rPr>
            <w:rFonts w:ascii="Arial" w:cs="Arial" w:eastAsia="Arial" w:hAnsi="Arial"/>
            <w:sz w:val="18"/>
            <w:szCs w:val="18"/>
            <w:u w:val="single" w:color="auto"/>
            <w:color w:val="0000EE"/>
          </w:rPr>
          <w:t>Quarterly Report on Form 10-Q filed August 9, 2017.)</w:t>
        </w:r>
      </w:hyperlink>
    </w:p>
    <w:p>
      <w:pPr>
        <w:spacing w:after="0" w:line="1" w:lineRule="exact"/>
        <w:rPr>
          <w:sz w:val="20"/>
          <w:szCs w:val="20"/>
          <w:color w:val="auto"/>
        </w:rPr>
      </w:pPr>
    </w:p>
    <w:p>
      <w:pPr>
        <w:jc w:val="both"/>
        <w:ind w:left="760" w:right="659" w:hanging="481"/>
        <w:spacing w:after="0" w:line="21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10.10 </w:t>
      </w:r>
      <w:hyperlink r:id="rId195">
        <w:r>
          <w:rPr>
            <w:rFonts w:ascii="Arial" w:cs="Arial" w:eastAsia="Arial" w:hAnsi="Arial"/>
            <w:sz w:val="18"/>
            <w:szCs w:val="18"/>
            <w:u w:val="single" w:color="auto"/>
            <w:color w:val="0000EE"/>
          </w:rPr>
          <w:t>Form of Purchase Agreement, dated as of November 30, 2017 among Axsome Therapeutics, Inc. and the</w:t>
        </w:r>
      </w:hyperlink>
      <w:r>
        <w:rPr>
          <w:rFonts w:ascii="Arial" w:cs="Arial" w:eastAsia="Arial" w:hAnsi="Arial"/>
          <w:sz w:val="18"/>
          <w:szCs w:val="18"/>
          <w:color w:val="auto"/>
        </w:rPr>
        <w:t xml:space="preserve"> </w:t>
      </w:r>
      <w:hyperlink r:id="rId195">
        <w:r>
          <w:rPr>
            <w:rFonts w:ascii="Arial" w:cs="Arial" w:eastAsia="Arial" w:hAnsi="Arial"/>
            <w:sz w:val="18"/>
            <w:szCs w:val="18"/>
            <w:u w:val="single" w:color="auto"/>
            <w:color w:val="0000EE"/>
          </w:rPr>
          <w:t>purchasers thereunder (Incorporated by reference, Exhibit 10.1 to the Company’s Current Report on Form</w:t>
        </w:r>
      </w:hyperlink>
      <w:r>
        <w:rPr>
          <w:rFonts w:ascii="Arial" w:cs="Arial" w:eastAsia="Arial" w:hAnsi="Arial"/>
          <w:sz w:val="18"/>
          <w:szCs w:val="18"/>
          <w:u w:val="single" w:color="auto"/>
          <w:color w:val="0000EE"/>
        </w:rPr>
        <w:t xml:space="preserve"> </w:t>
      </w:r>
      <w:hyperlink r:id="rId195">
        <w:r>
          <w:rPr>
            <w:rFonts w:ascii="Arial" w:cs="Arial" w:eastAsia="Arial" w:hAnsi="Arial"/>
            <w:sz w:val="18"/>
            <w:szCs w:val="18"/>
            <w:u w:val="single" w:color="auto"/>
            <w:color w:val="0000EE"/>
          </w:rPr>
          <w:t>8-K filed December 4, 2017.)</w:t>
        </w:r>
      </w:hyperlink>
    </w:p>
    <w:p>
      <w:pPr>
        <w:spacing w:after="0" w:line="1" w:lineRule="exact"/>
        <w:rPr>
          <w:rFonts w:ascii="Arial" w:cs="Arial" w:eastAsia="Arial" w:hAnsi="Arial"/>
          <w:sz w:val="18"/>
          <w:szCs w:val="18"/>
          <w:color w:val="auto"/>
        </w:rPr>
      </w:pPr>
    </w:p>
    <w:p>
      <w:pPr>
        <w:ind w:left="760" w:right="1019" w:hanging="391"/>
        <w:spacing w:after="0" w:line="21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21.1 </w:t>
      </w:r>
      <w:hyperlink r:id="rId196">
        <w:r>
          <w:rPr>
            <w:rFonts w:ascii="Arial" w:cs="Arial" w:eastAsia="Arial" w:hAnsi="Arial"/>
            <w:sz w:val="18"/>
            <w:szCs w:val="18"/>
            <w:u w:val="single" w:color="auto"/>
            <w:color w:val="0000EE"/>
          </w:rPr>
          <w:t>Subsidiaries of the Company (Incorporated by reference, Exhibit 21.1 to the Company’s Registration</w:t>
        </w:r>
      </w:hyperlink>
      <w:r>
        <w:rPr>
          <w:rFonts w:ascii="Arial" w:cs="Arial" w:eastAsia="Arial" w:hAnsi="Arial"/>
          <w:sz w:val="18"/>
          <w:szCs w:val="18"/>
          <w:color w:val="auto"/>
        </w:rPr>
        <w:t xml:space="preserve"> </w:t>
      </w:r>
      <w:hyperlink r:id="rId196">
        <w:r>
          <w:rPr>
            <w:rFonts w:ascii="Arial" w:cs="Arial" w:eastAsia="Arial" w:hAnsi="Arial"/>
            <w:sz w:val="18"/>
            <w:szCs w:val="18"/>
            <w:u w:val="single" w:color="auto"/>
            <w:color w:val="0000EE"/>
          </w:rPr>
          <w:t>Statement on Form S-1 (No. 333-207393) filed October 13, 2015.)</w:t>
        </w:r>
      </w:hyperlink>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23.1 </w:t>
      </w:r>
      <w:hyperlink w:anchor="page158">
        <w:r>
          <w:rPr>
            <w:rFonts w:ascii="Arial" w:cs="Arial" w:eastAsia="Arial" w:hAnsi="Arial"/>
            <w:sz w:val="18"/>
            <w:szCs w:val="18"/>
            <w:u w:val="single" w:color="auto"/>
            <w:color w:val="0000EE"/>
          </w:rPr>
          <w:t>Consent of Ernst &amp; Young LLP.</w:t>
        </w:r>
      </w:hyperlink>
    </w:p>
    <w:p>
      <w:pPr>
        <w:spacing w:after="0" w:line="9" w:lineRule="exact"/>
        <w:rPr>
          <w:sz w:val="20"/>
          <w:szCs w:val="20"/>
          <w:color w:val="auto"/>
        </w:rPr>
      </w:pPr>
    </w:p>
    <w:p>
      <w:pPr>
        <w:ind w:left="760" w:right="719" w:hanging="391"/>
        <w:spacing w:after="0" w:line="21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31.1 </w:t>
      </w:r>
      <w:hyperlink w:anchor="page159">
        <w:r>
          <w:rPr>
            <w:rFonts w:ascii="Arial" w:cs="Arial" w:eastAsia="Arial" w:hAnsi="Arial"/>
            <w:sz w:val="18"/>
            <w:szCs w:val="18"/>
            <w:u w:val="single" w:color="auto"/>
            <w:color w:val="0000EE"/>
          </w:rPr>
          <w:t>Certification of Principal Executive Officer pursuant to Rule 13a-14(a)/15d-14(a), as adopted pursuant to</w:t>
        </w:r>
      </w:hyperlink>
      <w:r>
        <w:rPr>
          <w:rFonts w:ascii="Arial" w:cs="Arial" w:eastAsia="Arial" w:hAnsi="Arial"/>
          <w:sz w:val="18"/>
          <w:szCs w:val="18"/>
          <w:color w:val="auto"/>
        </w:rPr>
        <w:t xml:space="preserve"> </w:t>
      </w:r>
      <w:hyperlink w:anchor="page159">
        <w:r>
          <w:rPr>
            <w:rFonts w:ascii="Arial" w:cs="Arial" w:eastAsia="Arial" w:hAnsi="Arial"/>
            <w:sz w:val="18"/>
            <w:szCs w:val="18"/>
            <w:u w:val="single" w:color="auto"/>
            <w:color w:val="0000EE"/>
          </w:rPr>
          <w:t>Section 302 of the Sarbanes-Oxley Act of 2002.</w:t>
        </w:r>
      </w:hyperlink>
    </w:p>
    <w:p>
      <w:pPr>
        <w:ind w:left="760" w:right="759" w:hanging="391"/>
        <w:spacing w:after="0" w:line="21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31.2 </w:t>
      </w:r>
      <w:hyperlink w:anchor="page160">
        <w:r>
          <w:rPr>
            <w:rFonts w:ascii="Arial" w:cs="Arial" w:eastAsia="Arial" w:hAnsi="Arial"/>
            <w:sz w:val="18"/>
            <w:szCs w:val="18"/>
            <w:u w:val="single" w:color="auto"/>
            <w:color w:val="0000EE"/>
          </w:rPr>
          <w:t>Certification of Principal Financial Officer pursuant to Rule 13a-14(a)/15d-14(a), as adopted pursuant to</w:t>
        </w:r>
      </w:hyperlink>
      <w:r>
        <w:rPr>
          <w:rFonts w:ascii="Arial" w:cs="Arial" w:eastAsia="Arial" w:hAnsi="Arial"/>
          <w:sz w:val="18"/>
          <w:szCs w:val="18"/>
          <w:color w:val="auto"/>
        </w:rPr>
        <w:t xml:space="preserve"> </w:t>
      </w:r>
      <w:hyperlink w:anchor="page160">
        <w:r>
          <w:rPr>
            <w:rFonts w:ascii="Arial" w:cs="Arial" w:eastAsia="Arial" w:hAnsi="Arial"/>
            <w:sz w:val="18"/>
            <w:szCs w:val="18"/>
            <w:u w:val="single" w:color="auto"/>
            <w:color w:val="0000EE"/>
          </w:rPr>
          <w:t>Section 302 of the Sarbanes-Oxley Act of 2002.</w:t>
        </w:r>
      </w:hyperlink>
    </w:p>
    <w:p>
      <w:pPr>
        <w:ind w:left="760" w:right="1359" w:hanging="391"/>
        <w:spacing w:after="0" w:line="21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32.1 </w:t>
      </w:r>
      <w:hyperlink w:anchor="page161">
        <w:r>
          <w:rPr>
            <w:rFonts w:ascii="Arial" w:cs="Arial" w:eastAsia="Arial" w:hAnsi="Arial"/>
            <w:sz w:val="18"/>
            <w:szCs w:val="18"/>
            <w:u w:val="single" w:color="auto"/>
            <w:color w:val="0000EE"/>
          </w:rPr>
          <w:t>Certification of Principal Executive Officer pursuant to 18 U.S.C. §1350, as adopted pursuant to</w:t>
        </w:r>
      </w:hyperlink>
      <w:r>
        <w:rPr>
          <w:rFonts w:ascii="Arial" w:cs="Arial" w:eastAsia="Arial" w:hAnsi="Arial"/>
          <w:sz w:val="18"/>
          <w:szCs w:val="18"/>
          <w:color w:val="auto"/>
        </w:rPr>
        <w:t xml:space="preserve"> </w:t>
      </w:r>
      <w:hyperlink w:anchor="page161">
        <w:r>
          <w:rPr>
            <w:rFonts w:ascii="Arial" w:cs="Arial" w:eastAsia="Arial" w:hAnsi="Arial"/>
            <w:sz w:val="18"/>
            <w:szCs w:val="18"/>
            <w:u w:val="single" w:color="auto"/>
            <w:color w:val="0000EE"/>
          </w:rPr>
          <w:t>Section 906 of the Sarbanes-Oxley Act of 2002 (furnished herewith).</w:t>
        </w:r>
      </w:hyperlink>
    </w:p>
    <w:p>
      <w:pPr>
        <w:ind w:left="760" w:right="1399" w:hanging="391"/>
        <w:spacing w:after="0" w:line="21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32.2 </w:t>
      </w:r>
      <w:hyperlink w:anchor="page162">
        <w:r>
          <w:rPr>
            <w:rFonts w:ascii="Arial" w:cs="Arial" w:eastAsia="Arial" w:hAnsi="Arial"/>
            <w:sz w:val="18"/>
            <w:szCs w:val="18"/>
            <w:u w:val="single" w:color="auto"/>
            <w:color w:val="0000EE"/>
          </w:rPr>
          <w:t>Certification of Principal Financial Officer pursuant to 18 U.S.C. §1350, as adopted pursuant to</w:t>
        </w:r>
      </w:hyperlink>
      <w:r>
        <w:rPr>
          <w:rFonts w:ascii="Arial" w:cs="Arial" w:eastAsia="Arial" w:hAnsi="Arial"/>
          <w:sz w:val="18"/>
          <w:szCs w:val="18"/>
          <w:color w:val="auto"/>
        </w:rPr>
        <w:t xml:space="preserve"> </w:t>
      </w:r>
      <w:hyperlink w:anchor="page162">
        <w:r>
          <w:rPr>
            <w:rFonts w:ascii="Arial" w:cs="Arial" w:eastAsia="Arial" w:hAnsi="Arial"/>
            <w:sz w:val="18"/>
            <w:szCs w:val="18"/>
            <w:u w:val="single" w:color="auto"/>
            <w:color w:val="0000EE"/>
          </w:rPr>
          <w:t>Section 906 of the Sarbanes-Oxley Act of 2002 (furnished herewith).</w:t>
        </w:r>
      </w:hyperlink>
    </w:p>
    <w:p>
      <w:pPr>
        <w:ind w:left="760" w:hanging="352"/>
        <w:spacing w:after="0" w:line="219" w:lineRule="auto"/>
        <w:tabs>
          <w:tab w:leader="none" w:pos="7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(i) Consolidated Balance Sheets,</w:t>
      </w:r>
    </w:p>
    <w:p>
      <w:pPr>
        <w:ind w:left="760" w:right="1019"/>
        <w:spacing w:after="0" w:line="233" w:lineRule="auto"/>
        <w:rPr>
          <w:rFonts w:ascii="Arial" w:cs="Arial" w:eastAsia="Arial" w:hAnsi="Arial"/>
          <w:sz w:val="18"/>
          <w:szCs w:val="18"/>
          <w:color w:val="auto"/>
        </w:rPr>
      </w:pPr>
      <w:r>
        <w:rPr>
          <w:rFonts w:ascii="Arial" w:cs="Arial" w:eastAsia="Arial" w:hAnsi="Arial"/>
          <w:sz w:val="18"/>
          <w:szCs w:val="18"/>
          <w:color w:val="auto"/>
        </w:rPr>
        <w:t>(ii) Consolidated Statements of Operations, (iii) Consolidated Statements of Cash Flows, and (iv) the Notes to Consolidated Financial Statements.</w:t>
      </w:r>
    </w:p>
    <w:p>
      <w:pPr>
        <w:spacing w:after="0" w:line="378" w:lineRule="exact"/>
        <w:rPr>
          <w:rFonts w:ascii="Arial" w:cs="Arial" w:eastAsia="Arial" w:hAnsi="Arial"/>
          <w:sz w:val="18"/>
          <w:szCs w:val="18"/>
          <w:color w:val="auto"/>
        </w:rPr>
      </w:pPr>
    </w:p>
    <w:p>
      <w:pPr>
        <w:ind w:left="640" w:hanging="637"/>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-190500</wp:posOffset>
            </wp:positionV>
            <wp:extent cx="144081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65" w:lineRule="exact"/>
        <w:rPr>
          <w:sz w:val="20"/>
          <w:szCs w:val="20"/>
          <w:color w:val="auto"/>
        </w:rPr>
      </w:pPr>
    </w:p>
    <w:p>
      <w:pPr>
        <w:ind w:left="660" w:right="119" w:hanging="657"/>
        <w:spacing w:after="0" w:line="235" w:lineRule="auto"/>
        <w:tabs>
          <w:tab w:leader="none" w:pos="642"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 Omitted portions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772160</wp:posOffset>
            </wp:positionV>
            <wp:extent cx="575437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56" w:name="page157"/>
    <w:bookmarkEnd w:id="1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on this 7</w:t>
      </w:r>
      <w:r>
        <w:rPr>
          <w:rFonts w:ascii="Arial" w:cs="Arial" w:eastAsia="Arial" w:hAnsi="Arial"/>
          <w:sz w:val="8"/>
          <w:szCs w:val="8"/>
          <w:color w:val="auto"/>
        </w:rPr>
        <w:t>th</w:t>
      </w:r>
      <w:r>
        <w:rPr>
          <w:rFonts w:ascii="Arial" w:cs="Arial" w:eastAsia="Arial" w:hAnsi="Arial"/>
          <w:sz w:val="18"/>
          <w:szCs w:val="18"/>
          <w:color w:val="auto"/>
        </w:rPr>
        <w:t xml:space="preserve"> day of March 2018.</w:t>
      </w:r>
    </w:p>
    <w:p>
      <w:pPr>
        <w:spacing w:after="0" w:line="17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AXSOME THERAPEUTICS, INC.</w:t>
      </w:r>
    </w:p>
    <w:p>
      <w:pPr>
        <w:spacing w:after="0" w:line="171" w:lineRule="exact"/>
        <w:rPr>
          <w:sz w:val="20"/>
          <w:szCs w:val="20"/>
          <w:color w:val="auto"/>
        </w:rPr>
      </w:pPr>
    </w:p>
    <w:p>
      <w:pPr>
        <w:ind w:left="4700"/>
        <w:spacing w:after="0"/>
        <w:tabs>
          <w:tab w:leader="none" w:pos="6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3260725</wp:posOffset>
            </wp:positionH>
            <wp:positionV relativeFrom="paragraph">
              <wp:posOffset>6350</wp:posOffset>
            </wp:positionV>
            <wp:extent cx="244411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Herriot Tabuteau, M.D.</w:t>
      </w:r>
    </w:p>
    <w:p>
      <w:pPr>
        <w:ind w:left="6220"/>
        <w:spacing w:after="0"/>
        <w:rPr>
          <w:sz w:val="20"/>
          <w:szCs w:val="20"/>
          <w:color w:val="auto"/>
        </w:rPr>
      </w:pPr>
      <w:r>
        <w:rPr>
          <w:rFonts w:ascii="Arial" w:cs="Arial" w:eastAsia="Arial" w:hAnsi="Arial"/>
          <w:sz w:val="18"/>
          <w:szCs w:val="18"/>
          <w:i w:val="1"/>
          <w:iCs w:val="1"/>
          <w:color w:val="auto"/>
        </w:rPr>
        <w:t>Chief Executive Officer</w:t>
      </w:r>
    </w:p>
    <w:p>
      <w:pPr>
        <w:spacing w:after="0" w:line="358"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by the following persons on behalf of the registrant and in the capacities and on the dates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Title</w:t>
            </w:r>
          </w:p>
        </w:tc>
        <w:tc>
          <w:tcPr>
            <w:tcW w:w="1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8"/>
              </w:rPr>
              <w:t>Date</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260" w:type="dxa"/>
            <w:vAlign w:val="bottom"/>
          </w:tcPr>
          <w:p>
            <w:pPr>
              <w:spacing w:after="0"/>
              <w:rPr>
                <w:sz w:val="24"/>
                <w:szCs w:val="24"/>
                <w:color w:val="auto"/>
              </w:rPr>
            </w:pPr>
          </w:p>
        </w:tc>
        <w:tc>
          <w:tcPr>
            <w:tcW w:w="34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1"/>
              </w:rPr>
              <w:t>/s/ Herriot Tabuteau, M.D.</w:t>
            </w:r>
          </w:p>
        </w:tc>
        <w:tc>
          <w:tcPr>
            <w:tcW w:w="40" w:type="dxa"/>
            <w:vAlign w:val="bottom"/>
          </w:tcPr>
          <w:p>
            <w:pPr>
              <w:spacing w:after="0"/>
              <w:rPr>
                <w:sz w:val="24"/>
                <w:szCs w:val="24"/>
                <w:color w:val="auto"/>
              </w:rPr>
            </w:pPr>
          </w:p>
        </w:tc>
        <w:tc>
          <w:tcPr>
            <w:tcW w:w="380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Chairman of the</w:t>
            </w:r>
          </w:p>
        </w:tc>
        <w:tc>
          <w:tcPr>
            <w:tcW w:w="1540" w:type="dxa"/>
            <w:vAlign w:val="bottom"/>
            <w:gridSpan w:val="3"/>
            <w:vMerge w:val="restart"/>
          </w:tcPr>
          <w:p>
            <w:pPr>
              <w:ind w:left="420"/>
              <w:spacing w:after="0"/>
              <w:rPr>
                <w:sz w:val="20"/>
                <w:szCs w:val="20"/>
                <w:color w:val="auto"/>
              </w:rPr>
            </w:pPr>
            <w:r>
              <w:rPr>
                <w:rFonts w:ascii="Arial" w:cs="Arial" w:eastAsia="Arial" w:hAnsi="Arial"/>
                <w:sz w:val="18"/>
                <w:szCs w:val="18"/>
                <w:color w:val="auto"/>
                <w:w w:val="95"/>
              </w:rPr>
              <w:t>March 7, 2018</w:t>
            </w:r>
          </w:p>
        </w:tc>
        <w:tc>
          <w:tcPr>
            <w:tcW w:w="0" w:type="dxa"/>
            <w:vAlign w:val="bottom"/>
          </w:tcPr>
          <w:p>
            <w:pPr>
              <w:spacing w:after="0"/>
              <w:rPr>
                <w:sz w:val="1"/>
                <w:szCs w:val="1"/>
                <w:color w:val="auto"/>
              </w:rPr>
            </w:pPr>
          </w:p>
        </w:tc>
      </w:tr>
      <w:tr>
        <w:trPr>
          <w:trHeight w:val="102"/>
        </w:trPr>
        <w:tc>
          <w:tcPr>
            <w:tcW w:w="260" w:type="dxa"/>
            <w:vAlign w:val="bottom"/>
          </w:tcPr>
          <w:p>
            <w:pPr>
              <w:spacing w:after="0"/>
              <w:rPr>
                <w:sz w:val="8"/>
                <w:szCs w:val="8"/>
                <w:color w:val="auto"/>
              </w:rPr>
            </w:pPr>
          </w:p>
        </w:tc>
        <w:tc>
          <w:tcPr>
            <w:tcW w:w="3420" w:type="dxa"/>
            <w:vAlign w:val="bottom"/>
            <w:gridSpan w:val="3"/>
            <w:vMerge w:val="restart"/>
          </w:tcPr>
          <w:p>
            <w:pPr>
              <w:jc w:val="center"/>
              <w:ind w:right="160"/>
              <w:spacing w:after="0"/>
              <w:rPr>
                <w:sz w:val="20"/>
                <w:szCs w:val="20"/>
                <w:color w:val="auto"/>
              </w:rPr>
            </w:pPr>
            <w:r>
              <w:rPr>
                <w:rFonts w:ascii="Arial" w:cs="Arial" w:eastAsia="Arial" w:hAnsi="Arial"/>
                <w:sz w:val="18"/>
                <w:szCs w:val="18"/>
                <w:color w:val="auto"/>
                <w:w w:val="92"/>
              </w:rPr>
              <w:t>Herriot Tabuteau, M.D.</w:t>
            </w:r>
          </w:p>
        </w:tc>
        <w:tc>
          <w:tcPr>
            <w:tcW w:w="40" w:type="dxa"/>
            <w:vAlign w:val="bottom"/>
          </w:tcPr>
          <w:p>
            <w:pPr>
              <w:spacing w:after="0"/>
              <w:rPr>
                <w:sz w:val="8"/>
                <w:szCs w:val="8"/>
                <w:color w:val="auto"/>
              </w:rPr>
            </w:pPr>
          </w:p>
        </w:tc>
        <w:tc>
          <w:tcPr>
            <w:tcW w:w="3800" w:type="dxa"/>
            <w:vAlign w:val="bottom"/>
            <w:gridSpan w:val="3"/>
            <w:vMerge w:val="restart"/>
          </w:tcPr>
          <w:p>
            <w:pPr>
              <w:ind w:left="120"/>
              <w:spacing w:after="0"/>
              <w:rPr>
                <w:sz w:val="20"/>
                <w:szCs w:val="20"/>
                <w:color w:val="auto"/>
              </w:rPr>
            </w:pPr>
            <w:r>
              <w:rPr>
                <w:rFonts w:ascii="Arial" w:cs="Arial" w:eastAsia="Arial" w:hAnsi="Arial"/>
                <w:sz w:val="18"/>
                <w:szCs w:val="18"/>
                <w:color w:val="auto"/>
              </w:rPr>
              <w:t>Board (Principal Executive Officer)</w:t>
            </w:r>
          </w:p>
        </w:tc>
        <w:tc>
          <w:tcPr>
            <w:tcW w:w="15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34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3800" w:type="dxa"/>
            <w:vAlign w:val="bottom"/>
            <w:gridSpan w:val="3"/>
            <w:vMerge w:val="continue"/>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6"/>
        </w:trPr>
        <w:tc>
          <w:tcPr>
            <w:tcW w:w="260" w:type="dxa"/>
            <w:vAlign w:val="bottom"/>
          </w:tcPr>
          <w:p>
            <w:pPr>
              <w:spacing w:after="0"/>
              <w:rPr>
                <w:sz w:val="24"/>
                <w:szCs w:val="24"/>
                <w:color w:val="auto"/>
              </w:rPr>
            </w:pPr>
          </w:p>
        </w:tc>
        <w:tc>
          <w:tcPr>
            <w:tcW w:w="34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0"/>
              </w:rPr>
              <w:t>/s/ John Golubieski</w:t>
            </w:r>
          </w:p>
        </w:tc>
        <w:tc>
          <w:tcPr>
            <w:tcW w:w="40" w:type="dxa"/>
            <w:vAlign w:val="bottom"/>
          </w:tcPr>
          <w:p>
            <w:pPr>
              <w:spacing w:after="0"/>
              <w:rPr>
                <w:sz w:val="24"/>
                <w:szCs w:val="24"/>
                <w:color w:val="auto"/>
              </w:rPr>
            </w:pPr>
          </w:p>
        </w:tc>
        <w:tc>
          <w:tcPr>
            <w:tcW w:w="380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1540" w:type="dxa"/>
            <w:vAlign w:val="bottom"/>
            <w:gridSpan w:val="3"/>
            <w:vMerge w:val="restart"/>
          </w:tcPr>
          <w:p>
            <w:pPr>
              <w:ind w:left="420"/>
              <w:spacing w:after="0"/>
              <w:rPr>
                <w:sz w:val="20"/>
                <w:szCs w:val="20"/>
                <w:color w:val="auto"/>
              </w:rPr>
            </w:pPr>
            <w:r>
              <w:rPr>
                <w:rFonts w:ascii="Arial" w:cs="Arial" w:eastAsia="Arial" w:hAnsi="Arial"/>
                <w:sz w:val="18"/>
                <w:szCs w:val="18"/>
                <w:color w:val="auto"/>
                <w:w w:val="95"/>
              </w:rPr>
              <w:t>March 7, 2018</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3420" w:type="dxa"/>
            <w:vAlign w:val="bottom"/>
            <w:gridSpan w:val="3"/>
            <w:vMerge w:val="restart"/>
          </w:tcPr>
          <w:p>
            <w:pPr>
              <w:jc w:val="center"/>
              <w:ind w:right="160"/>
              <w:spacing w:after="0"/>
              <w:rPr>
                <w:sz w:val="20"/>
                <w:szCs w:val="20"/>
                <w:color w:val="auto"/>
              </w:rPr>
            </w:pPr>
            <w:r>
              <w:rPr>
                <w:rFonts w:ascii="Arial" w:cs="Arial" w:eastAsia="Arial" w:hAnsi="Arial"/>
                <w:sz w:val="18"/>
                <w:szCs w:val="18"/>
                <w:color w:val="auto"/>
                <w:w w:val="92"/>
              </w:rPr>
              <w:t>John Golubieski</w:t>
            </w:r>
          </w:p>
        </w:tc>
        <w:tc>
          <w:tcPr>
            <w:tcW w:w="40" w:type="dxa"/>
            <w:vAlign w:val="bottom"/>
          </w:tcPr>
          <w:p>
            <w:pPr>
              <w:spacing w:after="0"/>
              <w:rPr>
                <w:sz w:val="10"/>
                <w:szCs w:val="10"/>
                <w:color w:val="auto"/>
              </w:rPr>
            </w:pPr>
          </w:p>
        </w:tc>
        <w:tc>
          <w:tcPr>
            <w:tcW w:w="3800" w:type="dxa"/>
            <w:vAlign w:val="bottom"/>
            <w:gridSpan w:val="3"/>
            <w:vMerge w:val="restart"/>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15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60" w:type="dxa"/>
            <w:vAlign w:val="bottom"/>
          </w:tcPr>
          <w:p>
            <w:pPr>
              <w:spacing w:after="0"/>
              <w:rPr>
                <w:sz w:val="9"/>
                <w:szCs w:val="9"/>
                <w:color w:val="auto"/>
              </w:rPr>
            </w:pPr>
          </w:p>
        </w:tc>
        <w:tc>
          <w:tcPr>
            <w:tcW w:w="342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3800" w:type="dxa"/>
            <w:vAlign w:val="bottom"/>
            <w:gridSpan w:val="3"/>
            <w:vMerge w:val="continue"/>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93"/>
        </w:trPr>
        <w:tc>
          <w:tcPr>
            <w:tcW w:w="260" w:type="dxa"/>
            <w:vAlign w:val="bottom"/>
          </w:tcPr>
          <w:p>
            <w:pPr>
              <w:spacing w:after="0"/>
              <w:rPr>
                <w:sz w:val="24"/>
                <w:szCs w:val="24"/>
                <w:color w:val="auto"/>
              </w:rPr>
            </w:pPr>
          </w:p>
        </w:tc>
        <w:tc>
          <w:tcPr>
            <w:tcW w:w="34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89"/>
              </w:rPr>
              <w:t>/s/ Roger Jeffs, Ph.D.</w:t>
            </w:r>
          </w:p>
        </w:tc>
        <w:tc>
          <w:tcPr>
            <w:tcW w:w="40" w:type="dxa"/>
            <w:vAlign w:val="bottom"/>
          </w:tcPr>
          <w:p>
            <w:pPr>
              <w:spacing w:after="0"/>
              <w:rPr>
                <w:sz w:val="24"/>
                <w:szCs w:val="24"/>
                <w:color w:val="auto"/>
              </w:rPr>
            </w:pPr>
          </w:p>
        </w:tc>
        <w:tc>
          <w:tcPr>
            <w:tcW w:w="3800" w:type="dxa"/>
            <w:vAlign w:val="bottom"/>
            <w:gridSpan w:val="3"/>
            <w:vMerge w:val="restart"/>
          </w:tcPr>
          <w:p>
            <w:pPr>
              <w:ind w:left="120"/>
              <w:spacing w:after="0"/>
              <w:rPr>
                <w:sz w:val="20"/>
                <w:szCs w:val="20"/>
                <w:color w:val="auto"/>
              </w:rPr>
            </w:pPr>
            <w:r>
              <w:rPr>
                <w:rFonts w:ascii="Arial" w:cs="Arial" w:eastAsia="Arial" w:hAnsi="Arial"/>
                <w:sz w:val="18"/>
                <w:szCs w:val="18"/>
                <w:color w:val="auto"/>
              </w:rPr>
              <w:t>Director</w:t>
            </w:r>
          </w:p>
        </w:tc>
        <w:tc>
          <w:tcPr>
            <w:tcW w:w="1540" w:type="dxa"/>
            <w:vAlign w:val="bottom"/>
            <w:gridSpan w:val="3"/>
            <w:vMerge w:val="restart"/>
          </w:tcPr>
          <w:p>
            <w:pPr>
              <w:ind w:left="420"/>
              <w:spacing w:after="0"/>
              <w:rPr>
                <w:sz w:val="20"/>
                <w:szCs w:val="20"/>
                <w:color w:val="auto"/>
              </w:rPr>
            </w:pPr>
            <w:r>
              <w:rPr>
                <w:rFonts w:ascii="Arial" w:cs="Arial" w:eastAsia="Arial" w:hAnsi="Arial"/>
                <w:sz w:val="18"/>
                <w:szCs w:val="18"/>
                <w:color w:val="auto"/>
                <w:w w:val="95"/>
              </w:rPr>
              <w:t>March 7, 2018</w:t>
            </w:r>
          </w:p>
        </w:tc>
        <w:tc>
          <w:tcPr>
            <w:tcW w:w="0" w:type="dxa"/>
            <w:vAlign w:val="bottom"/>
          </w:tcPr>
          <w:p>
            <w:pPr>
              <w:spacing w:after="0"/>
              <w:rPr>
                <w:sz w:val="1"/>
                <w:szCs w:val="1"/>
                <w:color w:val="auto"/>
              </w:rPr>
            </w:pPr>
          </w:p>
        </w:tc>
      </w:tr>
      <w:tr>
        <w:trPr>
          <w:trHeight w:val="102"/>
        </w:trPr>
        <w:tc>
          <w:tcPr>
            <w:tcW w:w="260" w:type="dxa"/>
            <w:vAlign w:val="bottom"/>
          </w:tcPr>
          <w:p>
            <w:pPr>
              <w:spacing w:after="0"/>
              <w:rPr>
                <w:sz w:val="8"/>
                <w:szCs w:val="8"/>
                <w:color w:val="auto"/>
              </w:rPr>
            </w:pPr>
          </w:p>
        </w:tc>
        <w:tc>
          <w:tcPr>
            <w:tcW w:w="3420" w:type="dxa"/>
            <w:vAlign w:val="bottom"/>
            <w:gridSpan w:val="3"/>
            <w:vMerge w:val="restart"/>
          </w:tcPr>
          <w:p>
            <w:pPr>
              <w:jc w:val="center"/>
              <w:ind w:right="180"/>
              <w:spacing w:after="0"/>
              <w:rPr>
                <w:sz w:val="20"/>
                <w:szCs w:val="20"/>
                <w:color w:val="auto"/>
              </w:rPr>
            </w:pPr>
            <w:r>
              <w:rPr>
                <w:rFonts w:ascii="Arial" w:cs="Arial" w:eastAsia="Arial" w:hAnsi="Arial"/>
                <w:sz w:val="18"/>
                <w:szCs w:val="18"/>
                <w:color w:val="auto"/>
                <w:w w:val="89"/>
              </w:rPr>
              <w:t>Roger Jeffs, Ph.D.</w:t>
            </w:r>
          </w:p>
        </w:tc>
        <w:tc>
          <w:tcPr>
            <w:tcW w:w="40" w:type="dxa"/>
            <w:vAlign w:val="bottom"/>
          </w:tcPr>
          <w:p>
            <w:pPr>
              <w:spacing w:after="0"/>
              <w:rPr>
                <w:sz w:val="8"/>
                <w:szCs w:val="8"/>
                <w:color w:val="auto"/>
              </w:rPr>
            </w:pPr>
          </w:p>
        </w:tc>
        <w:tc>
          <w:tcPr>
            <w:tcW w:w="3800" w:type="dxa"/>
            <w:vAlign w:val="bottom"/>
            <w:gridSpan w:val="3"/>
            <w:vMerge w:val="continue"/>
          </w:tcPr>
          <w:p>
            <w:pPr>
              <w:spacing w:after="0"/>
              <w:rPr>
                <w:sz w:val="8"/>
                <w:szCs w:val="8"/>
                <w:color w:val="auto"/>
              </w:rPr>
            </w:pPr>
          </w:p>
        </w:tc>
        <w:tc>
          <w:tcPr>
            <w:tcW w:w="15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34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2"/>
        </w:trPr>
        <w:tc>
          <w:tcPr>
            <w:tcW w:w="260" w:type="dxa"/>
            <w:vAlign w:val="bottom"/>
          </w:tcPr>
          <w:p>
            <w:pPr>
              <w:spacing w:after="0"/>
              <w:rPr>
                <w:sz w:val="24"/>
                <w:szCs w:val="24"/>
                <w:color w:val="auto"/>
              </w:rPr>
            </w:pPr>
          </w:p>
        </w:tc>
        <w:tc>
          <w:tcPr>
            <w:tcW w:w="34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4"/>
              </w:rPr>
              <w:t>/s/ Mark Coleman, M.D.</w:t>
            </w:r>
          </w:p>
        </w:tc>
        <w:tc>
          <w:tcPr>
            <w:tcW w:w="40" w:type="dxa"/>
            <w:vAlign w:val="bottom"/>
          </w:tcPr>
          <w:p>
            <w:pPr>
              <w:spacing w:after="0"/>
              <w:rPr>
                <w:sz w:val="24"/>
                <w:szCs w:val="24"/>
                <w:color w:val="auto"/>
              </w:rPr>
            </w:pPr>
          </w:p>
        </w:tc>
        <w:tc>
          <w:tcPr>
            <w:tcW w:w="3800" w:type="dxa"/>
            <w:vAlign w:val="bottom"/>
            <w:gridSpan w:val="3"/>
            <w:vMerge w:val="restart"/>
          </w:tcPr>
          <w:p>
            <w:pPr>
              <w:ind w:left="120"/>
              <w:spacing w:after="0"/>
              <w:rPr>
                <w:sz w:val="20"/>
                <w:szCs w:val="20"/>
                <w:color w:val="auto"/>
              </w:rPr>
            </w:pPr>
            <w:r>
              <w:rPr>
                <w:rFonts w:ascii="Arial" w:cs="Arial" w:eastAsia="Arial" w:hAnsi="Arial"/>
                <w:sz w:val="18"/>
                <w:szCs w:val="18"/>
                <w:color w:val="auto"/>
              </w:rPr>
              <w:t>Director</w:t>
            </w:r>
          </w:p>
        </w:tc>
        <w:tc>
          <w:tcPr>
            <w:tcW w:w="1540" w:type="dxa"/>
            <w:vAlign w:val="bottom"/>
            <w:gridSpan w:val="3"/>
            <w:vMerge w:val="restart"/>
          </w:tcPr>
          <w:p>
            <w:pPr>
              <w:ind w:left="420"/>
              <w:spacing w:after="0"/>
              <w:rPr>
                <w:sz w:val="20"/>
                <w:szCs w:val="20"/>
                <w:color w:val="auto"/>
              </w:rPr>
            </w:pPr>
            <w:r>
              <w:rPr>
                <w:rFonts w:ascii="Arial" w:cs="Arial" w:eastAsia="Arial" w:hAnsi="Arial"/>
                <w:sz w:val="18"/>
                <w:szCs w:val="18"/>
                <w:color w:val="auto"/>
                <w:w w:val="95"/>
              </w:rPr>
              <w:t>March 7, 2018</w:t>
            </w:r>
          </w:p>
        </w:tc>
        <w:tc>
          <w:tcPr>
            <w:tcW w:w="0" w:type="dxa"/>
            <w:vAlign w:val="bottom"/>
          </w:tcPr>
          <w:p>
            <w:pPr>
              <w:spacing w:after="0"/>
              <w:rPr>
                <w:sz w:val="1"/>
                <w:szCs w:val="1"/>
                <w:color w:val="auto"/>
              </w:rPr>
            </w:pPr>
          </w:p>
        </w:tc>
      </w:tr>
      <w:tr>
        <w:trPr>
          <w:trHeight w:val="102"/>
        </w:trPr>
        <w:tc>
          <w:tcPr>
            <w:tcW w:w="260" w:type="dxa"/>
            <w:vAlign w:val="bottom"/>
          </w:tcPr>
          <w:p>
            <w:pPr>
              <w:spacing w:after="0"/>
              <w:rPr>
                <w:sz w:val="8"/>
                <w:szCs w:val="8"/>
                <w:color w:val="auto"/>
              </w:rPr>
            </w:pPr>
          </w:p>
        </w:tc>
        <w:tc>
          <w:tcPr>
            <w:tcW w:w="3420" w:type="dxa"/>
            <w:vAlign w:val="bottom"/>
            <w:gridSpan w:val="3"/>
            <w:vMerge w:val="restart"/>
          </w:tcPr>
          <w:p>
            <w:pPr>
              <w:jc w:val="center"/>
              <w:ind w:right="180"/>
              <w:spacing w:after="0"/>
              <w:rPr>
                <w:sz w:val="20"/>
                <w:szCs w:val="20"/>
                <w:color w:val="auto"/>
              </w:rPr>
            </w:pPr>
            <w:r>
              <w:rPr>
                <w:rFonts w:ascii="Arial" w:cs="Arial" w:eastAsia="Arial" w:hAnsi="Arial"/>
                <w:sz w:val="18"/>
                <w:szCs w:val="18"/>
                <w:color w:val="auto"/>
                <w:w w:val="94"/>
              </w:rPr>
              <w:t>Mark Coleman, M.D.</w:t>
            </w:r>
          </w:p>
        </w:tc>
        <w:tc>
          <w:tcPr>
            <w:tcW w:w="40" w:type="dxa"/>
            <w:vAlign w:val="bottom"/>
          </w:tcPr>
          <w:p>
            <w:pPr>
              <w:spacing w:after="0"/>
              <w:rPr>
                <w:sz w:val="8"/>
                <w:szCs w:val="8"/>
                <w:color w:val="auto"/>
              </w:rPr>
            </w:pPr>
          </w:p>
        </w:tc>
        <w:tc>
          <w:tcPr>
            <w:tcW w:w="3800" w:type="dxa"/>
            <w:vAlign w:val="bottom"/>
            <w:gridSpan w:val="3"/>
            <w:vMerge w:val="continue"/>
          </w:tcPr>
          <w:p>
            <w:pPr>
              <w:spacing w:after="0"/>
              <w:rPr>
                <w:sz w:val="8"/>
                <w:szCs w:val="8"/>
                <w:color w:val="auto"/>
              </w:rPr>
            </w:pPr>
          </w:p>
        </w:tc>
        <w:tc>
          <w:tcPr>
            <w:tcW w:w="15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34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5"/>
        </w:trPr>
        <w:tc>
          <w:tcPr>
            <w:tcW w:w="260" w:type="dxa"/>
            <w:vAlign w:val="bottom"/>
          </w:tcPr>
          <w:p>
            <w:pPr>
              <w:spacing w:after="0"/>
              <w:rPr>
                <w:sz w:val="24"/>
                <w:szCs w:val="24"/>
                <w:color w:val="auto"/>
              </w:rPr>
            </w:pPr>
          </w:p>
        </w:tc>
        <w:tc>
          <w:tcPr>
            <w:tcW w:w="34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90"/>
              </w:rPr>
              <w:t>/s/ Mark Saad</w:t>
            </w:r>
          </w:p>
        </w:tc>
        <w:tc>
          <w:tcPr>
            <w:tcW w:w="40" w:type="dxa"/>
            <w:vAlign w:val="bottom"/>
          </w:tcPr>
          <w:p>
            <w:pPr>
              <w:spacing w:after="0"/>
              <w:rPr>
                <w:sz w:val="24"/>
                <w:szCs w:val="24"/>
                <w:color w:val="auto"/>
              </w:rPr>
            </w:pPr>
          </w:p>
        </w:tc>
        <w:tc>
          <w:tcPr>
            <w:tcW w:w="3800" w:type="dxa"/>
            <w:vAlign w:val="bottom"/>
            <w:gridSpan w:val="3"/>
            <w:vMerge w:val="restart"/>
          </w:tcPr>
          <w:p>
            <w:pPr>
              <w:ind w:left="120"/>
              <w:spacing w:after="0"/>
              <w:rPr>
                <w:sz w:val="20"/>
                <w:szCs w:val="20"/>
                <w:color w:val="auto"/>
              </w:rPr>
            </w:pPr>
            <w:r>
              <w:rPr>
                <w:rFonts w:ascii="Arial" w:cs="Arial" w:eastAsia="Arial" w:hAnsi="Arial"/>
                <w:sz w:val="18"/>
                <w:szCs w:val="18"/>
                <w:color w:val="auto"/>
              </w:rPr>
              <w:t>Director</w:t>
            </w:r>
          </w:p>
        </w:tc>
        <w:tc>
          <w:tcPr>
            <w:tcW w:w="1540" w:type="dxa"/>
            <w:vAlign w:val="bottom"/>
            <w:gridSpan w:val="3"/>
            <w:vMerge w:val="restart"/>
          </w:tcPr>
          <w:p>
            <w:pPr>
              <w:ind w:left="420"/>
              <w:spacing w:after="0"/>
              <w:rPr>
                <w:sz w:val="20"/>
                <w:szCs w:val="20"/>
                <w:color w:val="auto"/>
              </w:rPr>
            </w:pPr>
            <w:r>
              <w:rPr>
                <w:rFonts w:ascii="Arial" w:cs="Arial" w:eastAsia="Arial" w:hAnsi="Arial"/>
                <w:sz w:val="18"/>
                <w:szCs w:val="18"/>
                <w:color w:val="auto"/>
                <w:w w:val="95"/>
              </w:rPr>
              <w:t>March 7, 2018</w:t>
            </w:r>
          </w:p>
        </w:tc>
        <w:tc>
          <w:tcPr>
            <w:tcW w:w="0" w:type="dxa"/>
            <w:vAlign w:val="bottom"/>
          </w:tcPr>
          <w:p>
            <w:pPr>
              <w:spacing w:after="0"/>
              <w:rPr>
                <w:sz w:val="1"/>
                <w:szCs w:val="1"/>
                <w:color w:val="auto"/>
              </w:rPr>
            </w:pPr>
          </w:p>
        </w:tc>
      </w:tr>
      <w:tr>
        <w:trPr>
          <w:trHeight w:val="102"/>
        </w:trPr>
        <w:tc>
          <w:tcPr>
            <w:tcW w:w="260" w:type="dxa"/>
            <w:vAlign w:val="bottom"/>
          </w:tcPr>
          <w:p>
            <w:pPr>
              <w:spacing w:after="0"/>
              <w:rPr>
                <w:sz w:val="8"/>
                <w:szCs w:val="8"/>
                <w:color w:val="auto"/>
              </w:rPr>
            </w:pPr>
          </w:p>
        </w:tc>
        <w:tc>
          <w:tcPr>
            <w:tcW w:w="3420" w:type="dxa"/>
            <w:vAlign w:val="bottom"/>
            <w:gridSpan w:val="3"/>
            <w:vMerge w:val="restart"/>
          </w:tcPr>
          <w:p>
            <w:pPr>
              <w:jc w:val="center"/>
              <w:ind w:right="160"/>
              <w:spacing w:after="0"/>
              <w:rPr>
                <w:sz w:val="20"/>
                <w:szCs w:val="20"/>
                <w:color w:val="auto"/>
              </w:rPr>
            </w:pPr>
            <w:r>
              <w:rPr>
                <w:rFonts w:ascii="Arial" w:cs="Arial" w:eastAsia="Arial" w:hAnsi="Arial"/>
                <w:sz w:val="18"/>
                <w:szCs w:val="18"/>
                <w:color w:val="auto"/>
                <w:w w:val="89"/>
              </w:rPr>
              <w:t>Mark Saad</w:t>
            </w:r>
          </w:p>
        </w:tc>
        <w:tc>
          <w:tcPr>
            <w:tcW w:w="40" w:type="dxa"/>
            <w:vAlign w:val="bottom"/>
          </w:tcPr>
          <w:p>
            <w:pPr>
              <w:spacing w:after="0"/>
              <w:rPr>
                <w:sz w:val="8"/>
                <w:szCs w:val="8"/>
                <w:color w:val="auto"/>
              </w:rPr>
            </w:pPr>
          </w:p>
        </w:tc>
        <w:tc>
          <w:tcPr>
            <w:tcW w:w="3800" w:type="dxa"/>
            <w:vAlign w:val="bottom"/>
            <w:gridSpan w:val="3"/>
            <w:vMerge w:val="continue"/>
          </w:tcPr>
          <w:p>
            <w:pPr>
              <w:spacing w:after="0"/>
              <w:rPr>
                <w:sz w:val="8"/>
                <w:szCs w:val="8"/>
                <w:color w:val="auto"/>
              </w:rPr>
            </w:pPr>
          </w:p>
        </w:tc>
        <w:tc>
          <w:tcPr>
            <w:tcW w:w="15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34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2"/>
        </w:trPr>
        <w:tc>
          <w:tcPr>
            <w:tcW w:w="260" w:type="dxa"/>
            <w:vAlign w:val="bottom"/>
          </w:tcPr>
          <w:p>
            <w:pPr>
              <w:spacing w:after="0"/>
              <w:rPr>
                <w:sz w:val="24"/>
                <w:szCs w:val="24"/>
                <w:color w:val="auto"/>
              </w:rPr>
            </w:pPr>
          </w:p>
        </w:tc>
        <w:tc>
          <w:tcPr>
            <w:tcW w:w="34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93"/>
              </w:rPr>
              <w:t>/s/ Myrtle Potter</w:t>
            </w:r>
          </w:p>
        </w:tc>
        <w:tc>
          <w:tcPr>
            <w:tcW w:w="40" w:type="dxa"/>
            <w:vAlign w:val="bottom"/>
            <w:tcBorders>
              <w:bottom w:val="single" w:sz="8" w:color="auto"/>
            </w:tcBorders>
          </w:tcPr>
          <w:p>
            <w:pPr>
              <w:spacing w:after="0"/>
              <w:rPr>
                <w:sz w:val="24"/>
                <w:szCs w:val="24"/>
                <w:color w:val="auto"/>
              </w:rPr>
            </w:pPr>
          </w:p>
        </w:tc>
        <w:tc>
          <w:tcPr>
            <w:tcW w:w="3800" w:type="dxa"/>
            <w:vAlign w:val="bottom"/>
            <w:gridSpan w:val="3"/>
            <w:vMerge w:val="restart"/>
          </w:tcPr>
          <w:p>
            <w:pPr>
              <w:ind w:left="160"/>
              <w:spacing w:after="0"/>
              <w:rPr>
                <w:sz w:val="20"/>
                <w:szCs w:val="20"/>
                <w:color w:val="auto"/>
              </w:rPr>
            </w:pPr>
            <w:r>
              <w:rPr>
                <w:rFonts w:ascii="Arial" w:cs="Arial" w:eastAsia="Arial" w:hAnsi="Arial"/>
                <w:sz w:val="18"/>
                <w:szCs w:val="18"/>
                <w:color w:val="auto"/>
              </w:rPr>
              <w:t>Director</w:t>
            </w:r>
          </w:p>
        </w:tc>
        <w:tc>
          <w:tcPr>
            <w:tcW w:w="1540" w:type="dxa"/>
            <w:vAlign w:val="bottom"/>
            <w:gridSpan w:val="3"/>
            <w:vMerge w:val="restart"/>
          </w:tcPr>
          <w:p>
            <w:pPr>
              <w:ind w:left="440"/>
              <w:spacing w:after="0"/>
              <w:rPr>
                <w:sz w:val="20"/>
                <w:szCs w:val="20"/>
                <w:color w:val="auto"/>
              </w:rPr>
            </w:pPr>
            <w:r>
              <w:rPr>
                <w:rFonts w:ascii="Arial" w:cs="Arial" w:eastAsia="Arial" w:hAnsi="Arial"/>
                <w:sz w:val="18"/>
                <w:szCs w:val="18"/>
                <w:color w:val="auto"/>
                <w:w w:val="93"/>
              </w:rPr>
              <w:t>March 7, 2018</w:t>
            </w:r>
          </w:p>
        </w:tc>
        <w:tc>
          <w:tcPr>
            <w:tcW w:w="0" w:type="dxa"/>
            <w:vAlign w:val="bottom"/>
          </w:tcPr>
          <w:p>
            <w:pPr>
              <w:spacing w:after="0"/>
              <w:rPr>
                <w:sz w:val="1"/>
                <w:szCs w:val="1"/>
                <w:color w:val="auto"/>
              </w:rPr>
            </w:pPr>
          </w:p>
        </w:tc>
      </w:tr>
      <w:tr>
        <w:trPr>
          <w:trHeight w:val="102"/>
        </w:trPr>
        <w:tc>
          <w:tcPr>
            <w:tcW w:w="260" w:type="dxa"/>
            <w:vAlign w:val="bottom"/>
          </w:tcPr>
          <w:p>
            <w:pPr>
              <w:spacing w:after="0"/>
              <w:rPr>
                <w:sz w:val="8"/>
                <w:szCs w:val="8"/>
                <w:color w:val="auto"/>
              </w:rPr>
            </w:pPr>
          </w:p>
        </w:tc>
        <w:tc>
          <w:tcPr>
            <w:tcW w:w="3420" w:type="dxa"/>
            <w:vAlign w:val="bottom"/>
            <w:gridSpan w:val="3"/>
            <w:vMerge w:val="restart"/>
          </w:tcPr>
          <w:p>
            <w:pPr>
              <w:jc w:val="center"/>
              <w:ind w:right="140"/>
              <w:spacing w:after="0"/>
              <w:rPr>
                <w:sz w:val="20"/>
                <w:szCs w:val="20"/>
                <w:color w:val="auto"/>
              </w:rPr>
            </w:pPr>
            <w:r>
              <w:rPr>
                <w:rFonts w:ascii="Arial" w:cs="Arial" w:eastAsia="Arial" w:hAnsi="Arial"/>
                <w:sz w:val="18"/>
                <w:szCs w:val="18"/>
                <w:color w:val="auto"/>
                <w:w w:val="94"/>
              </w:rPr>
              <w:t>Myrtle Potter</w:t>
            </w:r>
          </w:p>
        </w:tc>
        <w:tc>
          <w:tcPr>
            <w:tcW w:w="40" w:type="dxa"/>
            <w:vAlign w:val="bottom"/>
          </w:tcPr>
          <w:p>
            <w:pPr>
              <w:spacing w:after="0"/>
              <w:rPr>
                <w:sz w:val="8"/>
                <w:szCs w:val="8"/>
                <w:color w:val="auto"/>
              </w:rPr>
            </w:pPr>
          </w:p>
        </w:tc>
        <w:tc>
          <w:tcPr>
            <w:tcW w:w="3800" w:type="dxa"/>
            <w:vAlign w:val="bottom"/>
            <w:gridSpan w:val="3"/>
            <w:vMerge w:val="continue"/>
          </w:tcPr>
          <w:p>
            <w:pPr>
              <w:spacing w:after="0"/>
              <w:rPr>
                <w:sz w:val="8"/>
                <w:szCs w:val="8"/>
                <w:color w:val="auto"/>
              </w:rPr>
            </w:pPr>
          </w:p>
        </w:tc>
        <w:tc>
          <w:tcPr>
            <w:tcW w:w="15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34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1"/>
        </w:trPr>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157" w:name="page158"/>
    <w:bookmarkEnd w:id="157"/>
    <w:p>
      <w:pPr>
        <w:ind w:left="7840"/>
        <w:spacing w:after="0"/>
        <w:rPr>
          <w:sz w:val="20"/>
          <w:szCs w:val="20"/>
          <w:color w:val="auto"/>
        </w:rPr>
      </w:pPr>
      <w:r>
        <w:rPr>
          <w:rFonts w:ascii="Arial" w:cs="Arial" w:eastAsia="Arial" w:hAnsi="Arial"/>
          <w:sz w:val="21"/>
          <w:szCs w:val="21"/>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760" w:firstLine="1772"/>
        <w:spacing w:after="0" w:line="478" w:lineRule="auto"/>
        <w:rPr>
          <w:sz w:val="20"/>
          <w:szCs w:val="20"/>
          <w:color w:val="auto"/>
        </w:rPr>
      </w:pPr>
      <w:r>
        <w:rPr>
          <w:rFonts w:ascii="Arial" w:cs="Arial" w:eastAsia="Arial" w:hAnsi="Arial"/>
          <w:sz w:val="19"/>
          <w:szCs w:val="19"/>
          <w:b w:val="1"/>
          <w:bCs w:val="1"/>
          <w:color w:val="auto"/>
        </w:rPr>
        <w:t xml:space="preserve">Consent of Independent Registered Public Accounting Firm </w:t>
      </w:r>
      <w:r>
        <w:rPr>
          <w:rFonts w:ascii="Arial" w:cs="Arial" w:eastAsia="Arial" w:hAnsi="Arial"/>
          <w:sz w:val="19"/>
          <w:szCs w:val="19"/>
          <w:color w:val="auto"/>
        </w:rPr>
        <w:t>We consent to the incorporation by reference in the Registration Statements:</w:t>
      </w:r>
    </w:p>
    <w:p>
      <w:pPr>
        <w:ind w:left="660" w:hanging="333"/>
        <w:spacing w:after="0" w:line="213" w:lineRule="auto"/>
        <w:tabs>
          <w:tab w:leader="none" w:pos="660" w:val="left"/>
        </w:tabs>
        <w:numPr>
          <w:ilvl w:val="0"/>
          <w:numId w:val="67"/>
        </w:numPr>
        <w:rPr>
          <w:rFonts w:ascii="Arial" w:cs="Arial" w:eastAsia="Arial" w:hAnsi="Arial"/>
          <w:sz w:val="22"/>
          <w:szCs w:val="22"/>
          <w:color w:val="auto"/>
        </w:rPr>
      </w:pPr>
      <w:r>
        <w:rPr>
          <w:rFonts w:ascii="Arial" w:cs="Arial" w:eastAsia="Arial" w:hAnsi="Arial"/>
          <w:sz w:val="22"/>
          <w:szCs w:val="22"/>
          <w:color w:val="auto"/>
        </w:rPr>
        <w:t>Registration Statement (Form S-8 No. 333-217002) pertaining to the Axsome Therapeutics, Inc. 2015 Omnibus Incentive Compensation Plan,</w:t>
      </w:r>
    </w:p>
    <w:p>
      <w:pPr>
        <w:spacing w:after="0" w:line="1" w:lineRule="exact"/>
        <w:rPr>
          <w:rFonts w:ascii="Arial" w:cs="Arial" w:eastAsia="Arial" w:hAnsi="Arial"/>
          <w:sz w:val="22"/>
          <w:szCs w:val="22"/>
          <w:color w:val="auto"/>
        </w:rPr>
      </w:pPr>
    </w:p>
    <w:p>
      <w:pPr>
        <w:ind w:left="660" w:hanging="333"/>
        <w:spacing w:after="0" w:line="205" w:lineRule="auto"/>
        <w:tabs>
          <w:tab w:leader="none" w:pos="660" w:val="left"/>
        </w:tabs>
        <w:numPr>
          <w:ilvl w:val="0"/>
          <w:numId w:val="67"/>
        </w:numPr>
        <w:rPr>
          <w:rFonts w:ascii="Arial" w:cs="Arial" w:eastAsia="Arial" w:hAnsi="Arial"/>
          <w:sz w:val="22"/>
          <w:szCs w:val="22"/>
          <w:color w:val="auto"/>
        </w:rPr>
      </w:pPr>
      <w:r>
        <w:rPr>
          <w:rFonts w:ascii="Arial" w:cs="Arial" w:eastAsia="Arial" w:hAnsi="Arial"/>
          <w:sz w:val="22"/>
          <w:szCs w:val="22"/>
          <w:color w:val="auto"/>
        </w:rPr>
        <w:t>Registration Statement (Form S-8 No. 333-208579) pertaining to the Axsome Therapeutics, Inc. 2015 Omnibus Incentive Compensation Plan, and</w:t>
      </w:r>
    </w:p>
    <w:p>
      <w:pPr>
        <w:ind w:left="660" w:hanging="333"/>
        <w:spacing w:after="0" w:line="224" w:lineRule="auto"/>
        <w:tabs>
          <w:tab w:leader="none" w:pos="660" w:val="left"/>
        </w:tabs>
        <w:numPr>
          <w:ilvl w:val="0"/>
          <w:numId w:val="67"/>
        </w:numPr>
        <w:rPr>
          <w:rFonts w:ascii="Arial" w:cs="Arial" w:eastAsia="Arial" w:hAnsi="Arial"/>
          <w:sz w:val="22"/>
          <w:szCs w:val="22"/>
          <w:color w:val="auto"/>
        </w:rPr>
      </w:pPr>
      <w:r>
        <w:rPr>
          <w:rFonts w:ascii="Arial" w:cs="Arial" w:eastAsia="Arial" w:hAnsi="Arial"/>
          <w:sz w:val="22"/>
          <w:szCs w:val="22"/>
          <w:color w:val="auto"/>
        </w:rPr>
        <w:t>Registration Statement (Form S-3 No. 333-214859) of Axsome Therapeutics, Inc. and in the related Prospectus;</w:t>
      </w:r>
    </w:p>
    <w:p>
      <w:pPr>
        <w:spacing w:after="0" w:line="158"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of our report dated March 7, 2018, with respect to the consolidated financial statements of Axsome Therapeutics, Inc. included in this Annual Report (Form 10-K) of Axsome Therapeutics, Inc. for the year ended December 31, 2017.</w:t>
      </w:r>
    </w:p>
    <w:p>
      <w:pPr>
        <w:spacing w:after="0" w:line="38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Ernst &amp; Young LLP</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New York, NY</w:t>
      </w:r>
    </w:p>
    <w:p>
      <w:pPr>
        <w:spacing w:after="0"/>
        <w:rPr>
          <w:sz w:val="20"/>
          <w:szCs w:val="20"/>
          <w:color w:val="auto"/>
        </w:rPr>
      </w:pPr>
      <w:r>
        <w:rPr>
          <w:rFonts w:ascii="Arial" w:cs="Arial" w:eastAsia="Arial" w:hAnsi="Arial"/>
          <w:sz w:val="22"/>
          <w:szCs w:val="22"/>
          <w:color w:val="auto"/>
        </w:rPr>
        <w:t>March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575437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8" w:right="141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Herriot Tabuteau, certify that:</w:t>
      </w:r>
    </w:p>
    <w:p>
      <w:pPr>
        <w:spacing w:after="0" w:line="144" w:lineRule="exact"/>
        <w:rPr>
          <w:sz w:val="20"/>
          <w:szCs w:val="20"/>
          <w:color w:val="auto"/>
        </w:rPr>
      </w:pPr>
    </w:p>
    <w:p>
      <w:pPr>
        <w:ind w:left="300" w:hanging="297"/>
        <w:spacing w:after="0"/>
        <w:tabs>
          <w:tab w:leader="none" w:pos="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Axsome Therapeutics, Inc.;</w:t>
      </w:r>
    </w:p>
    <w:p>
      <w:pPr>
        <w:spacing w:after="0" w:line="144" w:lineRule="exact"/>
        <w:rPr>
          <w:rFonts w:ascii="Arial" w:cs="Arial" w:eastAsia="Arial" w:hAnsi="Arial"/>
          <w:sz w:val="18"/>
          <w:szCs w:val="18"/>
          <w:color w:val="auto"/>
        </w:rPr>
      </w:pPr>
    </w:p>
    <w:p>
      <w:pPr>
        <w:jc w:val="both"/>
        <w:ind w:left="280" w:right="240" w:hanging="277"/>
        <w:spacing w:after="0" w:line="224" w:lineRule="auto"/>
        <w:tabs>
          <w:tab w:leader="none" w:pos="296"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280" w:right="20" w:hanging="277"/>
        <w:spacing w:after="0" w:line="224" w:lineRule="auto"/>
        <w:tabs>
          <w:tab w:leader="none" w:pos="296"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280" w:right="140" w:hanging="277"/>
        <w:spacing w:after="0" w:line="238" w:lineRule="auto"/>
        <w:tabs>
          <w:tab w:leader="none" w:pos="305"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660" w:right="40" w:hanging="387"/>
        <w:spacing w:after="0" w:line="219" w:lineRule="auto"/>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20" w:hanging="387"/>
        <w:spacing w:after="0" w:line="219" w:lineRule="auto"/>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40" w:hanging="385"/>
        <w:spacing w:after="0" w:line="224" w:lineRule="auto"/>
        <w:tabs>
          <w:tab w:leader="none" w:pos="681" w:val="left"/>
        </w:tabs>
        <w:numPr>
          <w:ilvl w:val="1"/>
          <w:numId w:val="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40" w:hanging="385"/>
        <w:spacing w:after="0" w:line="219" w:lineRule="auto"/>
        <w:tabs>
          <w:tab w:leader="none" w:pos="691"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280" w:right="60" w:hanging="277"/>
        <w:spacing w:after="0" w:line="224" w:lineRule="auto"/>
        <w:tabs>
          <w:tab w:leader="none" w:pos="3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220" w:hanging="385"/>
        <w:spacing w:after="0" w:line="224" w:lineRule="auto"/>
        <w:tabs>
          <w:tab w:leader="none" w:pos="681"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hanging="385"/>
        <w:spacing w:after="0" w:line="235" w:lineRule="auto"/>
        <w:tabs>
          <w:tab w:leader="none" w:pos="691"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March 7, 2018</w:t>
      </w:r>
      <w:r>
        <w:rPr>
          <w:sz w:val="20"/>
          <w:szCs w:val="20"/>
          <w:color w:val="auto"/>
        </w:rPr>
        <w:tab/>
      </w:r>
      <w:r>
        <w:rPr>
          <w:rFonts w:ascii="Arial" w:cs="Arial" w:eastAsia="Arial" w:hAnsi="Arial"/>
          <w:sz w:val="16"/>
          <w:szCs w:val="16"/>
          <w:color w:val="auto"/>
        </w:rPr>
        <w:t>/s/ Herriot Tabuteau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Herriot Tabuteau</w:t>
      </w:r>
    </w:p>
    <w:p>
      <w:pPr>
        <w:ind w:left="4540"/>
        <w:spacing w:after="0" w:line="204" w:lineRule="auto"/>
        <w:rPr>
          <w:sz w:val="20"/>
          <w:szCs w:val="20"/>
          <w:color w:val="auto"/>
        </w:rPr>
      </w:pPr>
      <w:r>
        <w:rPr>
          <w:rFonts w:ascii="Arial" w:cs="Arial" w:eastAsia="Arial" w:hAnsi="Arial"/>
          <w:sz w:val="18"/>
          <w:szCs w:val="18"/>
          <w:color w:val="auto"/>
        </w:rPr>
        <w:t>Chief Executive Officer</w:t>
      </w:r>
    </w:p>
    <w:p>
      <w:pPr>
        <w:ind w:left="45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31.2</w:t>
      </w:r>
    </w:p>
    <w:p>
      <w:pPr>
        <w:spacing w:after="0" w:line="1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PERIODIC REPORT PURSUANT TO SECTION 302 OF THE</w:t>
      </w: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John Golubieski, certify that:</w:t>
      </w:r>
    </w:p>
    <w:p>
      <w:pPr>
        <w:spacing w:after="0" w:line="144" w:lineRule="exact"/>
        <w:rPr>
          <w:sz w:val="20"/>
          <w:szCs w:val="20"/>
          <w:color w:val="auto"/>
        </w:rPr>
      </w:pPr>
    </w:p>
    <w:p>
      <w:pPr>
        <w:ind w:left="300" w:hanging="297"/>
        <w:spacing w:after="0"/>
        <w:tabs>
          <w:tab w:leader="none" w:pos="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Axsome Therapeutics, Inc.;</w:t>
      </w:r>
    </w:p>
    <w:p>
      <w:pPr>
        <w:spacing w:after="0" w:line="144" w:lineRule="exact"/>
        <w:rPr>
          <w:rFonts w:ascii="Arial" w:cs="Arial" w:eastAsia="Arial" w:hAnsi="Arial"/>
          <w:sz w:val="18"/>
          <w:szCs w:val="18"/>
          <w:color w:val="auto"/>
        </w:rPr>
      </w:pPr>
    </w:p>
    <w:p>
      <w:pPr>
        <w:jc w:val="both"/>
        <w:ind w:left="280" w:right="240" w:hanging="277"/>
        <w:spacing w:after="0" w:line="224" w:lineRule="auto"/>
        <w:tabs>
          <w:tab w:leader="none" w:pos="296"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280" w:right="20" w:hanging="277"/>
        <w:spacing w:after="0" w:line="224" w:lineRule="auto"/>
        <w:tabs>
          <w:tab w:leader="none" w:pos="296"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280" w:right="140" w:hanging="277"/>
        <w:spacing w:after="0" w:line="238" w:lineRule="auto"/>
        <w:tabs>
          <w:tab w:leader="none" w:pos="296"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660" w:right="40" w:hanging="387"/>
        <w:spacing w:after="0" w:line="219"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20" w:hanging="387"/>
        <w:spacing w:after="0" w:line="219"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40" w:hanging="385"/>
        <w:spacing w:after="0" w:line="224" w:lineRule="auto"/>
        <w:tabs>
          <w:tab w:leader="none" w:pos="681" w:val="left"/>
        </w:tabs>
        <w:numPr>
          <w:ilvl w:val="1"/>
          <w:numId w:val="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40" w:hanging="385"/>
        <w:spacing w:after="0" w:line="219" w:lineRule="auto"/>
        <w:tabs>
          <w:tab w:leader="none" w:pos="691"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280" w:right="60" w:hanging="277"/>
        <w:spacing w:after="0" w:line="224" w:lineRule="auto"/>
        <w:tabs>
          <w:tab w:leader="none" w:pos="296"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220" w:hanging="385"/>
        <w:spacing w:after="0" w:line="224" w:lineRule="auto"/>
        <w:tabs>
          <w:tab w:leader="none" w:pos="681"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hanging="385"/>
        <w:spacing w:after="0" w:line="235" w:lineRule="auto"/>
        <w:tabs>
          <w:tab w:leader="none" w:pos="691"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March 7, 2018</w:t>
      </w:r>
      <w:r>
        <w:rPr>
          <w:sz w:val="20"/>
          <w:szCs w:val="20"/>
          <w:color w:val="auto"/>
        </w:rPr>
        <w:tab/>
      </w:r>
      <w:r>
        <w:rPr>
          <w:rFonts w:ascii="Arial" w:cs="Arial" w:eastAsia="Arial" w:hAnsi="Arial"/>
          <w:sz w:val="16"/>
          <w:szCs w:val="16"/>
          <w:color w:val="auto"/>
        </w:rPr>
        <w:t>/s/ John Golubieski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John Golubieski</w:t>
      </w:r>
    </w:p>
    <w:p>
      <w:pPr>
        <w:ind w:left="4540"/>
        <w:spacing w:after="0" w:line="204" w:lineRule="auto"/>
        <w:rPr>
          <w:sz w:val="20"/>
          <w:szCs w:val="20"/>
          <w:color w:val="auto"/>
        </w:rPr>
      </w:pPr>
      <w:r>
        <w:rPr>
          <w:rFonts w:ascii="Arial" w:cs="Arial" w:eastAsia="Arial" w:hAnsi="Arial"/>
          <w:sz w:val="18"/>
          <w:szCs w:val="18"/>
          <w:color w:val="auto"/>
        </w:rPr>
        <w:t>Chief Financial Officer</w:t>
      </w:r>
    </w:p>
    <w:p>
      <w:pPr>
        <w:ind w:left="45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347980</wp:posOffset>
            </wp:positionV>
            <wp:extent cx="575437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STATEMENT OF PRINCIPAL EXECUTIVE OFFICER OF</w:t>
      </w:r>
    </w:p>
    <w:p>
      <w:pPr>
        <w:ind w:left="3180"/>
        <w:spacing w:after="0" w:line="203" w:lineRule="auto"/>
        <w:rPr>
          <w:sz w:val="20"/>
          <w:szCs w:val="20"/>
          <w:color w:val="auto"/>
        </w:rPr>
      </w:pPr>
      <w:r>
        <w:rPr>
          <w:rFonts w:ascii="Arial" w:cs="Arial" w:eastAsia="Arial" w:hAnsi="Arial"/>
          <w:sz w:val="18"/>
          <w:szCs w:val="18"/>
          <w:b w:val="1"/>
          <w:bCs w:val="1"/>
          <w:color w:val="auto"/>
        </w:rPr>
        <w:t>AXSOME THERAPEUTICS, INC.</w:t>
      </w:r>
    </w:p>
    <w:p>
      <w:pPr>
        <w:ind w:left="2840"/>
        <w:spacing w:after="0" w:line="204" w:lineRule="auto"/>
        <w:rPr>
          <w:sz w:val="20"/>
          <w:szCs w:val="20"/>
          <w:color w:val="auto"/>
        </w:rPr>
      </w:pPr>
      <w:r>
        <w:rPr>
          <w:rFonts w:ascii="Arial" w:cs="Arial" w:eastAsia="Arial" w:hAnsi="Arial"/>
          <w:sz w:val="18"/>
          <w:szCs w:val="18"/>
          <w:b w:val="1"/>
          <w:bCs w:val="1"/>
          <w:color w:val="auto"/>
        </w:rPr>
        <w:t>PURSUANT TO 18 U.S.C. SECTION 1350,</w:t>
      </w:r>
    </w:p>
    <w:p>
      <w:pPr>
        <w:ind w:left="3280"/>
        <w:spacing w:after="0" w:line="203"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8" w:lineRule="exact"/>
        <w:rPr>
          <w:sz w:val="20"/>
          <w:szCs w:val="20"/>
          <w:color w:val="auto"/>
        </w:rPr>
      </w:pPr>
    </w:p>
    <w:p>
      <w:pPr>
        <w:jc w:val="both"/>
        <w:ind w:right="120" w:firstLine="432"/>
        <w:spacing w:after="0" w:line="219" w:lineRule="auto"/>
        <w:rPr>
          <w:sz w:val="20"/>
          <w:szCs w:val="20"/>
          <w:color w:val="auto"/>
        </w:rPr>
      </w:pPr>
      <w:r>
        <w:rPr>
          <w:rFonts w:ascii="Arial" w:cs="Arial" w:eastAsia="Arial" w:hAnsi="Arial"/>
          <w:sz w:val="18"/>
          <w:szCs w:val="18"/>
          <w:color w:val="auto"/>
        </w:rPr>
        <w:t>In connection with the annual report of Axsome Therapeutics, Inc. (the “Company”) on Form 10-K for the year ended December 31, 2017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122" w:lineRule="exact"/>
        <w:rPr>
          <w:sz w:val="20"/>
          <w:szCs w:val="20"/>
          <w:color w:val="auto"/>
        </w:rPr>
      </w:pPr>
    </w:p>
    <w:p>
      <w:pPr>
        <w:ind w:left="440" w:right="40" w:hanging="10"/>
        <w:spacing w:after="0" w:line="235" w:lineRule="auto"/>
        <w:tabs>
          <w:tab w:leader="none" w:pos="76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1" w:lineRule="exact"/>
        <w:rPr>
          <w:rFonts w:ascii="Arial" w:cs="Arial" w:eastAsia="Arial" w:hAnsi="Arial"/>
          <w:sz w:val="18"/>
          <w:szCs w:val="18"/>
          <w:color w:val="auto"/>
        </w:rPr>
      </w:pPr>
    </w:p>
    <w:p>
      <w:pPr>
        <w:ind w:left="440" w:right="80" w:hanging="10"/>
        <w:spacing w:after="0" w:line="235" w:lineRule="auto"/>
        <w:tabs>
          <w:tab w:leader="none" w:pos="76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March 7, 2018</w:t>
      </w:r>
      <w:r>
        <w:rPr>
          <w:sz w:val="20"/>
          <w:szCs w:val="20"/>
          <w:color w:val="auto"/>
        </w:rPr>
        <w:tab/>
      </w:r>
      <w:r>
        <w:rPr>
          <w:rFonts w:ascii="Arial" w:cs="Arial" w:eastAsia="Arial" w:hAnsi="Arial"/>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Herriot Tabuteau, M.D.</w:t>
      </w:r>
    </w:p>
    <w:p>
      <w:pPr>
        <w:ind w:left="4540"/>
        <w:spacing w:after="0" w:line="204" w:lineRule="auto"/>
        <w:rPr>
          <w:sz w:val="20"/>
          <w:szCs w:val="20"/>
          <w:color w:val="auto"/>
        </w:rPr>
      </w:pPr>
      <w:r>
        <w:rPr>
          <w:rFonts w:ascii="Arial" w:cs="Arial" w:eastAsia="Arial" w:hAnsi="Arial"/>
          <w:sz w:val="18"/>
          <w:szCs w:val="18"/>
          <w:color w:val="auto"/>
        </w:rPr>
        <w:t>Chief Executive Officer</w:t>
      </w:r>
    </w:p>
    <w:p>
      <w:pPr>
        <w:ind w:left="45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347980</wp:posOffset>
            </wp:positionV>
            <wp:extent cx="575437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spacing w:after="0" w:line="217" w:lineRule="auto"/>
        <w:rPr>
          <w:sz w:val="20"/>
          <w:szCs w:val="20"/>
          <w:color w:val="auto"/>
        </w:rPr>
      </w:pPr>
      <w:r>
        <w:rPr>
          <w:rFonts w:ascii="Arial" w:cs="Arial" w:eastAsia="Arial" w:hAnsi="Arial"/>
          <w:sz w:val="18"/>
          <w:szCs w:val="18"/>
          <w:b w:val="1"/>
          <w:bCs w:val="1"/>
          <w:color w:val="auto"/>
        </w:rPr>
        <w:t>STATEMENT OF PRINCIPAL FINANCIAL OFFICER OF AXSOME THERAPEUTICS, INC. PURSUANT TO 18 U.S.C. SECTION 1350, AS ADOPTED PURSUANT TO SECTION 906 OF THE SARBANES-OXLEY ACT OF 2002</w:t>
      </w:r>
    </w:p>
    <w:p>
      <w:pPr>
        <w:spacing w:after="0" w:line="122" w:lineRule="exact"/>
        <w:rPr>
          <w:sz w:val="20"/>
          <w:szCs w:val="20"/>
          <w:color w:val="auto"/>
        </w:rPr>
      </w:pPr>
    </w:p>
    <w:p>
      <w:pPr>
        <w:ind w:right="120" w:firstLine="432"/>
        <w:spacing w:after="0" w:line="219" w:lineRule="auto"/>
        <w:rPr>
          <w:sz w:val="20"/>
          <w:szCs w:val="20"/>
          <w:color w:val="auto"/>
        </w:rPr>
      </w:pPr>
      <w:r>
        <w:rPr>
          <w:rFonts w:ascii="Arial" w:cs="Arial" w:eastAsia="Arial" w:hAnsi="Arial"/>
          <w:sz w:val="18"/>
          <w:szCs w:val="18"/>
          <w:color w:val="auto"/>
        </w:rPr>
        <w:t>In connection with the annual report of Axsome Therapeutics, Inc. (the “Company”) on Form 10-K for the year ended December 31, 2017 as filed with the Securities and Exchange Commission (the “Report”), I, John Golubieski, Chief Financial Officer of the Company, certify, pursuant to 18 U.S.C. §1350, as adopted pursuant to §906 of the Sarbanes-Oxley Act of 2002, that, based on my knowledge:</w:t>
      </w:r>
    </w:p>
    <w:p>
      <w:pPr>
        <w:spacing w:after="0" w:line="122" w:lineRule="exact"/>
        <w:rPr>
          <w:sz w:val="20"/>
          <w:szCs w:val="20"/>
          <w:color w:val="auto"/>
        </w:rPr>
      </w:pPr>
    </w:p>
    <w:p>
      <w:pPr>
        <w:ind w:left="440" w:right="40" w:hanging="10"/>
        <w:spacing w:after="0" w:line="235" w:lineRule="auto"/>
        <w:tabs>
          <w:tab w:leader="none" w:pos="76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1" w:lineRule="exact"/>
        <w:rPr>
          <w:rFonts w:ascii="Arial" w:cs="Arial" w:eastAsia="Arial" w:hAnsi="Arial"/>
          <w:sz w:val="18"/>
          <w:szCs w:val="18"/>
          <w:color w:val="auto"/>
        </w:rPr>
      </w:pPr>
    </w:p>
    <w:p>
      <w:pPr>
        <w:ind w:left="440" w:right="80" w:hanging="10"/>
        <w:spacing w:after="0" w:line="235" w:lineRule="auto"/>
        <w:tabs>
          <w:tab w:leader="none" w:pos="76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March 7, 2018</w:t>
      </w:r>
      <w:r>
        <w:rPr>
          <w:sz w:val="20"/>
          <w:szCs w:val="20"/>
          <w:color w:val="auto"/>
        </w:rPr>
        <w:tab/>
      </w:r>
      <w:r>
        <w:rPr>
          <w:rFonts w:ascii="Arial" w:cs="Arial" w:eastAsia="Arial" w:hAnsi="Arial"/>
          <w:sz w:val="16"/>
          <w:szCs w:val="16"/>
          <w:color w:val="auto"/>
        </w:rPr>
        <w:t>/s/ John Golubieski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John Golubieski</w:t>
      </w:r>
    </w:p>
    <w:p>
      <w:pPr>
        <w:ind w:left="4540"/>
        <w:spacing w:after="0" w:line="204" w:lineRule="auto"/>
        <w:rPr>
          <w:sz w:val="20"/>
          <w:szCs w:val="20"/>
          <w:color w:val="auto"/>
        </w:rPr>
      </w:pPr>
      <w:r>
        <w:rPr>
          <w:rFonts w:ascii="Arial" w:cs="Arial" w:eastAsia="Arial" w:hAnsi="Arial"/>
          <w:sz w:val="18"/>
          <w:szCs w:val="18"/>
          <w:color w:val="auto"/>
        </w:rPr>
        <w:t>Chief Financial Officer</w:t>
      </w:r>
    </w:p>
    <w:p>
      <w:pPr>
        <w:ind w:left="45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347980</wp:posOffset>
            </wp:positionV>
            <wp:extent cx="575437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1)"/>
      <w:numFmt w:val="decimal"/>
      <w:start w:val="3"/>
    </w:lvl>
  </w:abstractNum>
  <w:abstractNum w:abstractNumId="7">
    <w:nsid w:val="51EAD36B"/>
    <w:multiLevelType w:val="hybridMultilevel"/>
    <w:lvl w:ilvl="0">
      <w:lvlJc w:val="left"/>
      <w:lvlText w:val="(%1)"/>
      <w:numFmt w:val="decimal"/>
      <w:start w:val="1"/>
    </w:lvl>
  </w:abstractNum>
  <w:abstractNum w:abstractNumId="8">
    <w:nsid w:val="2D517796"/>
    <w:multiLevelType w:val="hybridMultilevel"/>
    <w:lvl w:ilvl="0">
      <w:lvlJc w:val="left"/>
      <w:lvlText w:val="(%1)"/>
      <w:numFmt w:val="decimal"/>
      <w:start w:val="2"/>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1)"/>
      <w:numFmt w:val="decimal"/>
      <w:start w:val="2"/>
    </w:lvl>
  </w:abstractNum>
  <w:abstractNum w:abstractNumId="23">
    <w:nsid w:val="38437FDB"/>
    <w:multiLevelType w:val="hybridMultilevel"/>
    <w:lvl w:ilvl="0">
      <w:lvlJc w:val="left"/>
      <w:lvlText w:val="(%1)"/>
      <w:numFmt w:val="decimal"/>
      <w:start w:val="2"/>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1)"/>
      <w:numFmt w:val="decimal"/>
      <w:start w:val="2"/>
    </w:lvl>
  </w:abstractNum>
  <w:abstractNum w:abstractNumId="51">
    <w:nsid w:val="3F6AB60F"/>
    <w:multiLevelType w:val="hybridMultilevel"/>
    <w:lvl w:ilvl="0">
      <w:lvlJc w:val="left"/>
      <w:lvlText w:val="•"/>
      <w:numFmt w:val="bullet"/>
      <w:start w:val="1"/>
    </w:lvl>
  </w:abstractNum>
  <w:abstractNum w:abstractNumId="52">
    <w:nsid w:val="61574095"/>
    <w:multiLevelType w:val="hybridMultilevel"/>
    <w:lvl w:ilvl="0">
      <w:lvlJc w:val="left"/>
      <w:lvlText w:val="•"/>
      <w:numFmt w:val="bullet"/>
      <w:start w:val="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
      <w:numFmt w:val="bullet"/>
      <w:start w:val="1"/>
    </w:lvl>
  </w:abstractNum>
  <w:abstractNum w:abstractNumId="56">
    <w:nsid w:val="310C50B3"/>
    <w:multiLevelType w:val="hybridMultilevel"/>
    <w:lvl w:ilvl="0">
      <w:lvlJc w:val="left"/>
      <w:lvlText w:val="·"/>
      <w:numFmt w:val="bullet"/>
      <w:start w:val="1"/>
    </w:lvl>
  </w:abstractNum>
  <w:abstractNum w:abstractNumId="57">
    <w:nsid w:val="5FF87E05"/>
    <w:multiLevelType w:val="hybridMultilevel"/>
    <w:lvl w:ilvl="0">
      <w:lvlJc w:val="left"/>
      <w:lvlText w:val="(%1)"/>
      <w:numFmt w:val="lowerRoman"/>
      <w:start w:val="1"/>
    </w:lvl>
  </w:abstractNum>
  <w:abstractNum w:abstractNumId="58">
    <w:nsid w:val="2F305DEF"/>
    <w:multiLevelType w:val="hybridMultilevel"/>
    <w:lvl w:ilvl="0">
      <w:lvlJc w:val="left"/>
      <w:lvlText w:val="(%1)"/>
      <w:numFmt w:val="decimal"/>
      <w:start w:val="1"/>
    </w:lvl>
  </w:abstractNum>
  <w:abstractNum w:abstractNumId="59">
    <w:nsid w:val="25A70BF7"/>
    <w:multiLevelType w:val="hybridMultilevel"/>
    <w:lvl w:ilvl="0">
      <w:lvlJc w:val="left"/>
      <w:lvlText w:val="(%1)"/>
      <w:numFmt w:val="decimal"/>
      <w:start w:val="2"/>
    </w:lvl>
  </w:abstractNum>
  <w:abstractNum w:abstractNumId="60">
    <w:nsid w:val="1DBABF00"/>
    <w:multiLevelType w:val="hybridMultilevel"/>
    <w:lvl w:ilvl="0">
      <w:lvlJc w:val="left"/>
      <w:lvlText w:val="(%1)"/>
      <w:numFmt w:val="decimal"/>
      <w:start w:val="3"/>
    </w:lvl>
  </w:abstractNum>
  <w:abstractNum w:abstractNumId="61">
    <w:nsid w:val="4AD084E9"/>
    <w:multiLevelType w:val="hybridMultilevel"/>
    <w:lvl w:ilvl="0">
      <w:lvlJc w:val="left"/>
      <w:lvlText w:val="(%1)"/>
      <w:numFmt w:val="lowerRoman"/>
      <w:start w:val="2"/>
    </w:lvl>
  </w:abstractNum>
  <w:abstractNum w:abstractNumId="62">
    <w:nsid w:val="1F48EAA1"/>
    <w:multiLevelType w:val="hybridMultilevel"/>
    <w:lvl w:ilvl="0">
      <w:lvlJc w:val="left"/>
      <w:lvlText w:val="(%1)"/>
      <w:numFmt w:val="decimal"/>
      <w:start w:val="1"/>
    </w:lvl>
  </w:abstractNum>
  <w:abstractNum w:abstractNumId="63">
    <w:nsid w:val="1381823A"/>
    <w:multiLevelType w:val="hybridMultilevel"/>
    <w:lvl w:ilvl="0">
      <w:lvlJc w:val="left"/>
      <w:lvlText w:val="%1"/>
      <w:numFmt w:val="upperLetter"/>
      <w:start w:val="35"/>
    </w:lvl>
  </w:abstractNum>
  <w:abstractNum w:abstractNumId="64">
    <w:nsid w:val="5DB70AE5"/>
    <w:multiLevelType w:val="hybridMultilevel"/>
    <w:lvl w:ilvl="0">
      <w:lvlJc w:val="left"/>
      <w:lvlText w:val="+"/>
      <w:numFmt w:val="bullet"/>
      <w:start w:val="1"/>
    </w:lvl>
    <w:lvl w:ilvl="1">
      <w:lvlJc w:val="left"/>
      <w:lvlText w:val="%2"/>
      <w:numFmt w:val="decimal"/>
      <w:start w:val="101"/>
    </w:lvl>
  </w:abstractNum>
  <w:abstractNum w:abstractNumId="65">
    <w:nsid w:val="100F8FCA"/>
    <w:multiLevelType w:val="hybridMultilevel"/>
    <w:lvl w:ilvl="0">
      <w:lvlJc w:val="left"/>
      <w:lvlText w:val="*"/>
      <w:numFmt w:val="bullet"/>
      <w:start w:val="1"/>
    </w:lvl>
  </w:abstractNum>
  <w:abstractNum w:abstractNumId="66">
    <w:nsid w:val="6590700B"/>
    <w:multiLevelType w:val="hybridMultilevel"/>
    <w:lvl w:ilvl="0">
      <w:lvlJc w:val="left"/>
      <w:lvlText w:val="·"/>
      <w:numFmt w:val="bullet"/>
      <w:start w:val="1"/>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93" Type="http://schemas.openxmlformats.org/officeDocument/2006/relationships/image" Target="media/image170.png"/><Relationship Id="rId197" Type="http://schemas.openxmlformats.org/officeDocument/2006/relationships/image" Target="media/image171.png"/><Relationship Id="rId198" Type="http://schemas.openxmlformats.org/officeDocument/2006/relationships/image" Target="media/image172.png"/><Relationship Id="rId199" Type="http://schemas.openxmlformats.org/officeDocument/2006/relationships/image" Target="media/image173.png"/><Relationship Id="rId200" Type="http://schemas.openxmlformats.org/officeDocument/2006/relationships/image" Target="media/image174.png"/><Relationship Id="rId201" Type="http://schemas.openxmlformats.org/officeDocument/2006/relationships/image" Target="media/image175.png"/><Relationship Id="rId202" Type="http://schemas.openxmlformats.org/officeDocument/2006/relationships/image" Target="media/image176.png"/><Relationship Id="rId203" Type="http://schemas.openxmlformats.org/officeDocument/2006/relationships/image" Target="media/image177.png"/><Relationship Id="rId204" Type="http://schemas.openxmlformats.org/officeDocument/2006/relationships/image" Target="media/image178.png"/><Relationship Id="rId205" Type="http://schemas.openxmlformats.org/officeDocument/2006/relationships/image" Target="media/image179.png"/><Relationship Id="rId206" Type="http://schemas.openxmlformats.org/officeDocument/2006/relationships/image" Target="media/image180.png"/><Relationship Id="rId207" Type="http://schemas.openxmlformats.org/officeDocument/2006/relationships/image" Target="media/image181.png"/><Relationship Id="rId208" Type="http://schemas.openxmlformats.org/officeDocument/2006/relationships/image" Target="media/image182.png"/><Relationship Id="rId177" Type="http://schemas.openxmlformats.org/officeDocument/2006/relationships/hyperlink" Target="http://www.sec.gov/Archives/edgar/data/1579428/000110465915081125/a15-24048_1ex3d1.htm" TargetMode="External"/><Relationship Id="rId178" Type="http://schemas.openxmlformats.org/officeDocument/2006/relationships/hyperlink" Target="http://www.sec.gov/Archives/edgar/data/1579428/000110465915081125/a15-24048_1ex3d2.htm" TargetMode="External"/><Relationship Id="rId179" Type="http://schemas.openxmlformats.org/officeDocument/2006/relationships/hyperlink" Target="http://www.sec.gov/Archives/edgar/data/1579428/000104746915008199/a2226320zex-4_1.htm" TargetMode="External"/><Relationship Id="rId180" Type="http://schemas.openxmlformats.org/officeDocument/2006/relationships/hyperlink" Target="http://www.sec.gov/Archives/edgar/data/1579428/000104746915007821/a2226220zex-4_2.htm" TargetMode="External"/><Relationship Id="rId181" Type="http://schemas.openxmlformats.org/officeDocument/2006/relationships/hyperlink" Target="http://www.sec.gov/Archives/edgar/data/1579428/000104746915007821/a2226220zex-4_3.htm" TargetMode="External"/><Relationship Id="rId182" Type="http://schemas.openxmlformats.org/officeDocument/2006/relationships/hyperlink" Target="http://www.sec.gov/Archives/edgar/data/1579428/000110465916156253/a16-21456_1ex4d1.htm" TargetMode="External"/><Relationship Id="rId183" Type="http://schemas.openxmlformats.org/officeDocument/2006/relationships/hyperlink" Target="http://www.sec.gov/Archives/edgar/data/1579428/000110465916156253/a16-21456_1ex4d2.htm" TargetMode="External"/><Relationship Id="rId184" Type="http://schemas.openxmlformats.org/officeDocument/2006/relationships/hyperlink" Target="http://www.sec.gov/Archives/edgar/data/1579428/000110465917071533/a17-27901_1ex4d1.htm" TargetMode="External"/><Relationship Id="rId185" Type="http://schemas.openxmlformats.org/officeDocument/2006/relationships/hyperlink" Target="http://www.sec.gov/Archives/edgar/data/1579428/000104746915007821/a2226220zex-10_1.htm" TargetMode="External"/><Relationship Id="rId186" Type="http://schemas.openxmlformats.org/officeDocument/2006/relationships/hyperlink" Target="http://www.sec.gov/Archives/edgar/data/1579428/000104746915008199/a2226320zex-10_6.htm" TargetMode="External"/><Relationship Id="rId187" Type="http://schemas.openxmlformats.org/officeDocument/2006/relationships/hyperlink" Target="http://www.sec.gov/Archives/edgar/data/1579428/000110465915085196/a15-24973_1ex99d2.htm" TargetMode="External"/><Relationship Id="rId188" Type="http://schemas.openxmlformats.org/officeDocument/2006/relationships/hyperlink" Target="http://www.sec.gov/Archives/edgar/data/1579428/000104746915007821/a2226220zex-10_2.htm" TargetMode="External"/><Relationship Id="rId189" Type="http://schemas.openxmlformats.org/officeDocument/2006/relationships/hyperlink" Target="http://www.sec.gov/Archives/edgar/data/1579428/000104746915007821/a2226220zex-10_3.htm" TargetMode="External"/><Relationship Id="rId190" Type="http://schemas.openxmlformats.org/officeDocument/2006/relationships/hyperlink" Target="http://www.sec.gov/Archives/edgar/data/1579428/000104746915007821/a2226220zex-10_4.htm" TargetMode="External"/><Relationship Id="rId191" Type="http://schemas.openxmlformats.org/officeDocument/2006/relationships/hyperlink" Target="http://www.sec.gov/Archives/edgar/data/1579428/000104746915007821/a2226220zex-10_5.htm" TargetMode="External"/><Relationship Id="rId192" Type="http://schemas.openxmlformats.org/officeDocument/2006/relationships/hyperlink" Target="http://www.sec.gov/Archives/edgar/data/1579428/000110465916156253/a16-21456_1ex10d1.htm" TargetMode="External"/><Relationship Id="rId194" Type="http://schemas.openxmlformats.org/officeDocument/2006/relationships/hyperlink" Target="http://www.sec.gov/Archives/edgar/data/1579428/000155837017006445/axsm-20170630ex10181dfc0.htm" TargetMode="External"/><Relationship Id="rId195" Type="http://schemas.openxmlformats.org/officeDocument/2006/relationships/hyperlink" Target="http://www.sec.gov/Archives/edgar/data/1579428/000110465917071533/a17-27901_1ex10d1.htm" TargetMode="External"/><Relationship Id="rId196" Type="http://schemas.openxmlformats.org/officeDocument/2006/relationships/hyperlink" Target="http://www.sec.gov/Archives/edgar/data/1579428/000104746915007821/a2226220z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2019-12-28T23:38:44Z</dcterms:created>
  <dcterms:modified xsi:type="dcterms:W3CDTF">2019-12-28T23:38:44Z</dcterms:modified>
</cp:coreProperties>
</file>