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35"/>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March 10, 2023, Axsome Therapeutics, Inc. (the “Company”), provided the following update regarding its liquidity position and relationship with Silicon Valley Bank (“SVB”).</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has material cash deposits with both SVB and Citibank. Notwithstanding, the Company believes that its current cash held at Citibank, along with the remaining committed capital from its $350 million term loan facility with Hercules Capital, is sufficient to fund anticipated operations into cash flow positivity, based on the current operating plan. Additionally, the FDIC has announced that it will pay SVB depositors an advance dividend within the next week; this forecast does not take into account such funds.</w:t>
      </w:r>
    </w:p>
    <w:p>
      <w:pPr>
        <w:spacing w:after="0" w:line="18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the purposes of Section 18 of the Securities Exchange Act of 1934, as amended, or otherwise subject to the liabilities of that Section. The information in this Item 7.01 shall not be incorporated by reference into any registration statement or other document pursuant to the Securities Act of 1933, as amended.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1"/>
                <w:szCs w:val="21"/>
                <w:color w:val="auto"/>
              </w:rPr>
            </w:pPr>
          </w:p>
        </w:tc>
        <w:tc>
          <w:tcPr>
            <w:tcW w:w="940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76"/>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10, 2023</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560" w:type="dxa"/>
            <w:vAlign w:val="bottom"/>
          </w:tcPr>
          <w:p>
            <w:pPr>
              <w:ind w:left="19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38"/>
        </w:trPr>
        <w:tc>
          <w:tcPr>
            <w:tcW w:w="5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2023-03-10T14:46:11Z</dcterms:created>
  <dcterms:modified xsi:type="dcterms:W3CDTF">2023-03-10T14:46:11Z</dcterms:modified>
</cp:coreProperties>
</file>