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On May 10, 2021, Axsome Therapeutics, Inc. (the “Company”) issued a press release announcing its financial results for the three months ended March 31, 2021 and provided an update on the Company’s operations. The Company is furnishing a copy of the press release, which is attached hereto as Exhibit 99.1.</w:t>
      </w:r>
    </w:p>
    <w:p>
      <w:pPr>
        <w:spacing w:after="0" w:line="157"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20" w:type="dxa"/>
            <w:vAlign w:val="bottom"/>
          </w:tcPr>
          <w:p>
            <w:pPr>
              <w:spacing w:after="0"/>
              <w:rPr>
                <w:sz w:val="14"/>
                <w:szCs w:val="14"/>
                <w:color w:val="auto"/>
              </w:rPr>
            </w:pPr>
          </w:p>
        </w:tc>
        <w:tc>
          <w:tcPr>
            <w:tcW w:w="748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00" w:type="dxa"/>
            <w:vAlign w:val="bottom"/>
            <w:tcBorders>
              <w:top w:val="single" w:sz="8" w:color="auto"/>
            </w:tcBorders>
            <w:gridSpan w:val="2"/>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10,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13" w:lineRule="exact"/>
        <w:rPr>
          <w:sz w:val="20"/>
          <w:szCs w:val="20"/>
          <w:color w:val="auto"/>
        </w:rPr>
      </w:pPr>
    </w:p>
    <w:p>
      <w:pPr>
        <w:ind w:left="1260" w:hanging="1252"/>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560" w:type="dxa"/>
            <w:vAlign w:val="bottom"/>
          </w:tcPr>
          <w:p>
            <w:pPr>
              <w:spacing w:after="0"/>
              <w:rPr>
                <w:sz w:val="20"/>
                <w:szCs w:val="20"/>
                <w:color w:val="auto"/>
              </w:rPr>
            </w:pPr>
            <w:r>
              <w:rPr>
                <w:rFonts w:ascii="Arial" w:cs="Arial" w:eastAsia="Arial" w:hAnsi="Arial"/>
                <w:sz w:val="18"/>
                <w:szCs w:val="18"/>
                <w:color w:val="auto"/>
              </w:rPr>
              <w:t>Dated: May 10, 2021</w:t>
            </w:r>
          </w:p>
        </w:tc>
        <w:tc>
          <w:tcPr>
            <w:tcW w:w="2960" w:type="dxa"/>
            <w:vAlign w:val="bottom"/>
          </w:tcPr>
          <w:p>
            <w:pPr>
              <w:ind w:left="20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560" w:type="dxa"/>
            <w:vAlign w:val="bottom"/>
          </w:tcPr>
          <w:p>
            <w:pPr>
              <w:spacing w:after="0"/>
              <w:rPr>
                <w:sz w:val="18"/>
                <w:szCs w:val="18"/>
                <w:color w:val="auto"/>
              </w:rPr>
            </w:pPr>
          </w:p>
        </w:tc>
        <w:tc>
          <w:tcPr>
            <w:tcW w:w="2960" w:type="dxa"/>
            <w:vAlign w:val="bottom"/>
          </w:tcPr>
          <w:p>
            <w:pPr>
              <w:ind w:left="20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560" w:type="dxa"/>
            <w:vAlign w:val="bottom"/>
          </w:tcPr>
          <w:p>
            <w:pPr>
              <w:spacing w:after="0"/>
              <w:rPr>
                <w:sz w:val="20"/>
                <w:szCs w:val="20"/>
                <w:color w:val="auto"/>
              </w:rPr>
            </w:pPr>
          </w:p>
        </w:tc>
        <w:tc>
          <w:tcPr>
            <w:tcW w:w="2960" w:type="dxa"/>
            <w:vAlign w:val="bottom"/>
          </w:tcPr>
          <w:p>
            <w:pPr>
              <w:ind w:left="20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60" w:type="dxa"/>
            <w:vAlign w:val="bottom"/>
          </w:tcPr>
          <w:p>
            <w:pPr>
              <w:spacing w:after="0"/>
              <w:rPr>
                <w:sz w:val="24"/>
                <w:szCs w:val="24"/>
                <w:color w:val="auto"/>
              </w:rPr>
            </w:pPr>
          </w:p>
        </w:tc>
        <w:tc>
          <w:tcPr>
            <w:tcW w:w="2960" w:type="dxa"/>
            <w:vAlign w:val="bottom"/>
          </w:tcPr>
          <w:p>
            <w:pPr>
              <w:ind w:left="202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44018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First Quarter 2021 Financial Results and Provides Business Update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0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NEW YORK, May 10, 2021 (Globe Newswire) – Axsome Therapeutics, Inc. (NASDAQ: AXSM), a biopharmaceutical company developing novel therapies for the management of central nervous system (CNS) disorders, today reported financial results for the first quarter ended March 31, 2021.</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continued to make significant strides in the quarter toward becoming a premier biopharmaceutical company focused on delivering potentially life-changing medicines to people living with serious CNS conditions. We successfully filed our NDA for AXS-05 for the treatment of MDD with the FDA, which was granted Priority Review, and are on track to file our NDA for AXS-07 for the acute treatment of migraine this quarter,” said Herriot Tabuteau, MD, Chief Executive Officer of Axsome. “Pre-commercial activities are intensifying as planned to ensure launch readiness assuming FDA approval. The rest of our pipeline continues to progress with the anticipated initiation of the planned Phase 3 trial for AXS-12 for the treatment of narcolepsy mid-year.”</w:t>
      </w:r>
    </w:p>
    <w:p>
      <w:pPr>
        <w:spacing w:after="0" w:line="16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“Axsome is proud to observe May is Mental Health Month and is partnering with advocacy groups to help raise awareness and support for people living with depression and other mental health conditions,” continued Dr. Tabuteau. “Recent data from the Centers for Disease Control indicate a more than four-fold increase in the prevalence of depression symptoms in U.S. adults compared to prior to the pandemic. The need for effective mental health treatments therefore has never been greater, and Axsome is committed to developing innovative treatments for those living with the debilitating effects of depression and other mental health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many people facing unsatisfactory treatments for CNS disorders, Axsome accelerates the invention and adoption of life-changing medicines. The Company is developing a portfolio of differentiated, patent-protected, CNS product candidates with four in active clinical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208" w:lineRule="exact"/>
        <w:rPr>
          <w:sz w:val="20"/>
          <w:szCs w:val="20"/>
          <w:color w:val="auto"/>
        </w:rPr>
      </w:pPr>
    </w:p>
    <w:p>
      <w:pPr>
        <w:ind w:left="400" w:right="40" w:hanging="392"/>
        <w:spacing w:after="0" w:line="271"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Axsome’s New Drug Application (NDA) for AXS-05 for the treatment of MDD was granted Priority Review by the FDA.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has set a Prescription Drug User Fee Act (PDUFA) target action date for the NDA of August 22, 2021.</w:t>
      </w:r>
    </w:p>
    <w:p>
      <w:pPr>
        <w:spacing w:after="0" w:line="45" w:lineRule="exact"/>
        <w:rPr>
          <w:rFonts w:ascii="Arial" w:cs="Arial" w:eastAsia="Arial" w:hAnsi="Arial"/>
          <w:sz w:val="18"/>
          <w:szCs w:val="18"/>
          <w:color w:val="auto"/>
        </w:rPr>
      </w:pPr>
    </w:p>
    <w:p>
      <w:pPr>
        <w:jc w:val="both"/>
        <w:ind w:left="400" w:right="20" w:hanging="392"/>
        <w:spacing w:after="0" w:line="253"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initiated the ACCORD study, a Phase 3, double-blind, placebo-controlled, multicenter, randomized withdrawal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to evaluate the efficacy and safety of AXS-05 in the treatment of Alzheimer’s disease (AD) agitation, in December 2020. Enrollment in the trial is progressing.</w:t>
      </w:r>
    </w:p>
    <w:p>
      <w:pPr>
        <w:spacing w:after="0" w:line="128" w:lineRule="exact"/>
        <w:rPr>
          <w:rFonts w:ascii="Arial" w:cs="Arial" w:eastAsia="Arial" w:hAnsi="Arial"/>
          <w:sz w:val="18"/>
          <w:szCs w:val="18"/>
          <w:color w:val="auto"/>
        </w:rPr>
      </w:pPr>
    </w:p>
    <w:p>
      <w:pPr>
        <w:ind w:left="400" w:right="20" w:hanging="392"/>
        <w:spacing w:after="0" w:line="253"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is scheduled to meet with the FDA in the third quarter of 2021 to discuss the continued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AXS-05 as an aid to smoking cessation treatment. Axsome previously announced positive results from a Phase 2 trial of AXS-05 for smoking cessation treatment conducted under a research collaboration between Axsome and Duke University.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93" w:lineRule="exact"/>
        <w:rPr>
          <w:sz w:val="20"/>
          <w:szCs w:val="20"/>
          <w:color w:val="auto"/>
        </w:rPr>
      </w:pPr>
    </w:p>
    <w:p>
      <w:pPr>
        <w:ind w:left="400" w:right="60"/>
        <w:spacing w:after="0" w:line="246"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400" w:right="20" w:hanging="392"/>
        <w:spacing w:after="0" w:line="253"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 is compiling the NDA for AXS-07 for the acute treatment of migraine, which is on track for submission to the FDA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2021. Axsome plans to announce the FDA’s decision regarding its acceptance of the NDA filing in the third quarter of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AXS-12 (reboxetine) is Axsome’s novel, oral, potent, and highly selective norepinephrine reuptake inhibitor for the treatment of narcolepsy. AXS-12 has been granted FDA Orphan Drug designation for the treatment of narcolepsy as well as Breakthrough Therapy designation for the treatment of cataplexy in patients with narcolepsy.</w:t>
      </w:r>
    </w:p>
    <w:p>
      <w:pPr>
        <w:spacing w:after="0" w:line="262" w:lineRule="exact"/>
        <w:rPr>
          <w:sz w:val="20"/>
          <w:szCs w:val="20"/>
          <w:color w:val="auto"/>
        </w:rPr>
      </w:pPr>
    </w:p>
    <w:p>
      <w:pPr>
        <w:ind w:left="400" w:hanging="392"/>
        <w:spacing w:after="0" w:line="271" w:lineRule="auto"/>
        <w:tabs>
          <w:tab w:leader="none" w:pos="400" w:val="left"/>
        </w:tabs>
        <w:numPr>
          <w:ilvl w:val="0"/>
          <w:numId w:val="5"/>
        </w:numPr>
        <w:rPr>
          <w:rFonts w:ascii="Arial" w:cs="Arial" w:eastAsia="Arial" w:hAnsi="Arial"/>
          <w:sz w:val="18"/>
          <w:szCs w:val="18"/>
          <w:color w:val="0D0D0D"/>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planning to initiate a Phase 3 trial of AXS-12 in the treatment of narcolepsy early in the third quarter of 2021.</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planned Phase 3 trial will be a randomized, double-blind, placebo-controlled, parallel-group study.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AXS-14 (esreboxetine) is Axsome’s novel, oral, potent, and highly selective norepinephrine reuptake inhibitor for the treatment of fibromyalgia. Esreboxetine, the SS-enantiomer of reboxetine, is more potent and selective than racemic reboxetine.</w:t>
      </w:r>
    </w:p>
    <w:p>
      <w:pPr>
        <w:spacing w:after="0" w:line="242" w:lineRule="exact"/>
        <w:rPr>
          <w:sz w:val="20"/>
          <w:szCs w:val="20"/>
          <w:color w:val="auto"/>
        </w:rPr>
      </w:pPr>
    </w:p>
    <w:p>
      <w:pPr>
        <w:jc w:val="both"/>
        <w:ind w:left="400" w:hanging="392"/>
        <w:spacing w:after="0" w:line="253" w:lineRule="auto"/>
        <w:tabs>
          <w:tab w:leader="none" w:pos="400" w:val="left"/>
        </w:tabs>
        <w:numPr>
          <w:ilvl w:val="0"/>
          <w:numId w:val="6"/>
        </w:numPr>
        <w:rPr>
          <w:rFonts w:ascii="Arial" w:cs="Arial" w:eastAsia="Arial" w:hAnsi="Arial"/>
          <w:sz w:val="18"/>
          <w:szCs w:val="18"/>
          <w:color w:val="0D0D0D"/>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Axsome met with the FDA in the second quarter to discuss the further clinical development of AXS-14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fibromyalgia, and is awaiting written feedback from the meeting. AXS-14 has previously met the primary endpoints and demonstrated positive and statistically significant results in a Phase 3 and in a Phase 2 trial for the treatment of fibromyalgia.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and Launch-Readiness Activities</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Axsome continues with preparations for a potential 2H 2021 commercial launch of AXS-05 for the treatment of MDD, if approved, and for a subsequent launch of AXS-07 for the acute treatment of migraine, if approved, including technology implementation and team build:</w:t>
      </w:r>
    </w:p>
    <w:p>
      <w:pPr>
        <w:spacing w:after="0" w:line="264" w:lineRule="exact"/>
        <w:rPr>
          <w:sz w:val="20"/>
          <w:szCs w:val="20"/>
          <w:color w:val="auto"/>
        </w:rPr>
      </w:pPr>
    </w:p>
    <w:p>
      <w:pPr>
        <w:ind w:left="400" w:right="20" w:hanging="392"/>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foundational technology infrastructure for our Digital Centric Commercialization™ (DCC) platform is now fully implemented, and we continue to build-out our digital capabilities.</w:t>
      </w:r>
    </w:p>
    <w:p>
      <w:pPr>
        <w:spacing w:after="0" w:line="264" w:lineRule="exact"/>
        <w:rPr>
          <w:rFonts w:ascii="Arial" w:cs="Arial" w:eastAsia="Arial" w:hAnsi="Arial"/>
          <w:sz w:val="18"/>
          <w:szCs w:val="18"/>
          <w:color w:val="auto"/>
        </w:rPr>
      </w:pPr>
    </w:p>
    <w:p>
      <w:pPr>
        <w:ind w:left="400" w:hanging="392"/>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 senior leadership across marketing, market access, commercial operations, and sales are in place, and field force hiring at both the manager and representative level has commenced.</w:t>
      </w:r>
    </w:p>
    <w:p>
      <w:pPr>
        <w:spacing w:after="0" w:line="264"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access team continues to engage in permitted ongoing discussion with payers, ensuring awareness of Axsome and of AXS-05’s product profile, and is actively setting up comprehensive patient support services.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93" w:lineRule="exact"/>
        <w:rPr>
          <w:sz w:val="20"/>
          <w:szCs w:val="20"/>
          <w:color w:val="auto"/>
        </w:rPr>
      </w:pPr>
    </w:p>
    <w:p>
      <w:pPr>
        <w:ind w:left="400" w:right="120" w:hanging="392"/>
        <w:spacing w:after="0" w:line="248"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Axsome recently announced that it is joining Mental Health America (MHA) and other advocacy organizations in observing May is Mental Health Month, by raising awareness of and supporting people living with depression and other mental health conditions. MHA is the nation’s leading community-based nonprofit organization dedicated to addressing the needs of those living with mental illness.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8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Regulatory and Commercial:</w:t>
      </w:r>
    </w:p>
    <w:p>
      <w:pPr>
        <w:spacing w:after="0" w:line="205" w:lineRule="exact"/>
        <w:rPr>
          <w:rFonts w:ascii="Arial" w:cs="Arial" w:eastAsia="Arial" w:hAnsi="Arial"/>
          <w:sz w:val="18"/>
          <w:szCs w:val="18"/>
          <w:color w:val="auto"/>
        </w:rPr>
      </w:pPr>
    </w:p>
    <w:p>
      <w:pPr>
        <w:ind w:left="400" w:right="5480"/>
        <w:spacing w:after="0" w:line="41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AXS-05 for MDD, PDUFA target action date (August 22, 2021)</w:t>
      </w:r>
      <w:r>
        <w:rPr>
          <w:rFonts w:ascii="Courier New" w:cs="Courier New" w:eastAsia="Courier New" w:hAnsi="Courier New"/>
          <w:sz w:val="18"/>
          <w:szCs w:val="18"/>
          <w:color w:val="auto"/>
        </w:rPr>
        <w:t xml:space="preserve"> o </w:t>
      </w:r>
      <w:r>
        <w:rPr>
          <w:rFonts w:ascii="Arial" w:cs="Arial" w:eastAsia="Arial" w:hAnsi="Arial"/>
          <w:sz w:val="18"/>
          <w:szCs w:val="18"/>
          <w:color w:val="auto"/>
        </w:rPr>
        <w:t>AXS-07 for migraine, NDA submission (2Q 2021)</w:t>
      </w:r>
    </w:p>
    <w:p>
      <w:pPr>
        <w:spacing w:after="0" w:line="6"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AXS-05 for smoking cessation, FDA meeting (3Q 2021)</w:t>
      </w:r>
    </w:p>
    <w:p>
      <w:pPr>
        <w:spacing w:after="0" w:line="168"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AXS-05 for MDD, commercial launch, if approved (2H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00"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Phase 2 MERIT trial of AXS-05 in TRD, topline data (2H 2021)</w:t>
      </w:r>
    </w:p>
    <w:p>
      <w:pPr>
        <w:spacing w:after="0" w:line="152"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00"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Phase 3 trial of AXS-12 in the treatment of narcolepsy (early 3Q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Scientific Conferences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Axsome is scheduled to present data at the following upcoming scientific conferences:</w:t>
      </w:r>
    </w:p>
    <w:p>
      <w:pPr>
        <w:spacing w:after="0" w:line="279"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Society for Pharmacoeconomics and Outcomes Research (ISPOR) annual meeting, May 17-20, 2021</w:t>
      </w:r>
    </w:p>
    <w:p>
      <w:pPr>
        <w:spacing w:after="0" w:line="292" w:lineRule="exact"/>
        <w:rPr>
          <w:rFonts w:ascii="Arial" w:cs="Arial" w:eastAsia="Arial" w:hAnsi="Arial"/>
          <w:sz w:val="18"/>
          <w:szCs w:val="18"/>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 Society for Clinical Psychopharmacology (ASCP) annual meeting, June 1-4, 2021</w:t>
      </w:r>
    </w:p>
    <w:p>
      <w:pPr>
        <w:spacing w:after="0" w:line="292" w:lineRule="exact"/>
        <w:rPr>
          <w:rFonts w:ascii="Arial" w:cs="Arial" w:eastAsia="Arial" w:hAnsi="Arial"/>
          <w:sz w:val="18"/>
          <w:szCs w:val="18"/>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 Headache Society (AHS) annual meeting, June 3-6, 2021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Investor Conferences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Axsome is scheduled to participate in the following upcoming investor conferences:</w:t>
      </w:r>
    </w:p>
    <w:p>
      <w:pPr>
        <w:spacing w:after="0" w:line="279"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BofA Health Care Conference, May 11, 2021 (to be webcast)</w:t>
      </w:r>
    </w:p>
    <w:p>
      <w:pPr>
        <w:spacing w:after="0" w:line="292"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RBC Capital Markets Global Healthcare Conference, May 18, 2021 (to be webcast)</w:t>
      </w:r>
    </w:p>
    <w:p>
      <w:pPr>
        <w:spacing w:after="0" w:line="292"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UBS Global Healthcare Virtual Conference, May 24, 2021 (to be webcast)</w:t>
      </w:r>
    </w:p>
    <w:p>
      <w:pPr>
        <w:spacing w:after="0" w:line="292"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William Blair Growth Stock Conference, June 3, 2021 (to be webcast)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171" w:lineRule="exact"/>
        <w:rPr>
          <w:sz w:val="20"/>
          <w:szCs w:val="20"/>
          <w:color w:val="auto"/>
        </w:rPr>
      </w:pPr>
    </w:p>
    <w:p>
      <w:pPr>
        <w:ind w:left="400" w:right="280" w:hanging="392"/>
        <w:spacing w:after="0" w:line="244"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$16.6 million for the quarter ended March 31, 2021 and $27.5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2020. The decrease was driven by a one-time charge of $10.2 million for the Pfizer license agreement in the comparable prior period along with conclusion of several clinical trials, which were ongoing in the comparable prior period. The first quarter included a $2.9 million PDUFA fee related to the NDA submission for AXS-05. This fee will be refunded subsequent to the end of the first quarter, as our Small Business Waiver request for the fee was recently granted by the FDA.</w:t>
      </w:r>
    </w:p>
    <w:p>
      <w:pPr>
        <w:spacing w:after="0" w:line="135" w:lineRule="exact"/>
        <w:rPr>
          <w:rFonts w:ascii="Arial" w:cs="Arial" w:eastAsia="Arial" w:hAnsi="Arial"/>
          <w:sz w:val="18"/>
          <w:szCs w:val="18"/>
          <w:color w:val="auto"/>
        </w:rPr>
      </w:pPr>
    </w:p>
    <w:p>
      <w:pPr>
        <w:ind w:left="400" w:right="440" w:hanging="392"/>
        <w:spacing w:after="0" w:line="253"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$11.2 million for the quarter ended March 31, 2021 and $5.0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2020. The increase was primarily due to pre-commercial activities along with increased stock compensation expense.</w:t>
      </w:r>
    </w:p>
    <w:p>
      <w:pPr>
        <w:spacing w:after="0" w:line="128" w:lineRule="exact"/>
        <w:rPr>
          <w:rFonts w:ascii="Arial" w:cs="Arial" w:eastAsia="Arial" w:hAnsi="Arial"/>
          <w:sz w:val="18"/>
          <w:szCs w:val="18"/>
          <w:color w:val="auto"/>
        </w:rPr>
      </w:pPr>
    </w:p>
    <w:p>
      <w:pPr>
        <w:ind w:left="400" w:right="540" w:hanging="392"/>
        <w:spacing w:after="0" w:line="271"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$29.3 million, or $(0.78) per share, for the quarter ended March 31, 2021 compared to a net loss of $32.5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$(0.88) per share, for the comparable period in 2020.</w:t>
      </w:r>
    </w:p>
    <w:p>
      <w:pPr>
        <w:spacing w:after="0" w:line="113"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March 31, 2021, Axsome had $164.7 million of cash compared to $183.9 million at December 31, 2020.</w:t>
      </w:r>
    </w:p>
    <w:p>
      <w:pPr>
        <w:spacing w:after="0" w:line="184"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March 31, 2021, Axsome had 37,563,882 shares of common stock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07"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Axsome believes that its cash at March 31, 2021, along with the remaining committed capital from the $225 million term loan facility, is sufficient to fund anticipated operations, based on the current operating plan, which includes costs for the commercial launch of AXS-05 in MDD and AXS-07 in migraine, into at least 2024.</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6" w:name="page7"/>
    <w:bookmarkEnd w:id="6"/>
    <w:p>
      <w:pPr>
        <w:ind w:left="400" w:right="40" w:hanging="392"/>
        <w:spacing w:after="0" w:line="246"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Axsome expects that its operating expenses will increase year over year as we continue to build out the commercial function and further advance our pipeline.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Axsome will host a conference call and webcast today at 8:00 AM Eastern to discuss first quarter 2021 financial results as well as to provide a corporate update. To participate in the live conference call, please dial (844) 698-4029 (toll-free domestic) or (647) 253-8660 (international), and use the conference ID 6591589. The live webcast can be accessed on the "Webcasts &amp; Presentations" page of the "Investors" section of the Company’s website at axsome.com. A replay of the webcast will be available for approximately 30 days following the live event.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61"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For more information, please visit the Company’s website at axsome.com. The Company may occasionally disseminate material, nonpublic information on the company website.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the successful submission of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as well as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gridSpan w:val="6"/>
          </w:tcPr>
          <w:p>
            <w:pPr>
              <w:jc w:val="right"/>
              <w:ind w:right="940"/>
              <w:spacing w:after="0"/>
              <w:rPr>
                <w:sz w:val="20"/>
                <w:szCs w:val="20"/>
                <w:color w:val="auto"/>
              </w:rPr>
            </w:pPr>
            <w:r>
              <w:rPr>
                <w:rFonts w:ascii="Arial" w:cs="Arial" w:eastAsia="Arial" w:hAnsi="Arial"/>
                <w:sz w:val="20"/>
                <w:szCs w:val="20"/>
                <w:b w:val="1"/>
                <w:bCs w:val="1"/>
                <w:color w:val="auto"/>
              </w:rPr>
              <w:t>Three Months Ended</w:t>
            </w:r>
          </w:p>
        </w:tc>
        <w:tc>
          <w:tcPr>
            <w:tcW w:w="0" w:type="dxa"/>
            <w:vAlign w:val="bottom"/>
          </w:tcPr>
          <w:p>
            <w:pPr>
              <w:spacing w:after="0"/>
              <w:rPr>
                <w:sz w:val="1"/>
                <w:szCs w:val="1"/>
                <w:color w:val="auto"/>
              </w:rPr>
            </w:pPr>
          </w:p>
        </w:tc>
      </w:tr>
      <w:tr>
        <w:trPr>
          <w:trHeight w:val="252"/>
        </w:trPr>
        <w:tc>
          <w:tcPr>
            <w:tcW w:w="7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gridSpan w:val="6"/>
          </w:tcPr>
          <w:p>
            <w:pPr>
              <w:jc w:val="right"/>
              <w:ind w:right="1400"/>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37"/>
        </w:trPr>
        <w:tc>
          <w:tcPr>
            <w:tcW w:w="77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2021</w:t>
            </w:r>
          </w:p>
        </w:tc>
        <w:tc>
          <w:tcPr>
            <w:tcW w:w="180" w:type="dxa"/>
            <w:vAlign w:val="bottom"/>
            <w:tcBorders>
              <w:top w:val="single" w:sz="8" w:color="auto"/>
              <w:bottom w:val="single" w:sz="8" w:color="CFF0FC"/>
            </w:tcBorders>
          </w:tcPr>
          <w:p>
            <w:pPr>
              <w:spacing w:after="0"/>
              <w:rPr>
                <w:sz w:val="20"/>
                <w:szCs w:val="20"/>
                <w:color w:val="auto"/>
              </w:rPr>
            </w:pPr>
          </w:p>
        </w:tc>
        <w:tc>
          <w:tcPr>
            <w:tcW w:w="120" w:type="dxa"/>
            <w:vAlign w:val="bottom"/>
            <w:tcBorders>
              <w:top w:val="single" w:sz="8" w:color="auto"/>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Operating expenses: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60"/>
              <w:spacing w:after="0"/>
              <w:rPr>
                <w:sz w:val="20"/>
                <w:szCs w:val="20"/>
                <w:color w:val="auto"/>
              </w:rPr>
            </w:pPr>
            <w:r>
              <w:rPr>
                <w:rFonts w:ascii="Arial" w:cs="Arial" w:eastAsia="Arial" w:hAnsi="Arial"/>
                <w:sz w:val="20"/>
                <w:szCs w:val="20"/>
                <w:color w:val="auto"/>
              </w:rPr>
              <w:t>Research and development</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16,595,689</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27,521,400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General and administrative</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11,248,372</w:t>
            </w:r>
          </w:p>
        </w:tc>
        <w:tc>
          <w:tcPr>
            <w:tcW w:w="1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4,970,057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operating expenses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27,844,061</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32,491,457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Loss from operations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(27,844,061)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(32,491,457)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Interest and amortization of debt discount (expense)</w:t>
            </w:r>
          </w:p>
        </w:tc>
        <w:tc>
          <w:tcPr>
            <w:tcW w:w="22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(1,415,909)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7,311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loss</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(29,259,970)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(32,484,146)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20"/>
                <w:szCs w:val="20"/>
                <w:color w:val="auto"/>
              </w:rPr>
              <w:t>Net loss per common share, basic and diluted</w:t>
            </w: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00" w:type="dxa"/>
            <w:vAlign w:val="bottom"/>
            <w:tcBorders>
              <w:bottom w:val="single" w:sz="8" w:color="CFF0FC"/>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(0.78)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Weighted average common shares outstanding, basic and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diluted</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37,429,450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37,061,356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7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March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w w:val="90"/>
              </w:rPr>
              <w:t>December 31,</w:t>
            </w:r>
          </w:p>
        </w:tc>
        <w:tc>
          <w:tcPr>
            <w:tcW w:w="0" w:type="dxa"/>
            <w:vAlign w:val="bottom"/>
          </w:tcPr>
          <w:p>
            <w:pPr>
              <w:spacing w:after="0"/>
              <w:rPr>
                <w:sz w:val="1"/>
                <w:szCs w:val="1"/>
                <w:color w:val="auto"/>
              </w:rPr>
            </w:pPr>
          </w:p>
        </w:tc>
      </w:tr>
      <w:tr>
        <w:trPr>
          <w:trHeight w:val="252"/>
        </w:trPr>
        <w:tc>
          <w:tcPr>
            <w:tcW w:w="77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2021</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164,660,132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183,876,453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Total assets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166,903,840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186,134,323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Loan payable, current and long-term</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48,597,943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48,321,848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Accumulated deficit</w:t>
            </w:r>
          </w:p>
        </w:tc>
        <w:tc>
          <w:tcPr>
            <w:tcW w:w="22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(308,056,063)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20"/>
                <w:szCs w:val="20"/>
                <w:color w:val="auto"/>
              </w:rPr>
              <w:t>(278,796,093)</w:t>
            </w: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Stockholders’ equity</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96,293,199</w:t>
            </w:r>
          </w:p>
        </w:tc>
        <w:tc>
          <w:tcPr>
            <w:tcW w:w="1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113,792,909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2021-05-10T16:41:59Z</dcterms:created>
  <dcterms:modified xsi:type="dcterms:W3CDTF">2021-05-10T16:41:59Z</dcterms:modified>
</cp:coreProperties>
</file>