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Filed Pursuant to Rule 424(b)(5)</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333-214859</w:t>
      </w:r>
    </w:p>
    <w:p>
      <w:pPr>
        <w:spacing w:after="0" w:line="2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PROSPECTUS SUPPLEMENT</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dated December 16, 2016)</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1758950</wp:posOffset>
            </wp:positionH>
            <wp:positionV relativeFrom="paragraph">
              <wp:posOffset>148590</wp:posOffset>
            </wp:positionV>
            <wp:extent cx="244411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4411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Axsome Therapeutics, Inc.</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2239010</wp:posOffset>
            </wp:positionH>
            <wp:positionV relativeFrom="paragraph">
              <wp:posOffset>148590</wp:posOffset>
            </wp:positionV>
            <wp:extent cx="1483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40"/>
        <w:spacing w:after="0" w:line="273" w:lineRule="auto"/>
        <w:rPr>
          <w:sz w:val="20"/>
          <w:szCs w:val="20"/>
          <w:color w:val="auto"/>
        </w:rPr>
      </w:pPr>
      <w:r>
        <w:rPr>
          <w:rFonts w:ascii="Arial" w:cs="Arial" w:eastAsia="Arial" w:hAnsi="Arial"/>
          <w:sz w:val="16"/>
          <w:szCs w:val="16"/>
          <w:color w:val="auto"/>
        </w:rPr>
        <w:t>We have entered into a sales agreement, or the Sales Agreement, with SVB Leerink LLC, or SVB Leerink, dated May 9, 2019, relating to shares of our common stock, par value $0.0001 per share, offered by this prospectus supplement and the accompanying prospectus. In accordance with the terms of the Sales Agreement, we may offer and sell shares of our common stock having an aggregate offering price of up to $50.0 million from time to time through SVB Leerink, acting as our agent.</w:t>
      </w:r>
    </w:p>
    <w:p>
      <w:pPr>
        <w:spacing w:after="0" w:line="189" w:lineRule="exact"/>
        <w:rPr>
          <w:sz w:val="24"/>
          <w:szCs w:val="24"/>
          <w:color w:val="auto"/>
        </w:rPr>
      </w:pPr>
    </w:p>
    <w:p>
      <w:pPr>
        <w:ind w:right="500"/>
        <w:spacing w:after="0" w:line="293" w:lineRule="auto"/>
        <w:rPr>
          <w:sz w:val="20"/>
          <w:szCs w:val="20"/>
          <w:color w:val="auto"/>
        </w:rPr>
      </w:pPr>
      <w:r>
        <w:rPr>
          <w:rFonts w:ascii="Arial" w:cs="Arial" w:eastAsia="Arial" w:hAnsi="Arial"/>
          <w:sz w:val="16"/>
          <w:szCs w:val="16"/>
          <w:color w:val="auto"/>
        </w:rPr>
        <w:t>Our common stock is listed on the Nasdaq Global Market under the symbol "AXSM." On May 7, 2019, the last reported sale price of our common stock was $19.54 per share.</w:t>
      </w:r>
    </w:p>
    <w:p>
      <w:pPr>
        <w:spacing w:after="0" w:line="172" w:lineRule="exact"/>
        <w:rPr>
          <w:sz w:val="24"/>
          <w:szCs w:val="24"/>
          <w:color w:val="auto"/>
        </w:rPr>
      </w:pPr>
    </w:p>
    <w:p>
      <w:pPr>
        <w:ind w:right="180"/>
        <w:spacing w:after="0" w:line="293" w:lineRule="auto"/>
        <w:rPr>
          <w:sz w:val="20"/>
          <w:szCs w:val="20"/>
          <w:color w:val="auto"/>
        </w:rPr>
      </w:pPr>
      <w:r>
        <w:rPr>
          <w:rFonts w:ascii="Arial" w:cs="Arial" w:eastAsia="Arial" w:hAnsi="Arial"/>
          <w:sz w:val="15"/>
          <w:szCs w:val="15"/>
          <w:color w:val="auto"/>
        </w:rPr>
        <w:t>Sales of our common stock, if any, under this prospectus supplement and the accompanying prospectus will be made in sales deemed to be "at the market offerings" as defined in Rule 415 promulgated under the Securities Act of 1933, as amended, or the Securities Act. SVB Leerink is not required to sell any specific number or dollar amount of shares of our common stock, but will act as our sales agent using commercially reasonable efforts consistent with its normal trading and sales practices, on mutually agreed terms between SVB Leerink and us. There is no arrangement for funds to be received in any escrow, trust or similar arrangement.</w:t>
      </w:r>
    </w:p>
    <w:p>
      <w:pPr>
        <w:spacing w:after="0" w:line="176" w:lineRule="exact"/>
        <w:rPr>
          <w:sz w:val="24"/>
          <w:szCs w:val="24"/>
          <w:color w:val="auto"/>
        </w:rPr>
      </w:pPr>
    </w:p>
    <w:p>
      <w:pPr>
        <w:ind w:right="40"/>
        <w:spacing w:after="0" w:line="269" w:lineRule="auto"/>
        <w:rPr>
          <w:sz w:val="20"/>
          <w:szCs w:val="20"/>
          <w:color w:val="auto"/>
        </w:rPr>
      </w:pPr>
      <w:r>
        <w:rPr>
          <w:rFonts w:ascii="Arial" w:cs="Arial" w:eastAsia="Arial" w:hAnsi="Arial"/>
          <w:sz w:val="16"/>
          <w:szCs w:val="16"/>
          <w:color w:val="auto"/>
        </w:rPr>
        <w:t>The compensation payable to SVB Leerink for sales of common stock sold pursuant to the Sales Agreement will be an amount equal to 3.0% of the gross proceeds of any shares of common stock sold under the Sales Agreement. See "Plan of Distribution" beginning on page S-10 for additional information regarding the compensation to be paid to SVB Leerink. In connection with the sale of the common stock on our behalf, SVB Leerink will be deemed to be an "underwriter" within the meaning of the Securities Act and the compensation paid to SVB Leerink will be deemed to be underwriting commissions or discounts. We have also agreed in the Sales Agreement to provide indemnification and contribution to SVB Leerink with respect to certain liabilities, including liabilities under the Securities Act or the Securities Exchange Act of 1934, as amended.</w:t>
      </w:r>
    </w:p>
    <w:p>
      <w:pPr>
        <w:spacing w:after="0" w:line="191" w:lineRule="exact"/>
        <w:rPr>
          <w:sz w:val="24"/>
          <w:szCs w:val="24"/>
          <w:color w:val="auto"/>
        </w:rPr>
      </w:pPr>
    </w:p>
    <w:p>
      <w:pPr>
        <w:ind w:right="440"/>
        <w:spacing w:after="0" w:line="293" w:lineRule="auto"/>
        <w:rPr>
          <w:sz w:val="20"/>
          <w:szCs w:val="20"/>
          <w:color w:val="auto"/>
        </w:rPr>
      </w:pPr>
      <w:r>
        <w:rPr>
          <w:rFonts w:ascii="Arial" w:cs="Arial" w:eastAsia="Arial" w:hAnsi="Arial"/>
          <w:sz w:val="16"/>
          <w:szCs w:val="16"/>
          <w:color w:val="auto"/>
        </w:rPr>
        <w:t>We are an emerging growth company as that term is used in the Jumpstart Our Business Startups Act of 2012 and, as such, have elected to comply with certain reduced public company reporting requirements.</w:t>
      </w:r>
    </w:p>
    <w:p>
      <w:pPr>
        <w:spacing w:after="0" w:line="168" w:lineRule="exact"/>
        <w:rPr>
          <w:sz w:val="24"/>
          <w:szCs w:val="24"/>
          <w:color w:val="auto"/>
        </w:rPr>
      </w:pPr>
    </w:p>
    <w:p>
      <w:pPr>
        <w:ind w:right="140"/>
        <w:spacing w:after="0" w:line="375" w:lineRule="auto"/>
        <w:rPr>
          <w:sz w:val="20"/>
          <w:szCs w:val="20"/>
          <w:color w:val="auto"/>
        </w:rPr>
      </w:pPr>
      <w:r>
        <w:rPr>
          <w:rFonts w:ascii="Arial" w:cs="Arial" w:eastAsia="Arial" w:hAnsi="Arial"/>
          <w:sz w:val="14"/>
          <w:szCs w:val="14"/>
          <w:b w:val="1"/>
          <w:bCs w:val="1"/>
          <w:color w:val="auto"/>
        </w:rPr>
        <w:t>Investing in our common stock involves a high degree of risk. See "Risk Factors" beginning on page S-5 of this prospectus supplement and the risk factors in the documents incorporated by reference in this prospectus supplement and the accompanying prospectus.</w:t>
      </w:r>
    </w:p>
    <w:p>
      <w:pPr>
        <w:spacing w:after="0" w:line="118" w:lineRule="exact"/>
        <w:rPr>
          <w:sz w:val="24"/>
          <w:szCs w:val="24"/>
          <w:color w:val="auto"/>
        </w:rPr>
      </w:pPr>
    </w:p>
    <w:p>
      <w:pPr>
        <w:ind w:right="20"/>
        <w:spacing w:after="0" w:line="334"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SVB Leerink</w:t>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supplement is May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689610</wp:posOffset>
            </wp:positionV>
            <wp:extent cx="59601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0"/>
          </w:cols>
          <w:pgMar w:left="1260" w:top="233" w:right="12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900" w:type="dxa"/>
            <w:vAlign w:val="bottom"/>
            <w:gridSpan w:val="2"/>
          </w:tcPr>
          <w:p>
            <w:pPr>
              <w:ind w:left="80"/>
              <w:spacing w:after="0"/>
              <w:rPr>
                <w:sz w:val="20"/>
                <w:szCs w:val="20"/>
                <w:color w:val="auto"/>
              </w:rPr>
            </w:pPr>
            <w:r>
              <w:rPr>
                <w:rFonts w:ascii="Arial" w:cs="Arial" w:eastAsia="Arial" w:hAnsi="Arial"/>
                <w:sz w:val="16"/>
                <w:szCs w:val="16"/>
                <w:b w:val="1"/>
                <w:bCs w:val="1"/>
                <w:color w:val="auto"/>
              </w:rPr>
              <w:t>TABLE OF CONTENTS</w:t>
            </w:r>
          </w:p>
        </w:tc>
        <w:tc>
          <w:tcPr>
            <w:tcW w:w="740" w:type="dxa"/>
            <w:vAlign w:val="bottom"/>
          </w:tcPr>
          <w:p>
            <w:pPr>
              <w:spacing w:after="0"/>
              <w:rPr>
                <w:sz w:val="18"/>
                <w:szCs w:val="18"/>
                <w:color w:val="auto"/>
              </w:rPr>
            </w:pPr>
          </w:p>
        </w:tc>
      </w:tr>
      <w:tr>
        <w:trPr>
          <w:trHeight w:val="621"/>
        </w:trPr>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Page</w:t>
            </w:r>
          </w:p>
        </w:tc>
      </w:tr>
      <w:tr>
        <w:trPr>
          <w:trHeight w:val="395"/>
        </w:trPr>
        <w:tc>
          <w:tcPr>
            <w:tcW w:w="8640" w:type="dxa"/>
            <w:vAlign w:val="bottom"/>
            <w:gridSpan w:val="20"/>
          </w:tcPr>
          <w:p>
            <w:pPr>
              <w:spacing w:after="0"/>
              <w:rPr>
                <w:sz w:val="20"/>
                <w:szCs w:val="20"/>
                <w:color w:val="auto"/>
              </w:rPr>
            </w:pPr>
            <w:r>
              <w:rPr>
                <w:rFonts w:ascii="Arial" w:cs="Arial" w:eastAsia="Arial" w:hAnsi="Arial"/>
                <w:sz w:val="16"/>
                <w:szCs w:val="16"/>
                <w:b w:val="1"/>
                <w:bCs w:val="1"/>
                <w:color w:val="auto"/>
              </w:rPr>
              <w:t>Prospectus Supplement</w:t>
            </w:r>
          </w:p>
        </w:tc>
        <w:tc>
          <w:tcPr>
            <w:tcW w:w="740" w:type="dxa"/>
            <w:vAlign w:val="bottom"/>
          </w:tcPr>
          <w:p>
            <w:pPr>
              <w:spacing w:after="0"/>
              <w:rPr>
                <w:sz w:val="24"/>
                <w:szCs w:val="24"/>
                <w:color w:val="auto"/>
              </w:rPr>
            </w:pPr>
          </w:p>
        </w:tc>
      </w:tr>
      <w:tr>
        <w:trPr>
          <w:trHeight w:val="172"/>
        </w:trPr>
        <w:tc>
          <w:tcPr>
            <w:tcW w:w="2240" w:type="dxa"/>
            <w:vAlign w:val="bottom"/>
            <w:tcBorders>
              <w:bottom w:val="single" w:sz="8" w:color="0000EE"/>
            </w:tcBorders>
            <w:gridSpan w:val="15"/>
          </w:tcPr>
          <w:p>
            <w:pPr>
              <w:spacing w:after="0" w:line="172" w:lineRule="exact"/>
              <w:rPr>
                <w:rFonts w:ascii="Arial" w:cs="Arial" w:eastAsia="Arial" w:hAnsi="Arial"/>
                <w:sz w:val="16"/>
                <w:szCs w:val="16"/>
                <w:color w:val="0000EE"/>
                <w:w w:val="90"/>
              </w:rPr>
            </w:pPr>
            <w:hyperlink w:anchor="page3">
              <w:r>
                <w:rPr>
                  <w:rFonts w:ascii="Arial" w:cs="Arial" w:eastAsia="Arial" w:hAnsi="Arial"/>
                  <w:sz w:val="16"/>
                  <w:szCs w:val="16"/>
                  <w:color w:val="0000EE"/>
                  <w:w w:val="90"/>
                </w:rPr>
                <w:t>About this Prospectus Supplement</w:t>
              </w:r>
            </w:hyperlink>
          </w:p>
        </w:tc>
        <w:tc>
          <w:tcPr>
            <w:tcW w:w="6400" w:type="dxa"/>
            <w:vAlign w:val="bottom"/>
            <w:gridSpan w:val="5"/>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6"/>
                <w:szCs w:val="16"/>
                <w:color w:val="auto"/>
              </w:rPr>
              <w:t>S-ii</w:t>
            </w:r>
          </w:p>
        </w:tc>
      </w:tr>
      <w:tr>
        <w:trPr>
          <w:trHeight w:val="183"/>
        </w:trPr>
        <w:tc>
          <w:tcPr>
            <w:tcW w:w="3740" w:type="dxa"/>
            <w:vAlign w:val="bottom"/>
            <w:tcBorders>
              <w:bottom w:val="single" w:sz="8" w:color="0000EE"/>
            </w:tcBorders>
            <w:gridSpan w:val="18"/>
          </w:tcPr>
          <w:p>
            <w:pPr>
              <w:spacing w:after="0" w:line="183" w:lineRule="exact"/>
              <w:rPr>
                <w:rFonts w:ascii="Arial" w:cs="Arial" w:eastAsia="Arial" w:hAnsi="Arial"/>
                <w:sz w:val="16"/>
                <w:szCs w:val="16"/>
                <w:color w:val="0000EE"/>
                <w:w w:val="92"/>
              </w:rPr>
            </w:pPr>
            <w:hyperlink w:anchor="page4">
              <w:r>
                <w:rPr>
                  <w:rFonts w:ascii="Arial" w:cs="Arial" w:eastAsia="Arial" w:hAnsi="Arial"/>
                  <w:sz w:val="16"/>
                  <w:szCs w:val="16"/>
                  <w:color w:val="0000EE"/>
                  <w:w w:val="92"/>
                </w:rPr>
                <w:t>Cautionary Note Regarding Forward-Looking Statements</w:t>
              </w:r>
            </w:hyperlink>
          </w:p>
        </w:tc>
        <w:tc>
          <w:tcPr>
            <w:tcW w:w="4900" w:type="dxa"/>
            <w:vAlign w:val="bottom"/>
            <w:gridSpan w:val="2"/>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S-iii</w:t>
            </w:r>
          </w:p>
        </w:tc>
      </w:tr>
      <w:tr>
        <w:trPr>
          <w:trHeight w:val="183"/>
        </w:trPr>
        <w:tc>
          <w:tcPr>
            <w:tcW w:w="8640" w:type="dxa"/>
            <w:vAlign w:val="bottom"/>
            <w:gridSpan w:val="20"/>
          </w:tcPr>
          <w:p>
            <w:pPr>
              <w:spacing w:after="0" w:line="183" w:lineRule="exact"/>
              <w:rPr>
                <w:rFonts w:ascii="Arial" w:cs="Arial" w:eastAsia="Arial" w:hAnsi="Arial"/>
                <w:sz w:val="16"/>
                <w:szCs w:val="16"/>
                <w:color w:val="0000EE"/>
              </w:rPr>
            </w:pPr>
            <w:hyperlink w:anchor="page5">
              <w:r>
                <w:rPr>
                  <w:rFonts w:ascii="Arial" w:cs="Arial" w:eastAsia="Arial" w:hAnsi="Arial"/>
                  <w:sz w:val="16"/>
                  <w:szCs w:val="16"/>
                  <w:color w:val="0000EE"/>
                </w:rPr>
                <w:t>Prospectus Supplement Summary</w:t>
              </w:r>
            </w:hyperlink>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S-1</w:t>
            </w:r>
          </w:p>
        </w:tc>
      </w:tr>
      <w:tr>
        <w:trPr>
          <w:trHeight w:val="183"/>
        </w:trPr>
        <w:tc>
          <w:tcPr>
            <w:tcW w:w="82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9"/>
              </w:rPr>
            </w:pPr>
            <w:hyperlink w:anchor="page9">
              <w:r>
                <w:rPr>
                  <w:rFonts w:ascii="Arial" w:cs="Arial" w:eastAsia="Arial" w:hAnsi="Arial"/>
                  <w:sz w:val="16"/>
                  <w:szCs w:val="16"/>
                  <w:color w:val="0000EE"/>
                  <w:w w:val="89"/>
                </w:rPr>
                <w:t>Risk Factors</w:t>
              </w:r>
            </w:hyperlink>
          </w:p>
        </w:tc>
        <w:tc>
          <w:tcPr>
            <w:tcW w:w="1360" w:type="dxa"/>
            <w:vAlign w:val="bottom"/>
            <w:tcBorders>
              <w:top w:val="single" w:sz="8" w:color="0000EE"/>
            </w:tcBorders>
            <w:gridSpan w:val="12"/>
          </w:tcPr>
          <w:p>
            <w:pPr>
              <w:spacing w:after="0"/>
              <w:rPr>
                <w:sz w:val="15"/>
                <w:szCs w:val="15"/>
                <w:color w:val="auto"/>
              </w:rPr>
            </w:pPr>
          </w:p>
        </w:tc>
        <w:tc>
          <w:tcPr>
            <w:tcW w:w="6460" w:type="dxa"/>
            <w:vAlign w:val="bottom"/>
            <w:gridSpan w:val="6"/>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S-5</w:t>
            </w:r>
          </w:p>
        </w:tc>
      </w:tr>
      <w:tr>
        <w:trPr>
          <w:trHeight w:val="183"/>
        </w:trPr>
        <w:tc>
          <w:tcPr>
            <w:tcW w:w="1060" w:type="dxa"/>
            <w:vAlign w:val="bottom"/>
            <w:tcBorders>
              <w:bottom w:val="single" w:sz="8" w:color="0000EE"/>
            </w:tcBorders>
            <w:gridSpan w:val="4"/>
          </w:tcPr>
          <w:p>
            <w:pPr>
              <w:spacing w:after="0" w:line="183" w:lineRule="exact"/>
              <w:rPr>
                <w:rFonts w:ascii="Arial" w:cs="Arial" w:eastAsia="Arial" w:hAnsi="Arial"/>
                <w:sz w:val="16"/>
                <w:szCs w:val="16"/>
                <w:color w:val="0000EE"/>
                <w:w w:val="87"/>
              </w:rPr>
            </w:pPr>
            <w:hyperlink w:anchor="page12">
              <w:r>
                <w:rPr>
                  <w:rFonts w:ascii="Arial" w:cs="Arial" w:eastAsia="Arial" w:hAnsi="Arial"/>
                  <w:sz w:val="16"/>
                  <w:szCs w:val="16"/>
                  <w:color w:val="0000EE"/>
                  <w:w w:val="87"/>
                </w:rPr>
                <w:t>Use of Proceeds</w:t>
              </w:r>
            </w:hyperlink>
          </w:p>
        </w:tc>
        <w:tc>
          <w:tcPr>
            <w:tcW w:w="7580" w:type="dxa"/>
            <w:vAlign w:val="bottom"/>
            <w:gridSpan w:val="16"/>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S-8</w:t>
            </w:r>
          </w:p>
        </w:tc>
      </w:tr>
      <w:tr>
        <w:trPr>
          <w:trHeight w:val="183"/>
        </w:trPr>
        <w:tc>
          <w:tcPr>
            <w:tcW w:w="8640" w:type="dxa"/>
            <w:vAlign w:val="bottom"/>
            <w:gridSpan w:val="20"/>
          </w:tcPr>
          <w:p>
            <w:pPr>
              <w:spacing w:after="0" w:line="183" w:lineRule="exact"/>
              <w:rPr>
                <w:rFonts w:ascii="Arial" w:cs="Arial" w:eastAsia="Arial" w:hAnsi="Arial"/>
                <w:sz w:val="16"/>
                <w:szCs w:val="16"/>
                <w:color w:val="0000EE"/>
              </w:rPr>
            </w:pPr>
            <w:hyperlink w:anchor="page13">
              <w:r>
                <w:rPr>
                  <w:rFonts w:ascii="Arial" w:cs="Arial" w:eastAsia="Arial" w:hAnsi="Arial"/>
                  <w:sz w:val="16"/>
                  <w:szCs w:val="16"/>
                  <w:color w:val="0000EE"/>
                </w:rPr>
                <w:t>Dilution</w:t>
              </w:r>
            </w:hyperlink>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S-9</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640" w:type="dxa"/>
            <w:vAlign w:val="bottom"/>
            <w:gridSpan w:val="20"/>
          </w:tcPr>
          <w:p>
            <w:pPr>
              <w:spacing w:after="0" w:line="183" w:lineRule="exact"/>
              <w:rPr>
                <w:rFonts w:ascii="Arial" w:cs="Arial" w:eastAsia="Arial" w:hAnsi="Arial"/>
                <w:sz w:val="16"/>
                <w:szCs w:val="16"/>
                <w:color w:val="0000EE"/>
              </w:rPr>
            </w:pPr>
            <w:hyperlink w:anchor="page14">
              <w:r>
                <w:rPr>
                  <w:rFonts w:ascii="Arial" w:cs="Arial" w:eastAsia="Arial" w:hAnsi="Arial"/>
                  <w:sz w:val="16"/>
                  <w:szCs w:val="16"/>
                  <w:color w:val="0000EE"/>
                </w:rPr>
                <w:t>Plan of Distribution</w:t>
              </w:r>
            </w:hyperlink>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S-10</w:t>
            </w:r>
          </w:p>
        </w:tc>
      </w:tr>
      <w:tr>
        <w:trPr>
          <w:trHeight w:val="183"/>
        </w:trPr>
        <w:tc>
          <w:tcPr>
            <w:tcW w:w="1280" w:type="dxa"/>
            <w:vAlign w:val="bottom"/>
            <w:tcBorders>
              <w:top w:val="single" w:sz="8" w:color="0000EE"/>
            </w:tcBorders>
            <w:gridSpan w:val="5"/>
          </w:tcPr>
          <w:p>
            <w:pPr>
              <w:spacing w:after="0" w:line="183" w:lineRule="exact"/>
              <w:rPr>
                <w:rFonts w:ascii="Arial" w:cs="Arial" w:eastAsia="Arial" w:hAnsi="Arial"/>
                <w:sz w:val="16"/>
                <w:szCs w:val="16"/>
                <w:color w:val="0000EE"/>
              </w:rPr>
            </w:pPr>
            <w:hyperlink w:anchor="page15">
              <w:r>
                <w:rPr>
                  <w:rFonts w:ascii="Arial" w:cs="Arial" w:eastAsia="Arial" w:hAnsi="Arial"/>
                  <w:sz w:val="16"/>
                  <w:szCs w:val="16"/>
                  <w:color w:val="0000EE"/>
                </w:rPr>
                <w:t>Legal Matters</w:t>
              </w:r>
            </w:hyperlink>
          </w:p>
        </w:tc>
        <w:tc>
          <w:tcPr>
            <w:tcW w:w="7360" w:type="dxa"/>
            <w:vAlign w:val="bottom"/>
            <w:gridSpan w:val="15"/>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S-11</w:t>
            </w:r>
          </w:p>
        </w:tc>
      </w:tr>
      <w:tr>
        <w:trPr>
          <w:trHeight w:val="183"/>
        </w:trPr>
        <w:tc>
          <w:tcPr>
            <w:tcW w:w="54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92"/>
              </w:rPr>
            </w:pPr>
            <w:hyperlink w:anchor="page15">
              <w:r>
                <w:rPr>
                  <w:rFonts w:ascii="Arial" w:cs="Arial" w:eastAsia="Arial" w:hAnsi="Arial"/>
                  <w:sz w:val="16"/>
                  <w:szCs w:val="16"/>
                  <w:color w:val="0000EE"/>
                  <w:w w:val="92"/>
                </w:rPr>
                <w:t>Experts</w:t>
              </w:r>
            </w:hyperlink>
          </w:p>
        </w:tc>
        <w:tc>
          <w:tcPr>
            <w:tcW w:w="360" w:type="dxa"/>
            <w:vAlign w:val="bottom"/>
            <w:tcBorders>
              <w:top w:val="single" w:sz="8" w:color="0000EE"/>
            </w:tcBorders>
            <w:gridSpan w:val="2"/>
          </w:tcPr>
          <w:p>
            <w:pPr>
              <w:spacing w:after="0"/>
              <w:rPr>
                <w:sz w:val="15"/>
                <w:szCs w:val="15"/>
                <w:color w:val="auto"/>
              </w:rPr>
            </w:pPr>
          </w:p>
        </w:tc>
        <w:tc>
          <w:tcPr>
            <w:tcW w:w="7740" w:type="dxa"/>
            <w:vAlign w:val="bottom"/>
            <w:gridSpan w:val="17"/>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S-11</w:t>
            </w:r>
          </w:p>
        </w:tc>
      </w:tr>
      <w:tr>
        <w:trPr>
          <w:trHeight w:val="183"/>
        </w:trPr>
        <w:tc>
          <w:tcPr>
            <w:tcW w:w="8640" w:type="dxa"/>
            <w:vAlign w:val="bottom"/>
            <w:gridSpan w:val="20"/>
          </w:tcPr>
          <w:p>
            <w:pPr>
              <w:spacing w:after="0" w:line="183" w:lineRule="exact"/>
              <w:rPr>
                <w:rFonts w:ascii="Arial" w:cs="Arial" w:eastAsia="Arial" w:hAnsi="Arial"/>
                <w:sz w:val="16"/>
                <w:szCs w:val="16"/>
                <w:color w:val="0000EE"/>
              </w:rPr>
            </w:pPr>
            <w:hyperlink w:anchor="page15">
              <w:r>
                <w:rPr>
                  <w:rFonts w:ascii="Arial" w:cs="Arial" w:eastAsia="Arial" w:hAnsi="Arial"/>
                  <w:sz w:val="16"/>
                  <w:szCs w:val="16"/>
                  <w:color w:val="0000EE"/>
                </w:rPr>
                <w:t>Where You Can Find More Information</w:t>
              </w:r>
            </w:hyperlink>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S-11</w:t>
            </w:r>
          </w:p>
        </w:tc>
      </w:tr>
      <w:tr>
        <w:trPr>
          <w:trHeight w:val="183"/>
        </w:trPr>
        <w:tc>
          <w:tcPr>
            <w:tcW w:w="2580" w:type="dxa"/>
            <w:vAlign w:val="bottom"/>
            <w:tcBorders>
              <w:top w:val="single" w:sz="8" w:color="0000EE"/>
            </w:tcBorders>
            <w:gridSpan w:val="17"/>
          </w:tcPr>
          <w:p>
            <w:pPr>
              <w:spacing w:after="0" w:line="183" w:lineRule="exact"/>
              <w:rPr>
                <w:rFonts w:ascii="Arial" w:cs="Arial" w:eastAsia="Arial" w:hAnsi="Arial"/>
                <w:sz w:val="16"/>
                <w:szCs w:val="16"/>
                <w:color w:val="0000EE"/>
                <w:w w:val="93"/>
              </w:rPr>
            </w:pPr>
            <w:hyperlink w:anchor="page16">
              <w:r>
                <w:rPr>
                  <w:rFonts w:ascii="Arial" w:cs="Arial" w:eastAsia="Arial" w:hAnsi="Arial"/>
                  <w:sz w:val="16"/>
                  <w:szCs w:val="16"/>
                  <w:color w:val="0000EE"/>
                  <w:w w:val="93"/>
                </w:rPr>
                <w:t>Information Incorporated by Reference</w:t>
              </w:r>
            </w:hyperlink>
          </w:p>
        </w:tc>
        <w:tc>
          <w:tcPr>
            <w:tcW w:w="6060" w:type="dxa"/>
            <w:vAlign w:val="bottom"/>
            <w:gridSpan w:val="3"/>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S-12</w:t>
            </w:r>
          </w:p>
        </w:tc>
      </w:tr>
      <w:tr>
        <w:trPr>
          <w:trHeight w:val="416"/>
        </w:trPr>
        <w:tc>
          <w:tcPr>
            <w:tcW w:w="2540" w:type="dxa"/>
            <w:vAlign w:val="bottom"/>
            <w:tcBorders>
              <w:top w:val="single" w:sz="8" w:color="0000EE"/>
            </w:tcBorders>
            <w:gridSpan w:val="16"/>
          </w:tcPr>
          <w:p>
            <w:pPr>
              <w:spacing w:after="0"/>
              <w:rPr>
                <w:sz w:val="20"/>
                <w:szCs w:val="20"/>
                <w:color w:val="auto"/>
              </w:rPr>
            </w:pPr>
            <w:r>
              <w:rPr>
                <w:rFonts w:ascii="Arial" w:cs="Arial" w:eastAsia="Arial" w:hAnsi="Arial"/>
                <w:sz w:val="16"/>
                <w:szCs w:val="16"/>
                <w:b w:val="1"/>
                <w:bCs w:val="1"/>
                <w:color w:val="auto"/>
              </w:rPr>
              <w:t>Prospectus</w:t>
            </w:r>
          </w:p>
        </w:tc>
        <w:tc>
          <w:tcPr>
            <w:tcW w:w="61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r>
      <w:tr>
        <w:trPr>
          <w:trHeight w:val="172"/>
        </w:trPr>
        <w:tc>
          <w:tcPr>
            <w:tcW w:w="1480" w:type="dxa"/>
            <w:vAlign w:val="bottom"/>
            <w:tcBorders>
              <w:bottom w:val="single" w:sz="8" w:color="0000EE"/>
            </w:tcBorders>
            <w:gridSpan w:val="8"/>
          </w:tcPr>
          <w:p>
            <w:pPr>
              <w:spacing w:after="0" w:line="172" w:lineRule="exact"/>
              <w:rPr>
                <w:rFonts w:ascii="Arial" w:cs="Arial" w:eastAsia="Arial" w:hAnsi="Arial"/>
                <w:sz w:val="16"/>
                <w:szCs w:val="16"/>
                <w:color w:val="0000EE"/>
                <w:w w:val="90"/>
              </w:rPr>
            </w:pPr>
            <w:hyperlink w:anchor="page19">
              <w:r>
                <w:rPr>
                  <w:rFonts w:ascii="Arial" w:cs="Arial" w:eastAsia="Arial" w:hAnsi="Arial"/>
                  <w:sz w:val="16"/>
                  <w:szCs w:val="16"/>
                  <w:color w:val="0000EE"/>
                  <w:w w:val="90"/>
                </w:rPr>
                <w:t>About This Prospectus</w:t>
              </w:r>
            </w:hyperlink>
          </w:p>
        </w:tc>
        <w:tc>
          <w:tcPr>
            <w:tcW w:w="7160" w:type="dxa"/>
            <w:vAlign w:val="bottom"/>
            <w:gridSpan w:val="12"/>
          </w:tcPr>
          <w:p>
            <w:pPr>
              <w:spacing w:after="0"/>
              <w:rPr>
                <w:sz w:val="14"/>
                <w:szCs w:val="14"/>
                <w:color w:val="auto"/>
              </w:rPr>
            </w:pPr>
          </w:p>
        </w:tc>
        <w:tc>
          <w:tcPr>
            <w:tcW w:w="740" w:type="dxa"/>
            <w:vAlign w:val="bottom"/>
          </w:tcPr>
          <w:p>
            <w:pPr>
              <w:jc w:val="right"/>
              <w:spacing w:after="0" w:line="172" w:lineRule="exact"/>
              <w:rPr>
                <w:sz w:val="20"/>
                <w:szCs w:val="20"/>
                <w:color w:val="auto"/>
              </w:rPr>
            </w:pPr>
            <w:r>
              <w:rPr>
                <w:rFonts w:ascii="Arial" w:cs="Arial" w:eastAsia="Arial" w:hAnsi="Arial"/>
                <w:sz w:val="16"/>
                <w:szCs w:val="16"/>
                <w:color w:val="auto"/>
              </w:rPr>
              <w:t>3</w:t>
            </w:r>
          </w:p>
        </w:tc>
      </w:tr>
      <w:tr>
        <w:trPr>
          <w:trHeight w:val="183"/>
        </w:trPr>
        <w:tc>
          <w:tcPr>
            <w:tcW w:w="8640" w:type="dxa"/>
            <w:vAlign w:val="bottom"/>
            <w:gridSpan w:val="20"/>
          </w:tcPr>
          <w:p>
            <w:pPr>
              <w:spacing w:after="0" w:line="183" w:lineRule="exact"/>
              <w:rPr>
                <w:rFonts w:ascii="Arial" w:cs="Arial" w:eastAsia="Arial" w:hAnsi="Arial"/>
                <w:sz w:val="16"/>
                <w:szCs w:val="16"/>
                <w:color w:val="0000EE"/>
              </w:rPr>
            </w:pPr>
            <w:hyperlink w:anchor="page19">
              <w:r>
                <w:rPr>
                  <w:rFonts w:ascii="Arial" w:cs="Arial" w:eastAsia="Arial" w:hAnsi="Arial"/>
                  <w:sz w:val="16"/>
                  <w:szCs w:val="16"/>
                  <w:color w:val="0000EE"/>
                </w:rPr>
                <w:t>Axsome Therapeutics, Inc.</w:t>
              </w:r>
            </w:hyperlink>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r>
      <w:tr>
        <w:trPr>
          <w:trHeight w:val="20"/>
        </w:trPr>
        <w:tc>
          <w:tcPr>
            <w:tcW w:w="10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8640" w:type="dxa"/>
            <w:vAlign w:val="bottom"/>
            <w:gridSpan w:val="20"/>
          </w:tcPr>
          <w:p>
            <w:pPr>
              <w:spacing w:after="0" w:line="183" w:lineRule="exact"/>
              <w:rPr>
                <w:rFonts w:ascii="Arial" w:cs="Arial" w:eastAsia="Arial" w:hAnsi="Arial"/>
                <w:sz w:val="16"/>
                <w:szCs w:val="16"/>
                <w:color w:val="0000EE"/>
              </w:rPr>
            </w:pPr>
            <w:hyperlink w:anchor="page20">
              <w:r>
                <w:rPr>
                  <w:rFonts w:ascii="Arial" w:cs="Arial" w:eastAsia="Arial" w:hAnsi="Arial"/>
                  <w:sz w:val="16"/>
                  <w:szCs w:val="16"/>
                  <w:color w:val="0000EE"/>
                </w:rPr>
                <w:t>Forward-Looking Statements</w:t>
              </w:r>
            </w:hyperlink>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r>
      <w:tr>
        <w:trPr>
          <w:trHeight w:val="183"/>
        </w:trPr>
        <w:tc>
          <w:tcPr>
            <w:tcW w:w="82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89"/>
              </w:rPr>
            </w:pPr>
            <w:hyperlink w:anchor="page20">
              <w:r>
                <w:rPr>
                  <w:rFonts w:ascii="Arial" w:cs="Arial" w:eastAsia="Arial" w:hAnsi="Arial"/>
                  <w:sz w:val="16"/>
                  <w:szCs w:val="16"/>
                  <w:color w:val="0000EE"/>
                  <w:w w:val="89"/>
                </w:rPr>
                <w:t>Risk Factors</w:t>
              </w:r>
            </w:hyperlink>
          </w:p>
        </w:tc>
        <w:tc>
          <w:tcPr>
            <w:tcW w:w="1080" w:type="dxa"/>
            <w:vAlign w:val="bottom"/>
            <w:tcBorders>
              <w:top w:val="single" w:sz="8" w:color="0000EE"/>
            </w:tcBorders>
            <w:gridSpan w:val="10"/>
          </w:tcPr>
          <w:p>
            <w:pPr>
              <w:spacing w:after="0"/>
              <w:rPr>
                <w:sz w:val="15"/>
                <w:szCs w:val="15"/>
                <w:color w:val="auto"/>
              </w:rPr>
            </w:pPr>
          </w:p>
        </w:tc>
        <w:tc>
          <w:tcPr>
            <w:tcW w:w="6740" w:type="dxa"/>
            <w:vAlign w:val="bottom"/>
            <w:gridSpan w:val="8"/>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4</w:t>
            </w:r>
          </w:p>
        </w:tc>
      </w:tr>
      <w:tr>
        <w:trPr>
          <w:trHeight w:val="183"/>
        </w:trPr>
        <w:tc>
          <w:tcPr>
            <w:tcW w:w="8640" w:type="dxa"/>
            <w:vAlign w:val="bottom"/>
            <w:gridSpan w:val="20"/>
          </w:tcPr>
          <w:p>
            <w:pPr>
              <w:spacing w:after="0" w:line="183" w:lineRule="exact"/>
              <w:rPr>
                <w:rFonts w:ascii="Arial" w:cs="Arial" w:eastAsia="Arial" w:hAnsi="Arial"/>
                <w:sz w:val="16"/>
                <w:szCs w:val="16"/>
                <w:color w:val="0000EE"/>
              </w:rPr>
            </w:pPr>
            <w:hyperlink w:anchor="page21">
              <w:r>
                <w:rPr>
                  <w:rFonts w:ascii="Arial" w:cs="Arial" w:eastAsia="Arial" w:hAnsi="Arial"/>
                  <w:sz w:val="16"/>
                  <w:szCs w:val="16"/>
                  <w:color w:val="0000EE"/>
                </w:rPr>
                <w:t>Ratio of Earnings to Fixed Charges and Preferred Stock Dividend Requirements</w:t>
              </w:r>
            </w:hyperlink>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5</w:t>
            </w:r>
          </w:p>
        </w:tc>
      </w:tr>
      <w:tr>
        <w:trPr>
          <w:trHeight w:val="183"/>
        </w:trPr>
        <w:tc>
          <w:tcPr>
            <w:tcW w:w="106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87"/>
              </w:rPr>
            </w:pPr>
            <w:hyperlink w:anchor="page21">
              <w:r>
                <w:rPr>
                  <w:rFonts w:ascii="Arial" w:cs="Arial" w:eastAsia="Arial" w:hAnsi="Arial"/>
                  <w:sz w:val="16"/>
                  <w:szCs w:val="16"/>
                  <w:color w:val="0000EE"/>
                  <w:w w:val="87"/>
                </w:rPr>
                <w:t>Use of Proceeds</w:t>
              </w:r>
            </w:hyperlink>
          </w:p>
        </w:tc>
        <w:tc>
          <w:tcPr>
            <w:tcW w:w="4140" w:type="dxa"/>
            <w:vAlign w:val="bottom"/>
            <w:tcBorders>
              <w:top w:val="single" w:sz="8" w:color="0000EE"/>
            </w:tcBorders>
            <w:gridSpan w:val="15"/>
          </w:tcPr>
          <w:p>
            <w:pPr>
              <w:spacing w:after="0"/>
              <w:rPr>
                <w:sz w:val="15"/>
                <w:szCs w:val="15"/>
                <w:color w:val="auto"/>
              </w:rPr>
            </w:pPr>
          </w:p>
        </w:tc>
        <w:tc>
          <w:tcPr>
            <w:tcW w:w="34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5</w:t>
            </w:r>
          </w:p>
        </w:tc>
      </w:tr>
      <w:tr>
        <w:trPr>
          <w:trHeight w:val="183"/>
        </w:trPr>
        <w:tc>
          <w:tcPr>
            <w:tcW w:w="1860" w:type="dxa"/>
            <w:vAlign w:val="bottom"/>
            <w:tcBorders>
              <w:bottom w:val="single" w:sz="8" w:color="0000EE"/>
            </w:tcBorders>
            <w:gridSpan w:val="11"/>
          </w:tcPr>
          <w:p>
            <w:pPr>
              <w:spacing w:after="0" w:line="183" w:lineRule="exact"/>
              <w:rPr>
                <w:rFonts w:ascii="Arial" w:cs="Arial" w:eastAsia="Arial" w:hAnsi="Arial"/>
                <w:sz w:val="16"/>
                <w:szCs w:val="16"/>
                <w:color w:val="0000EE"/>
                <w:w w:val="93"/>
              </w:rPr>
            </w:pPr>
            <w:hyperlink w:anchor="page21">
              <w:r>
                <w:rPr>
                  <w:rFonts w:ascii="Arial" w:cs="Arial" w:eastAsia="Arial" w:hAnsi="Arial"/>
                  <w:sz w:val="16"/>
                  <w:szCs w:val="16"/>
                  <w:color w:val="0000EE"/>
                  <w:w w:val="93"/>
                </w:rPr>
                <w:t>Description of Capital Stock</w:t>
              </w:r>
            </w:hyperlink>
          </w:p>
        </w:tc>
        <w:tc>
          <w:tcPr>
            <w:tcW w:w="6780" w:type="dxa"/>
            <w:vAlign w:val="bottom"/>
            <w:gridSpan w:val="9"/>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5</w:t>
            </w:r>
          </w:p>
        </w:tc>
      </w:tr>
      <w:tr>
        <w:trPr>
          <w:trHeight w:val="183"/>
        </w:trPr>
        <w:tc>
          <w:tcPr>
            <w:tcW w:w="1560" w:type="dxa"/>
            <w:vAlign w:val="bottom"/>
            <w:tcBorders>
              <w:bottom w:val="single" w:sz="8" w:color="0000EE"/>
            </w:tcBorders>
            <w:gridSpan w:val="9"/>
          </w:tcPr>
          <w:p>
            <w:pPr>
              <w:spacing w:after="0" w:line="183" w:lineRule="exact"/>
              <w:rPr>
                <w:rFonts w:ascii="Arial" w:cs="Arial" w:eastAsia="Arial" w:hAnsi="Arial"/>
                <w:sz w:val="16"/>
                <w:szCs w:val="16"/>
                <w:color w:val="0000EE"/>
                <w:w w:val="92"/>
              </w:rPr>
            </w:pPr>
            <w:hyperlink w:anchor="page24">
              <w:r>
                <w:rPr>
                  <w:rFonts w:ascii="Arial" w:cs="Arial" w:eastAsia="Arial" w:hAnsi="Arial"/>
                  <w:sz w:val="16"/>
                  <w:szCs w:val="16"/>
                  <w:color w:val="0000EE"/>
                  <w:w w:val="92"/>
                </w:rPr>
                <w:t>Description of Warrants</w:t>
              </w:r>
            </w:hyperlink>
          </w:p>
        </w:tc>
        <w:tc>
          <w:tcPr>
            <w:tcW w:w="7080" w:type="dxa"/>
            <w:vAlign w:val="bottom"/>
            <w:gridSpan w:val="11"/>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8</w:t>
            </w:r>
          </w:p>
        </w:tc>
      </w:tr>
      <w:tr>
        <w:trPr>
          <w:trHeight w:val="183"/>
        </w:trPr>
        <w:tc>
          <w:tcPr>
            <w:tcW w:w="8640" w:type="dxa"/>
            <w:vAlign w:val="bottom"/>
            <w:gridSpan w:val="20"/>
          </w:tcPr>
          <w:p>
            <w:pPr>
              <w:spacing w:after="0" w:line="183" w:lineRule="exact"/>
              <w:rPr>
                <w:rFonts w:ascii="Arial" w:cs="Arial" w:eastAsia="Arial" w:hAnsi="Arial"/>
                <w:sz w:val="16"/>
                <w:szCs w:val="16"/>
                <w:color w:val="0000EE"/>
              </w:rPr>
            </w:pPr>
            <w:hyperlink w:anchor="page26">
              <w:r>
                <w:rPr>
                  <w:rFonts w:ascii="Arial" w:cs="Arial" w:eastAsia="Arial" w:hAnsi="Arial"/>
                  <w:sz w:val="16"/>
                  <w:szCs w:val="16"/>
                  <w:color w:val="0000EE"/>
                </w:rPr>
                <w:t>Description of Debt Securities</w:t>
              </w:r>
            </w:hyperlink>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10</w:t>
            </w:r>
          </w:p>
        </w:tc>
      </w:tr>
      <w:tr>
        <w:trPr>
          <w:trHeight w:val="183"/>
        </w:trPr>
        <w:tc>
          <w:tcPr>
            <w:tcW w:w="1400" w:type="dxa"/>
            <w:vAlign w:val="bottom"/>
            <w:tcBorders>
              <w:top w:val="single" w:sz="8" w:color="0000EE"/>
              <w:bottom w:val="single" w:sz="8" w:color="0000EE"/>
            </w:tcBorders>
            <w:gridSpan w:val="7"/>
          </w:tcPr>
          <w:p>
            <w:pPr>
              <w:spacing w:after="0" w:line="183" w:lineRule="exact"/>
              <w:rPr>
                <w:rFonts w:ascii="Arial" w:cs="Arial" w:eastAsia="Arial" w:hAnsi="Arial"/>
                <w:sz w:val="16"/>
                <w:szCs w:val="16"/>
                <w:color w:val="0000EE"/>
                <w:w w:val="93"/>
              </w:rPr>
            </w:pPr>
            <w:hyperlink w:anchor="page33">
              <w:r>
                <w:rPr>
                  <w:rFonts w:ascii="Arial" w:cs="Arial" w:eastAsia="Arial" w:hAnsi="Arial"/>
                  <w:sz w:val="16"/>
                  <w:szCs w:val="16"/>
                  <w:color w:val="0000EE"/>
                  <w:w w:val="93"/>
                </w:rPr>
                <w:t>Description of Rights</w:t>
              </w:r>
            </w:hyperlink>
          </w:p>
        </w:tc>
        <w:tc>
          <w:tcPr>
            <w:tcW w:w="560" w:type="dxa"/>
            <w:vAlign w:val="bottom"/>
            <w:tcBorders>
              <w:top w:val="single" w:sz="8" w:color="0000EE"/>
            </w:tcBorders>
            <w:gridSpan w:val="6"/>
          </w:tcPr>
          <w:p>
            <w:pPr>
              <w:spacing w:after="0"/>
              <w:rPr>
                <w:sz w:val="15"/>
                <w:szCs w:val="15"/>
                <w:color w:val="auto"/>
              </w:rPr>
            </w:pPr>
          </w:p>
        </w:tc>
        <w:tc>
          <w:tcPr>
            <w:tcW w:w="6680" w:type="dxa"/>
            <w:vAlign w:val="bottom"/>
            <w:gridSpan w:val="7"/>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17</w:t>
            </w:r>
          </w:p>
        </w:tc>
      </w:tr>
      <w:tr>
        <w:trPr>
          <w:trHeight w:val="183"/>
        </w:trPr>
        <w:tc>
          <w:tcPr>
            <w:tcW w:w="8640" w:type="dxa"/>
            <w:vAlign w:val="bottom"/>
            <w:gridSpan w:val="20"/>
          </w:tcPr>
          <w:p>
            <w:pPr>
              <w:spacing w:after="0" w:line="183" w:lineRule="exact"/>
              <w:rPr>
                <w:rFonts w:ascii="Arial" w:cs="Arial" w:eastAsia="Arial" w:hAnsi="Arial"/>
                <w:sz w:val="16"/>
                <w:szCs w:val="16"/>
                <w:color w:val="0000EE"/>
              </w:rPr>
            </w:pPr>
            <w:hyperlink w:anchor="page34">
              <w:r>
                <w:rPr>
                  <w:rFonts w:ascii="Arial" w:cs="Arial" w:eastAsia="Arial" w:hAnsi="Arial"/>
                  <w:sz w:val="16"/>
                  <w:szCs w:val="16"/>
                  <w:color w:val="0000EE"/>
                </w:rPr>
                <w:t>Description Of Units</w:t>
              </w:r>
            </w:hyperlink>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18</w:t>
            </w:r>
          </w:p>
        </w:tc>
      </w:tr>
      <w:tr>
        <w:trPr>
          <w:trHeight w:val="183"/>
        </w:trPr>
        <w:tc>
          <w:tcPr>
            <w:tcW w:w="1360" w:type="dxa"/>
            <w:vAlign w:val="bottom"/>
            <w:tcBorders>
              <w:top w:val="single" w:sz="8" w:color="0000EE"/>
            </w:tcBorders>
            <w:gridSpan w:val="6"/>
          </w:tcPr>
          <w:p>
            <w:pPr>
              <w:spacing w:after="0" w:line="183" w:lineRule="exact"/>
              <w:rPr>
                <w:rFonts w:ascii="Arial" w:cs="Arial" w:eastAsia="Arial" w:hAnsi="Arial"/>
                <w:sz w:val="16"/>
                <w:szCs w:val="16"/>
                <w:color w:val="0000EE"/>
                <w:w w:val="99"/>
              </w:rPr>
            </w:pPr>
            <w:hyperlink w:anchor="page35">
              <w:r>
                <w:rPr>
                  <w:rFonts w:ascii="Arial" w:cs="Arial" w:eastAsia="Arial" w:hAnsi="Arial"/>
                  <w:sz w:val="16"/>
                  <w:szCs w:val="16"/>
                  <w:color w:val="0000EE"/>
                  <w:w w:val="99"/>
                </w:rPr>
                <w:t>Plan of Distribution</w:t>
              </w:r>
            </w:hyperlink>
          </w:p>
        </w:tc>
        <w:tc>
          <w:tcPr>
            <w:tcW w:w="7280" w:type="dxa"/>
            <w:vAlign w:val="bottom"/>
            <w:gridSpan w:val="14"/>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19</w:t>
            </w:r>
          </w:p>
        </w:tc>
      </w:tr>
      <w:tr>
        <w:trPr>
          <w:trHeight w:val="183"/>
        </w:trPr>
        <w:tc>
          <w:tcPr>
            <w:tcW w:w="1280" w:type="dxa"/>
            <w:vAlign w:val="bottom"/>
            <w:tcBorders>
              <w:top w:val="single" w:sz="8" w:color="0000EE"/>
            </w:tcBorders>
            <w:gridSpan w:val="5"/>
          </w:tcPr>
          <w:p>
            <w:pPr>
              <w:spacing w:after="0" w:line="183" w:lineRule="exact"/>
              <w:rPr>
                <w:rFonts w:ascii="Arial" w:cs="Arial" w:eastAsia="Arial" w:hAnsi="Arial"/>
                <w:sz w:val="16"/>
                <w:szCs w:val="16"/>
                <w:color w:val="0000EE"/>
              </w:rPr>
            </w:pPr>
            <w:hyperlink w:anchor="page36">
              <w:r>
                <w:rPr>
                  <w:rFonts w:ascii="Arial" w:cs="Arial" w:eastAsia="Arial" w:hAnsi="Arial"/>
                  <w:sz w:val="16"/>
                  <w:szCs w:val="16"/>
                  <w:color w:val="0000EE"/>
                </w:rPr>
                <w:t>Legal Matters</w:t>
              </w:r>
            </w:hyperlink>
          </w:p>
        </w:tc>
        <w:tc>
          <w:tcPr>
            <w:tcW w:w="7360" w:type="dxa"/>
            <w:vAlign w:val="bottom"/>
            <w:gridSpan w:val="15"/>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20</w:t>
            </w:r>
          </w:p>
        </w:tc>
      </w:tr>
      <w:tr>
        <w:trPr>
          <w:trHeight w:val="183"/>
        </w:trPr>
        <w:tc>
          <w:tcPr>
            <w:tcW w:w="54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92"/>
              </w:rPr>
            </w:pPr>
            <w:hyperlink w:anchor="page36">
              <w:r>
                <w:rPr>
                  <w:rFonts w:ascii="Arial" w:cs="Arial" w:eastAsia="Arial" w:hAnsi="Arial"/>
                  <w:sz w:val="16"/>
                  <w:szCs w:val="16"/>
                  <w:color w:val="0000EE"/>
                  <w:w w:val="92"/>
                </w:rPr>
                <w:t>Experts</w:t>
              </w:r>
            </w:hyperlink>
          </w:p>
        </w:tc>
        <w:tc>
          <w:tcPr>
            <w:tcW w:w="360" w:type="dxa"/>
            <w:vAlign w:val="bottom"/>
            <w:tcBorders>
              <w:top w:val="single" w:sz="8" w:color="0000EE"/>
            </w:tcBorders>
            <w:gridSpan w:val="2"/>
          </w:tcPr>
          <w:p>
            <w:pPr>
              <w:spacing w:after="0"/>
              <w:rPr>
                <w:sz w:val="15"/>
                <w:szCs w:val="15"/>
                <w:color w:val="auto"/>
              </w:rPr>
            </w:pPr>
          </w:p>
        </w:tc>
        <w:tc>
          <w:tcPr>
            <w:tcW w:w="7740" w:type="dxa"/>
            <w:vAlign w:val="bottom"/>
            <w:gridSpan w:val="17"/>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20</w:t>
            </w:r>
          </w:p>
        </w:tc>
      </w:tr>
      <w:tr>
        <w:trPr>
          <w:trHeight w:val="183"/>
        </w:trPr>
        <w:tc>
          <w:tcPr>
            <w:tcW w:w="8640" w:type="dxa"/>
            <w:vAlign w:val="bottom"/>
            <w:gridSpan w:val="20"/>
          </w:tcPr>
          <w:p>
            <w:pPr>
              <w:spacing w:after="0" w:line="183" w:lineRule="exact"/>
              <w:rPr>
                <w:rFonts w:ascii="Arial" w:cs="Arial" w:eastAsia="Arial" w:hAnsi="Arial"/>
                <w:sz w:val="16"/>
                <w:szCs w:val="16"/>
                <w:color w:val="0000EE"/>
              </w:rPr>
            </w:pPr>
            <w:hyperlink w:anchor="page37">
              <w:r>
                <w:rPr>
                  <w:rFonts w:ascii="Arial" w:cs="Arial" w:eastAsia="Arial" w:hAnsi="Arial"/>
                  <w:sz w:val="16"/>
                  <w:szCs w:val="16"/>
                  <w:color w:val="0000EE"/>
                </w:rPr>
                <w:t>Where You Can Find More Information</w:t>
              </w:r>
            </w:hyperlink>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r>
      <w:tr>
        <w:trPr>
          <w:trHeight w:val="183"/>
        </w:trPr>
        <w:tc>
          <w:tcPr>
            <w:tcW w:w="2580" w:type="dxa"/>
            <w:vAlign w:val="bottom"/>
            <w:tcBorders>
              <w:top w:val="single" w:sz="8" w:color="0000EE"/>
            </w:tcBorders>
            <w:gridSpan w:val="17"/>
          </w:tcPr>
          <w:p>
            <w:pPr>
              <w:spacing w:after="0" w:line="183" w:lineRule="exact"/>
              <w:rPr>
                <w:rFonts w:ascii="Arial" w:cs="Arial" w:eastAsia="Arial" w:hAnsi="Arial"/>
                <w:sz w:val="16"/>
                <w:szCs w:val="16"/>
                <w:color w:val="0000EE"/>
                <w:w w:val="93"/>
              </w:rPr>
            </w:pPr>
            <w:hyperlink w:anchor="page37">
              <w:r>
                <w:rPr>
                  <w:rFonts w:ascii="Arial" w:cs="Arial" w:eastAsia="Arial" w:hAnsi="Arial"/>
                  <w:sz w:val="16"/>
                  <w:szCs w:val="16"/>
                  <w:color w:val="0000EE"/>
                  <w:w w:val="93"/>
                </w:rPr>
                <w:t>Information Incorporated by Reference</w:t>
              </w:r>
            </w:hyperlink>
          </w:p>
        </w:tc>
        <w:tc>
          <w:tcPr>
            <w:tcW w:w="6060" w:type="dxa"/>
            <w:vAlign w:val="bottom"/>
            <w:gridSpan w:val="3"/>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line="308" w:lineRule="auto"/>
        <w:rPr>
          <w:sz w:val="20"/>
          <w:szCs w:val="20"/>
          <w:color w:val="auto"/>
        </w:rPr>
      </w:pPr>
      <w:r>
        <w:rPr>
          <w:rFonts w:ascii="Arial" w:cs="Arial" w:eastAsia="Arial" w:hAnsi="Arial"/>
          <w:sz w:val="14"/>
          <w:szCs w:val="14"/>
          <w:b w:val="1"/>
          <w:bCs w:val="1"/>
          <w:color w:val="auto"/>
        </w:rPr>
        <w:t>Neither we nor SVB Leerink have authorized anyone to provide any information or to make any representations other than those contained or incorporated by reference in this prospectus supplement, the accompanying prospectus or in any free writing prospectus that we have authorized for use in connection with this offering. We and SVB Leerink take no responsibility for, and can provide no assurance as to the reliability of, any other information that others may give you. This prospectus supplement and the accompanying prospectus together constitute an offer to sell only the securities offered hereby, but only under circumstances and in jurisdictions where it is lawful to do so. The information contained in this prospectus supplement, the accompanying prospectus and any free writing prospectus that we have authorized for use in connection with this offering is current only as of its date. Our business, financial condition, results of operations and prospects may have changed since those dates. You should read this prospectus supplement, the accompanying prospectus, the documents incorporated by reference herein and therein, and any free writing prospectus that we have authorized for use in connection with this offering when making your investment decision. You should also read and consider the information in the documents we have referred you to in the sections of this prospectus supplement and the accompanying prospectus entitled "Where You Can Find More Information" and "Information Incorporated by Reference."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ABOUT THIS PROSPECTUS SUPPLEMENT</w:t>
      </w:r>
    </w:p>
    <w:p>
      <w:pPr>
        <w:spacing w:after="0" w:line="239"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This prospectus supplement and the accompanying prospectus form part of a registration statement on Form S-3 (No. 333-214859)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You should rely only on the information that we have included or incorporated by reference in this prospectus supplement, the accompanying prospectus and any related free writing prospectus that we have authorized for use in connection with this offering. Neither we nor SVB Leerink have authorized any dealer, salesman or other person to give any information or to make any representation other than those contained or incorporated by reference in this prospectus supplement, the accompanying prospectus or any related free writing prospectus that we have authorized for use in connection with this offering.</w:t>
      </w:r>
    </w:p>
    <w:p>
      <w:pPr>
        <w:spacing w:after="0" w:line="190"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90" w:lineRule="exact"/>
        <w:rPr>
          <w:sz w:val="20"/>
          <w:szCs w:val="20"/>
          <w:color w:val="auto"/>
        </w:rPr>
      </w:pPr>
    </w:p>
    <w:p>
      <w:pPr>
        <w:ind w:right="160"/>
        <w:spacing w:after="0" w:line="297" w:lineRule="auto"/>
        <w:rPr>
          <w:sz w:val="20"/>
          <w:szCs w:val="20"/>
          <w:color w:val="auto"/>
        </w:rPr>
      </w:pPr>
      <w:r>
        <w:rPr>
          <w:rFonts w:ascii="Arial" w:cs="Arial" w:eastAsia="Arial" w:hAnsi="Arial"/>
          <w:sz w:val="15"/>
          <w:szCs w:val="15"/>
          <w:color w:val="auto"/>
        </w:rPr>
        <w:t>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73"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 You should assume that the information appearing in this prospectus supplement, the accompanying prospectus,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0"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This prospectus supplement contains or incorporates by reference summaries of certain provisions contained in some of the documents described herein, but all such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39"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Certain matters discussed in this prospectus supplement and the accompanying prospectus, including matters discussed under the heading "Management's Discussion and Analysis of Financial Condition and Results of Operations," incorporated by reference herein from our most recent Annual Report on Form 10-K and Quarterly Reports on Form 10-Q for the quarterly periods ended subsequent to our filing of such Annual Report on Form 10-K,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Our actual results may differ materially from the results anticipated in these forward-looking statements due to a variety of factors, including, without limitation, those discussed under the headings "Risk Factors" and "Management's Discussion and Analysis of Financial Condition and Results of Operations" and elsewhere in this prospectus supplement and the documents incorporated by reference herein, as well as other factors which may be identified from time to time in our other filings with the SEC, or in the documents in which such forward-looking statements appear. All written or oral forward-looking statements attributable to us are expressly qualified in their entirety by these cautionary statements.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 particular, our statements regarding trends and potential future results are examples of such forward-looking statements. The forward-looking statements include risks and uncertainties, including, but not limited to, our expectations regarding sales of our common stock pursuant to the Sales Agreement; the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regulatory approval from the U.S. Food and Drug Administration, European Medicines Agency or other regulatory authority, or other anticipated regulatory action with respect to, our current or future product candidates; our ability to obtain additional capital necessary to fund our operations and our expectations relating to future capital requirements; our ability to generate revenues in the future; our ability to defend our intellectual property successfully or obtain the necessary licenses at a cost acceptable to us, if at all; the successful implementation of our research and development programs; the enforceability and success of our license agreements; the acceptance by the market of our product candidates, if approved; and other factors, including general economic conditions and regulatory developments, not within our control and discussed under the heading "Risk Factors," including those risk factors that are incorporated by reference in this prospectus supplement and the accompanying prospectus.</w:t>
      </w:r>
    </w:p>
    <w:p>
      <w:pPr>
        <w:spacing w:after="0" w:line="181"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The forward-looking statements contained in this prospectus supplement and the accompanying prospectus reflect our views and assumptions only as of the date of this prospectus supplement. Except as required by law, we assume no responsibility for updating any forward-looking statements.</w:t>
      </w:r>
    </w:p>
    <w:p>
      <w:pPr>
        <w:spacing w:after="0" w:line="18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PROSPECTUS SUPPLEMENT SUMMARY</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i w:val="1"/>
          <w:iCs w:val="1"/>
          <w:color w:val="auto"/>
        </w:rPr>
        <w:t>This summary highlights selected information contained elsewhere in, or incorporated by reference into, this prospectus supplement and the accompanying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supplement, the accompanying prospectus, any free writing prospectus that we have authorized for use in connection with this offering and the documents incorporated by reference in this prospectus supplement and the accompanying prospectus. You should read all such documents carefully and you should pay special attention to the information contained under the caption entitled "Risk Factors" in this prospectus supplement, in our Annual Reports on Form 10-K, in any subsequent Quarterly Reports on Form 10-Q and in our other reports filed from time to time with the SEC, which are incorporated by reference into this prospectus supplement and the accompanying prospectus, before deciding to buy shares of our common stock. Unless the context requires otherwise, references in this prospectus supplement to "Axsome," "we," "us" and "our" refer to Axsome Therapeutics, Inc. and our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Overview</w:t>
      </w:r>
    </w:p>
    <w:p>
      <w:pPr>
        <w:spacing w:after="0" w:line="198"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AXS-05, AXS-07, AXS-09, and AXS-12, which are being developed for multiple indications. We are conducting a Phase 3 trial with AXS-05 in treatment resistant depression, or TRD, which we refer to as the STRIDE-1 study, and a Phase 2/3 trial in agitation associated with Alzheimer's disease, or AD, which we refer to as the ADVANCE-1 study. We have completed a Phase 2 trial in MDD, which we refer to as the ASCEND study and a Phase 2 trial in smoking cessation. AXS-07 is currently in a Phase 3 trial for the acute treatment of migraine. AXS-12 is currently in a Phase 2 trial in narcolepsy. The Axsome Pain and Primary Care business unit, or Axsome PPC, houses our pain and primary care assets, including AXS-02 and AXS-06, and intellectual property which covers these and related product candidates and molecules being developed by us and others. We are conducting a Phase 3 trial with AXS-02 in knee osteoarthritis, or OA, associated with bone marrow lesions, or BMLs, pursuant to a Special Protocol Assessment, or SPA, which we refer to as the COAST-1 study. AXS-06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42"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AXS-05 is a novel, oral, investigational NMDA receptor antagonist with multimodal activity under development for the treatment of CNS disorders. AXS-05 consists of bupropion and dextromethorphan, or DM, and utilizes our metabolic inhibition technology. We are developing AXS-05 initially for the following four indications: TRD, agitation associated with AD, MDD,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AXS-05 utilizing the 505(b)(2) regulatory development pathway.</w:t>
      </w:r>
    </w:p>
    <w:p>
      <w:pPr>
        <w:spacing w:after="0" w:line="154"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AXS-07, is a novel, oral, investigational medicine with distinct dual mechanisms of action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5-HT1B/D agonist that inhibits calcitonin gene-related peptide-, or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39" w:lineRule="exact"/>
        <w:rPr>
          <w:sz w:val="20"/>
          <w:szCs w:val="20"/>
          <w:color w:val="auto"/>
        </w:rPr>
      </w:pPr>
    </w:p>
    <w:p>
      <w:pPr>
        <w:ind w:right="80"/>
        <w:spacing w:after="0" w:line="303" w:lineRule="auto"/>
        <w:rPr>
          <w:sz w:val="20"/>
          <w:szCs w:val="20"/>
          <w:color w:val="auto"/>
        </w:rPr>
      </w:pPr>
      <w:r>
        <w:rPr>
          <w:rFonts w:ascii="Arial" w:cs="Arial" w:eastAsia="Arial" w:hAnsi="Arial"/>
          <w:sz w:val="14"/>
          <w:szCs w:val="14"/>
          <w:color w:val="auto"/>
        </w:rPr>
        <w:t>AXS-09 is a novel, oral, investigational medicine consisting of esbupropion and DM, which is being developed for the treatment of CNS disorders. AXS-09 contains esbupropion, the chirally pure S-enantiomer of bupropion, as compared to the company’s first generation product candidate AXS-05 which contains racemic bupropion, equal amounts of the S- and R-enantiomers. We have demonstrated in a Phase 1 trial that DM plasma levels are substantially increased into a potentially therapeutic range with repeated administration of AXS-09. Results of this Phase</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 trial coupled with preclinical data also indicate the potential for enhanced absorption and therapeutic effect of the S-enantiomer as compared to the R-enantiomer.</w:t>
      </w:r>
    </w:p>
    <w:p>
      <w:pPr>
        <w:spacing w:after="0" w:line="135" w:lineRule="exact"/>
        <w:rPr>
          <w:sz w:val="20"/>
          <w:szCs w:val="20"/>
          <w:color w:val="auto"/>
        </w:rPr>
      </w:pPr>
    </w:p>
    <w:p>
      <w:pPr>
        <w:ind w:right="220"/>
        <w:spacing w:after="0" w:line="324" w:lineRule="auto"/>
        <w:rPr>
          <w:sz w:val="20"/>
          <w:szCs w:val="20"/>
          <w:color w:val="auto"/>
        </w:rPr>
      </w:pPr>
      <w:r>
        <w:rPr>
          <w:rFonts w:ascii="Arial" w:cs="Arial" w:eastAsia="Arial" w:hAnsi="Arial"/>
          <w:sz w:val="14"/>
          <w:szCs w:val="14"/>
          <w:color w:val="auto"/>
        </w:rPr>
        <w:t>AXS-12, reboxetine, is a novel, oral, investigational medicine in development for treatment of narcolepsy. AXS-12 is a highly selective and potent norepinephrine reuptake inhibitor. The potential utility of AXS-12 in narcolepsy is supported by positive pre-clinical and preliminary clinical results in narcolepsy, and an extensive positive clinical safety record. Reboxetine, the active agent in AXS-12, significantly and dose-dependently reduced narcoleptic episodes in hypocretin-, or orexin-deficient mice, a well-established genetic animal model of narcolepsy.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5" w:right="12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8"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Axsome PPC, houses Axsome’s pain and primary care assets, including AXS-02 and AXS-06, and intellectual property which covers these and related product candidates and molecules being developed by Axsome and others. AXS-02 is being developed for the treatment of knee osteoarthritis, or OA, associated with bone marrow lesions, or BMLs, and chronic low back pain, or CLBP, associated with Modic changes, or MCs. Lastly, AXS-06 is being developed for the treatment of osteoarthritis and rheumatoid arthritis and for the reduction of the risk of NSAID-associated gastrointestinal ulcers.</w:t>
      </w:r>
    </w:p>
    <w:p>
      <w:pPr>
        <w:spacing w:after="0" w:line="190"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AXS-02, disodium zoledronate tetrahydrate, is a potentially first-in-class, oral, targeted, non-opioid therapeutic for chronic pain. AXS-02 is a potent inhibitor of osteoclasts, which are bone remodeling cells that break down bone tissue. We are developing AXS-02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AXS-02, such as inhibition of osteoclast activity. These mechanisms may result in a reduction of pain in these conditions. We intend to seek FDA approval for AXS-02 utilizing the 505(b)(2) regulatory development pathway.</w:t>
      </w:r>
    </w:p>
    <w:p>
      <w:pPr>
        <w:spacing w:after="0" w:line="190"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AXS-06, is a novel, oral, non-opioid, fixed-dose combination of MoSEIC™ meloxicam and esomeprazole. We are developing AXS-06 initially for the treatment of osteoarthritis and rheumatoid arthritis. Esomeprazole is a proton pump inhibitor which lowers stomach acidity and which has been shown to reduce the occurrence of NSAID-associated gastrointestinal ulcers. AXS-06 is designed to provide rapid, effective pain relief, and to reduce the risk of NSAID-associated gastrointestinal ulcers, with convenient once-daily dosing. We have successfully completed a Phase 1 trial of AXS-06 to characterize the pharmacokinetics of meloxicam and esomeprazole after oral administration of AXS-06. The results of our Phase 1 trial demonstrated that the median Tmax for meloxicam, the trial's primary endpoint, was nine times faster for AXS-06 as compared to standard meloxicam. We intend to seek FDA approval for AXS-06 utilizing the 505(b)(2) regulatory development pathway.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155575</wp:posOffset>
            </wp:positionV>
            <wp:extent cx="5685790" cy="2195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8579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Additionally, our PPC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155575</wp:posOffset>
            </wp:positionV>
            <wp:extent cx="5702935" cy="130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02935"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39" w:lineRule="exact"/>
        <w:rPr>
          <w:sz w:val="20"/>
          <w:szCs w:val="20"/>
          <w:color w:val="auto"/>
        </w:rPr>
      </w:pPr>
    </w:p>
    <w:p>
      <w:pPr>
        <w:ind w:right="260"/>
        <w:spacing w:after="0" w:line="204" w:lineRule="exact"/>
        <w:rPr>
          <w:sz w:val="20"/>
          <w:szCs w:val="20"/>
          <w:color w:val="auto"/>
        </w:rPr>
      </w:pPr>
      <w:r>
        <w:rPr>
          <w:rFonts w:ascii="Arial" w:cs="Arial" w:eastAsia="Arial" w:hAnsi="Arial"/>
          <w:sz w:val="16"/>
          <w:szCs w:val="16"/>
          <w:color w:val="auto"/>
        </w:rPr>
        <w:t>We were incorporated under the laws of the State of Delaware in January 2012. Our principal executive offices are located at 200 Broadway, 3rd Floor, New York, New York 10038, and our telephone number is (212) 332</w:t>
      </w:r>
      <w:r>
        <w:rPr>
          <w:rFonts w:ascii="MS PGothic" w:cs="MS PGothic" w:eastAsia="MS PGothic" w:hAnsi="MS PGothic"/>
          <w:sz w:val="16"/>
          <w:szCs w:val="16"/>
          <w:color w:val="auto"/>
        </w:rPr>
        <w:t>‑</w:t>
      </w:r>
      <w:r>
        <w:rPr>
          <w:rFonts w:ascii="Arial" w:cs="Arial" w:eastAsia="Arial" w:hAnsi="Arial"/>
          <w:sz w:val="16"/>
          <w:szCs w:val="16"/>
          <w:color w:val="auto"/>
        </w:rPr>
        <w:t>3241.</w:t>
      </w:r>
    </w:p>
    <w:p>
      <w:pPr>
        <w:spacing w:after="0" w:line="213" w:lineRule="exact"/>
        <w:rPr>
          <w:sz w:val="20"/>
          <w:szCs w:val="20"/>
          <w:color w:val="auto"/>
        </w:rPr>
      </w:pPr>
    </w:p>
    <w:p>
      <w:pPr>
        <w:ind w:right="40"/>
        <w:spacing w:after="0" w:line="324" w:lineRule="auto"/>
        <w:rPr>
          <w:sz w:val="20"/>
          <w:szCs w:val="20"/>
          <w:color w:val="auto"/>
        </w:rPr>
      </w:pPr>
      <w:r>
        <w:rPr>
          <w:rFonts w:ascii="Arial" w:cs="Arial" w:eastAsia="Arial" w:hAnsi="Arial"/>
          <w:sz w:val="14"/>
          <w:szCs w:val="14"/>
          <w:color w:val="auto"/>
        </w:rPr>
        <w:t xml:space="preserve">Information concerning our business and our prospects is included in the documents that we file with the SEC as a reporting company under the Exchange Act, which are accessible at </w:t>
      </w:r>
      <w:r>
        <w:rPr>
          <w:rFonts w:ascii="Arial" w:cs="Arial" w:eastAsia="Arial" w:hAnsi="Arial"/>
          <w:sz w:val="14"/>
          <w:szCs w:val="14"/>
          <w:i w:val="1"/>
          <w:iCs w:val="1"/>
          <w:color w:val="auto"/>
        </w:rPr>
        <w:t>www.sec.gov</w:t>
      </w:r>
      <w:r>
        <w:rPr>
          <w:rFonts w:ascii="Arial" w:cs="Arial" w:eastAsia="Arial" w:hAnsi="Arial"/>
          <w:sz w:val="14"/>
          <w:szCs w:val="14"/>
          <w:color w:val="auto"/>
        </w:rPr>
        <w:t xml:space="preserve">, and on our website at </w:t>
      </w:r>
      <w:r>
        <w:rPr>
          <w:rFonts w:ascii="Arial" w:cs="Arial" w:eastAsia="Arial" w:hAnsi="Arial"/>
          <w:sz w:val="14"/>
          <w:szCs w:val="14"/>
          <w:i w:val="1"/>
          <w:iCs w:val="1"/>
          <w:color w:val="auto"/>
        </w:rPr>
        <w:t>www.axsome.com</w:t>
      </w:r>
      <w:r>
        <w:rPr>
          <w:rFonts w:ascii="Arial" w:cs="Arial" w:eastAsia="Arial" w:hAnsi="Arial"/>
          <w:sz w:val="14"/>
          <w:szCs w:val="14"/>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239"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 emerging growth company may take advantage of relief from certain reporting requirements and other burdens that are otherwise generally applicable to public companies. These provisions include:</w:t>
      </w:r>
    </w:p>
    <w:p>
      <w:pPr>
        <w:spacing w:after="0" w:line="184" w:lineRule="exact"/>
        <w:rPr>
          <w:sz w:val="20"/>
          <w:szCs w:val="20"/>
          <w:color w:val="auto"/>
        </w:rPr>
      </w:pPr>
    </w:p>
    <w:p>
      <w:pPr>
        <w:ind w:left="960" w:right="40" w:hanging="13"/>
        <w:spacing w:after="0" w:line="278" w:lineRule="auto"/>
        <w:rPr>
          <w:sz w:val="20"/>
          <w:szCs w:val="20"/>
          <w:color w:val="auto"/>
        </w:rPr>
      </w:pPr>
      <w:r>
        <w:rPr>
          <w:rFonts w:ascii="Arial" w:cs="Arial" w:eastAsia="Arial" w:hAnsi="Arial"/>
          <w:sz w:val="16"/>
          <w:szCs w:val="16"/>
          <w:color w:val="auto"/>
        </w:rPr>
        <w:t>requirement for only two years of audited financial statements, in addition to any required unaudited interim financial statements, with correspondingly reduced “Management’s Discussion and Analysis of Financial Condition and Results of Operations” disclosure;</w:t>
      </w:r>
    </w:p>
    <w:p>
      <w:pPr>
        <w:spacing w:after="0" w:line="18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exemption from the auditor attestation requirement on the effectiveness of our internal controls over financial reporting;</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reduced disclosure about our executive compensation arrangements; and</w:t>
      </w:r>
    </w:p>
    <w:p>
      <w:pPr>
        <w:spacing w:after="0" w:line="235" w:lineRule="exact"/>
        <w:rPr>
          <w:sz w:val="20"/>
          <w:szCs w:val="20"/>
          <w:color w:val="auto"/>
        </w:rPr>
      </w:pPr>
    </w:p>
    <w:p>
      <w:pPr>
        <w:ind w:left="960"/>
        <w:spacing w:after="0" w:line="184" w:lineRule="exact"/>
        <w:rPr>
          <w:sz w:val="20"/>
          <w:szCs w:val="20"/>
          <w:color w:val="auto"/>
        </w:rPr>
      </w:pPr>
      <w:r>
        <w:rPr>
          <w:rFonts w:ascii="Arial" w:cs="Arial" w:eastAsia="Arial" w:hAnsi="Arial"/>
          <w:sz w:val="16"/>
          <w:szCs w:val="16"/>
          <w:color w:val="auto"/>
        </w:rPr>
        <w:t>no requirements for non</w:t>
      </w:r>
      <w:r>
        <w:rPr>
          <w:rFonts w:ascii="MS PGothic" w:cs="MS PGothic" w:eastAsia="MS PGothic" w:hAnsi="MS PGothic"/>
          <w:sz w:val="16"/>
          <w:szCs w:val="16"/>
          <w:color w:val="auto"/>
        </w:rPr>
        <w:t>‑</w:t>
      </w:r>
      <w:r>
        <w:rPr>
          <w:rFonts w:ascii="Arial" w:cs="Arial" w:eastAsia="Arial" w:hAnsi="Arial"/>
          <w:sz w:val="16"/>
          <w:szCs w:val="16"/>
          <w:color w:val="auto"/>
        </w:rPr>
        <w:t>binding advisory votes on executive compensation or golden parachute arrangements.</w:t>
      </w:r>
    </w:p>
    <w:p>
      <w:pPr>
        <w:spacing w:after="0" w:line="235"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We may take advantage of these provisions for up to five years from the date of our initial public offering in November 2015 or such earlier time that we no longer qualify as an emerging growth company. We would cease to be an emerging growth company if we have more than</w:t>
      </w:r>
    </w:p>
    <w:p>
      <w:pPr>
        <w:spacing w:after="0" w:line="1" w:lineRule="exact"/>
        <w:rPr>
          <w:sz w:val="20"/>
          <w:szCs w:val="20"/>
          <w:color w:val="auto"/>
        </w:rPr>
      </w:pPr>
    </w:p>
    <w:p>
      <w:pPr>
        <w:ind w:right="20"/>
        <w:spacing w:after="0" w:line="202" w:lineRule="exact"/>
        <w:rPr>
          <w:sz w:val="20"/>
          <w:szCs w:val="20"/>
          <w:color w:val="auto"/>
        </w:rPr>
      </w:pPr>
      <w:r>
        <w:rPr>
          <w:rFonts w:ascii="Arial" w:cs="Arial" w:eastAsia="Arial" w:hAnsi="Arial"/>
          <w:sz w:val="15"/>
          <w:szCs w:val="15"/>
          <w:color w:val="auto"/>
        </w:rPr>
        <w:t>$1.07 billion in total annual gross revenue, have more than $700 million in market value of our capital stock held by non</w:t>
      </w:r>
      <w:r>
        <w:rPr>
          <w:rFonts w:ascii="MS PGothic" w:cs="MS PGothic" w:eastAsia="MS PGothic" w:hAnsi="MS PGothic"/>
          <w:sz w:val="15"/>
          <w:szCs w:val="15"/>
          <w:color w:val="auto"/>
        </w:rPr>
        <w:t>‑</w:t>
      </w:r>
      <w:r>
        <w:rPr>
          <w:rFonts w:ascii="Arial" w:cs="Arial" w:eastAsia="Arial" w:hAnsi="Arial"/>
          <w:sz w:val="15"/>
          <w:szCs w:val="15"/>
          <w:color w:val="auto"/>
        </w:rPr>
        <w:t>affiliates or issue more than $1.0 billion of non</w:t>
      </w:r>
      <w:r>
        <w:rPr>
          <w:rFonts w:ascii="MS PGothic" w:cs="MS PGothic" w:eastAsia="MS PGothic" w:hAnsi="MS PGothic"/>
          <w:sz w:val="15"/>
          <w:szCs w:val="15"/>
          <w:color w:val="auto"/>
        </w:rPr>
        <w:t>‑</w:t>
      </w:r>
      <w:r>
        <w:rPr>
          <w:rFonts w:ascii="Arial" w:cs="Arial" w:eastAsia="Arial" w:hAnsi="Arial"/>
          <w:sz w:val="15"/>
          <w:szCs w:val="15"/>
          <w:color w:val="auto"/>
        </w:rPr>
        <w:t>convertible debt over a three</w:t>
      </w:r>
      <w:r>
        <w:rPr>
          <w:rFonts w:ascii="MS PGothic" w:cs="MS PGothic" w:eastAsia="MS PGothic" w:hAnsi="MS PGothic"/>
          <w:sz w:val="15"/>
          <w:szCs w:val="15"/>
          <w:color w:val="auto"/>
        </w:rPr>
        <w:t>‑</w:t>
      </w:r>
      <w:r>
        <w:rPr>
          <w:rFonts w:ascii="Arial" w:cs="Arial" w:eastAsia="Arial" w:hAnsi="Arial"/>
          <w:sz w:val="15"/>
          <w:szCs w:val="15"/>
          <w:color w:val="auto"/>
        </w:rPr>
        <w:t>year period. We may choose to take advantage of some but not all of these reduced reporting requirements and other burdens. We have taken advantage of some reduced reporting burdens in this prospectus supplement, the accompanying prospectus and the documents incorporated by reference herein and therein. Accordingly, the information that we provide stockholders may be different than what you might obtain from other public companies in which you hold equity interests.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Common stock offered by us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Manner of offering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OFFERING</w:t>
      </w:r>
    </w:p>
    <w:p>
      <w:pPr>
        <w:spacing w:after="0" w:line="252"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Shares of our common stock having an aggregate offering price of up to $50.0 million.</w:t>
      </w:r>
    </w:p>
    <w:p>
      <w:pPr>
        <w:spacing w:after="0" w:line="159" w:lineRule="exact"/>
        <w:rPr>
          <w:sz w:val="20"/>
          <w:szCs w:val="20"/>
          <w:color w:val="auto"/>
        </w:rPr>
      </w:pPr>
    </w:p>
    <w:p>
      <w:pPr>
        <w:jc w:val="both"/>
        <w:ind w:left="200" w:right="340"/>
        <w:spacing w:after="0" w:line="329" w:lineRule="auto"/>
        <w:rPr>
          <w:sz w:val="20"/>
          <w:szCs w:val="20"/>
          <w:color w:val="auto"/>
        </w:rPr>
      </w:pPr>
      <w:r>
        <w:rPr>
          <w:rFonts w:ascii="Arial" w:cs="Arial" w:eastAsia="Arial" w:hAnsi="Arial"/>
          <w:sz w:val="15"/>
          <w:szCs w:val="15"/>
          <w:color w:val="auto"/>
        </w:rPr>
        <w:t>"At the market offering" that may be made from time to time through our sales agent, SVB Leerink LLC. See "Plan of Distribution" on page S-10.</w:t>
      </w:r>
    </w:p>
    <w:p>
      <w:pPr>
        <w:spacing w:after="0" w:line="135" w:lineRule="exact"/>
        <w:rPr>
          <w:sz w:val="20"/>
          <w:szCs w:val="20"/>
          <w:color w:val="auto"/>
        </w:rPr>
      </w:pPr>
    </w:p>
    <w:p>
      <w:pPr>
        <w:ind w:left="200"/>
        <w:spacing w:after="0" w:line="297" w:lineRule="auto"/>
        <w:rPr>
          <w:sz w:val="20"/>
          <w:szCs w:val="20"/>
          <w:color w:val="auto"/>
        </w:rPr>
      </w:pPr>
      <w:r>
        <w:rPr>
          <w:rFonts w:ascii="Arial" w:cs="Arial" w:eastAsia="Arial" w:hAnsi="Arial"/>
          <w:sz w:val="15"/>
          <w:szCs w:val="15"/>
          <w:color w:val="auto"/>
        </w:rPr>
        <w:t>We intend to use the net proceeds from this offering to continue to fund the ongoing clinical development of our late stage product candidates and for other general corporate purposes, including funding existing and potential new clinical programs and product candidates. See "Use of Proceeds."</w:t>
      </w:r>
    </w:p>
    <w:p>
      <w:pPr>
        <w:spacing w:after="0" w:line="159"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Investing in our common stock involves a high degree of risk. You should read the "Risk Factors" section of this prospectus supplement beginning on page S-5 as well as those risk factors that are incorporated by reference in this prospectus supplement and the accompanying prospectus for a discussion of factors to consider carefully before deciding to invest in shares of our common stock.</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AXSM</w:t>
      </w: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83185</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2">
            <w:col w:w="3360" w:space="720"/>
            <w:col w:w="5300"/>
          </w:cols>
          <w:pgMar w:left="1260" w:top="125" w:right="125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239"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i w:val="1"/>
          <w:iCs w:val="1"/>
          <w:color w:val="auto"/>
        </w:rPr>
        <w:t>An investment in our common stock involves a high degree of risk. Before deciding whether to invest in our common stock, you should carefully consider the risks described below and those discussed under the caption entitled "Risk Factors" in our Annual Reports on Form 10-K and any subsequent Quarterly Reports on Form 10-Q, which are incorporated by reference in this prospectus supplement and the accompanying prospectus,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this Offering</w:t>
      </w:r>
    </w:p>
    <w:p>
      <w:pPr>
        <w:spacing w:after="0" w:line="23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b w:val="1"/>
          <w:bCs w:val="1"/>
          <w:i w:val="1"/>
          <w:iCs w:val="1"/>
          <w:color w:val="auto"/>
        </w:rPr>
        <w:t>We have incurred significant losses since our inception, anticipate that we will incur substantial and increasing losses for the foreseeable future, and may never achieve or maintain profitability, which would depress the market price of our common stock, and could cause you to lose all or a part of your investment.</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5"/>
          <w:szCs w:val="15"/>
          <w:color w:val="auto"/>
        </w:rPr>
        <w:t>We are a clinical stage biopharmaceutical company with a limited operating history. For the last several years, we have focused our efforts primarily on developing, AXS-05, AXS-07, AXS-09, and AXS-12, as well as our Axsome PPC product candidates, AXS-02 and AXS-06, which we refer to herein as our product candidates, with the goal of achieving regulatory approval. Since inception, we have incurred significant operating losses. Our net losses were $10.6 million and $31.0 million for the three months ended March 31, 2019 and the year ended December 31, 2018, respectively. As of March 31, 2019, we had an accumulated deficit of $118.2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83" w:lineRule="exact"/>
        <w:rPr>
          <w:sz w:val="20"/>
          <w:szCs w:val="20"/>
          <w:color w:val="auto"/>
        </w:rPr>
      </w:pPr>
    </w:p>
    <w:p>
      <w:pPr>
        <w:ind w:left="960"/>
        <w:spacing w:after="0" w:line="184" w:lineRule="exact"/>
        <w:rPr>
          <w:sz w:val="20"/>
          <w:szCs w:val="20"/>
          <w:color w:val="auto"/>
        </w:rPr>
      </w:pPr>
      <w:r>
        <w:rPr>
          <w:rFonts w:ascii="Arial" w:cs="Arial" w:eastAsia="Arial" w:hAnsi="Arial"/>
          <w:sz w:val="16"/>
          <w:szCs w:val="16"/>
          <w:color w:val="auto"/>
        </w:rPr>
        <w:t>conduct our ongoing and planned Phase 3 clinical trials with AXS</w:t>
      </w:r>
      <w:r>
        <w:rPr>
          <w:rFonts w:ascii="MS PGothic" w:cs="MS PGothic" w:eastAsia="MS PGothic" w:hAnsi="MS PGothic"/>
          <w:sz w:val="16"/>
          <w:szCs w:val="16"/>
          <w:color w:val="auto"/>
        </w:rPr>
        <w:t>‑</w:t>
      </w:r>
      <w:r>
        <w:rPr>
          <w:rFonts w:ascii="Arial" w:cs="Arial" w:eastAsia="Arial" w:hAnsi="Arial"/>
          <w:sz w:val="16"/>
          <w:szCs w:val="16"/>
          <w:color w:val="auto"/>
        </w:rPr>
        <w:t>05 for treatment of depression;</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conduct our planned open-label safety extension trial for AXS-05;</w:t>
      </w:r>
    </w:p>
    <w:p>
      <w:pPr>
        <w:spacing w:after="0" w:line="235" w:lineRule="exact"/>
        <w:rPr>
          <w:sz w:val="20"/>
          <w:szCs w:val="20"/>
          <w:color w:val="auto"/>
        </w:rPr>
      </w:pPr>
    </w:p>
    <w:p>
      <w:pPr>
        <w:ind w:left="960" w:right="440" w:hanging="13"/>
        <w:spacing w:after="0" w:line="204" w:lineRule="exact"/>
        <w:rPr>
          <w:sz w:val="20"/>
          <w:szCs w:val="20"/>
          <w:color w:val="auto"/>
        </w:rPr>
      </w:pPr>
      <w:r>
        <w:rPr>
          <w:rFonts w:ascii="Arial" w:cs="Arial" w:eastAsia="Arial" w:hAnsi="Arial"/>
          <w:sz w:val="16"/>
          <w:szCs w:val="16"/>
          <w:color w:val="auto"/>
        </w:rPr>
        <w:t>conduct our Phase 2/3 clinical trials with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agitation associated with Alzheimer’s disease, or AD agitation;</w:t>
      </w:r>
    </w:p>
    <w:p>
      <w:pPr>
        <w:spacing w:after="0" w:line="213" w:lineRule="exact"/>
        <w:rPr>
          <w:sz w:val="20"/>
          <w:szCs w:val="20"/>
          <w:color w:val="auto"/>
        </w:rPr>
      </w:pPr>
    </w:p>
    <w:p>
      <w:pPr>
        <w:ind w:left="960"/>
        <w:spacing w:after="0" w:line="184" w:lineRule="exact"/>
        <w:rPr>
          <w:sz w:val="20"/>
          <w:szCs w:val="20"/>
          <w:color w:val="auto"/>
        </w:rPr>
      </w:pPr>
      <w:r>
        <w:rPr>
          <w:rFonts w:ascii="Arial" w:cs="Arial" w:eastAsia="Arial" w:hAnsi="Arial"/>
          <w:sz w:val="16"/>
          <w:szCs w:val="16"/>
          <w:color w:val="auto"/>
        </w:rPr>
        <w:t>conduct our Phase 3 clinical trial with AXS</w:t>
      </w:r>
      <w:r>
        <w:rPr>
          <w:rFonts w:ascii="MS PGothic" w:cs="MS PGothic" w:eastAsia="MS PGothic" w:hAnsi="MS PGothic"/>
          <w:sz w:val="16"/>
          <w:szCs w:val="16"/>
          <w:color w:val="auto"/>
        </w:rPr>
        <w:t>‑</w:t>
      </w:r>
      <w:r>
        <w:rPr>
          <w:rFonts w:ascii="Arial" w:cs="Arial" w:eastAsia="Arial" w:hAnsi="Arial"/>
          <w:sz w:val="16"/>
          <w:szCs w:val="16"/>
          <w:color w:val="auto"/>
        </w:rPr>
        <w:t>07 for the acute treatment of migraine;</w:t>
      </w:r>
    </w:p>
    <w:p>
      <w:pPr>
        <w:spacing w:after="0" w:line="235" w:lineRule="exact"/>
        <w:rPr>
          <w:sz w:val="20"/>
          <w:szCs w:val="20"/>
          <w:color w:val="auto"/>
        </w:rPr>
      </w:pPr>
    </w:p>
    <w:p>
      <w:pPr>
        <w:ind w:left="960"/>
        <w:spacing w:after="0" w:line="184" w:lineRule="exact"/>
        <w:rPr>
          <w:sz w:val="20"/>
          <w:szCs w:val="20"/>
          <w:color w:val="auto"/>
        </w:rPr>
      </w:pPr>
      <w:r>
        <w:rPr>
          <w:rFonts w:ascii="Arial" w:cs="Arial" w:eastAsia="Arial" w:hAnsi="Arial"/>
          <w:sz w:val="16"/>
          <w:szCs w:val="16"/>
          <w:color w:val="auto"/>
        </w:rPr>
        <w:t>conduct our Phase 2 clinical trial with AXS</w:t>
      </w:r>
      <w:r>
        <w:rPr>
          <w:rFonts w:ascii="MS PGothic" w:cs="MS PGothic" w:eastAsia="MS PGothic" w:hAnsi="MS PGothic"/>
          <w:sz w:val="16"/>
          <w:szCs w:val="16"/>
          <w:color w:val="auto"/>
        </w:rPr>
        <w:t>‑</w:t>
      </w:r>
      <w:r>
        <w:rPr>
          <w:rFonts w:ascii="Arial" w:cs="Arial" w:eastAsia="Arial" w:hAnsi="Arial"/>
          <w:sz w:val="16"/>
          <w:szCs w:val="16"/>
          <w:color w:val="auto"/>
        </w:rPr>
        <w:t>12 in narcolepsy;</w:t>
      </w:r>
    </w:p>
    <w:p>
      <w:pPr>
        <w:spacing w:after="0" w:line="235" w:lineRule="exact"/>
        <w:rPr>
          <w:sz w:val="20"/>
          <w:szCs w:val="20"/>
          <w:color w:val="auto"/>
        </w:rPr>
      </w:pPr>
    </w:p>
    <w:p>
      <w:pPr>
        <w:ind w:left="960" w:right="520" w:hanging="13"/>
        <w:spacing w:after="0" w:line="293" w:lineRule="auto"/>
        <w:rPr>
          <w:sz w:val="20"/>
          <w:szCs w:val="20"/>
          <w:color w:val="auto"/>
        </w:rPr>
      </w:pPr>
      <w:r>
        <w:rPr>
          <w:rFonts w:ascii="Arial" w:cs="Arial" w:eastAsia="Arial" w:hAnsi="Arial"/>
          <w:sz w:val="16"/>
          <w:szCs w:val="16"/>
          <w:color w:val="auto"/>
        </w:rPr>
        <w:t>continue to evaluate, plan for, and conduct, clinical trials for AXS-05 for smoking cessation treatment and AXS-09 for the treatment of CNS disorders;</w:t>
      </w:r>
    </w:p>
    <w:p>
      <w:pPr>
        <w:spacing w:after="0" w:line="172" w:lineRule="exact"/>
        <w:rPr>
          <w:sz w:val="20"/>
          <w:szCs w:val="20"/>
          <w:color w:val="auto"/>
        </w:rPr>
      </w:pPr>
    </w:p>
    <w:p>
      <w:pPr>
        <w:ind w:left="960" w:right="100" w:hanging="13"/>
        <w:spacing w:after="0" w:line="204" w:lineRule="exact"/>
        <w:rPr>
          <w:sz w:val="20"/>
          <w:szCs w:val="20"/>
          <w:color w:val="auto"/>
        </w:rPr>
      </w:pPr>
      <w:r>
        <w:rPr>
          <w:rFonts w:ascii="Arial" w:cs="Arial" w:eastAsia="Arial" w:hAnsi="Arial"/>
          <w:sz w:val="16"/>
          <w:szCs w:val="16"/>
          <w:color w:val="auto"/>
        </w:rPr>
        <w:t>continue to evaluate, plan for, and conduct, clinical trials for our Axsome PPC product candidates, including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knee osteoarthritis, or OA, associated with bone marrow lesions, or BMLs and AXS-06 for the treatment of osteoarthritis and rheumatoid arthritis;</w:t>
      </w:r>
    </w:p>
    <w:p>
      <w:pPr>
        <w:spacing w:after="0" w:line="214" w:lineRule="exact"/>
        <w:rPr>
          <w:sz w:val="20"/>
          <w:szCs w:val="20"/>
          <w:color w:val="auto"/>
        </w:rPr>
      </w:pPr>
    </w:p>
    <w:p>
      <w:pPr>
        <w:ind w:left="960"/>
        <w:spacing w:after="0" w:line="184" w:lineRule="exact"/>
        <w:rPr>
          <w:sz w:val="20"/>
          <w:szCs w:val="20"/>
          <w:color w:val="auto"/>
        </w:rPr>
      </w:pPr>
      <w:r>
        <w:rPr>
          <w:rFonts w:ascii="Arial" w:cs="Arial" w:eastAsia="Arial" w:hAnsi="Arial"/>
          <w:sz w:val="16"/>
          <w:szCs w:val="16"/>
          <w:color w:val="auto"/>
        </w:rPr>
        <w:t>develop, in</w:t>
      </w:r>
      <w:r>
        <w:rPr>
          <w:rFonts w:ascii="MS PGothic" w:cs="MS PGothic" w:eastAsia="MS PGothic" w:hAnsi="MS PGothic"/>
          <w:sz w:val="16"/>
          <w:szCs w:val="16"/>
          <w:color w:val="auto"/>
        </w:rPr>
        <w:t>‑</w:t>
      </w:r>
      <w:r>
        <w:rPr>
          <w:rFonts w:ascii="Arial" w:cs="Arial" w:eastAsia="Arial" w:hAnsi="Arial"/>
          <w:sz w:val="16"/>
          <w:szCs w:val="16"/>
          <w:color w:val="auto"/>
        </w:rPr>
        <w:t>license, or acquire additional product candidates;</w:t>
      </w:r>
    </w:p>
    <w:p>
      <w:pPr>
        <w:spacing w:after="0" w:line="235" w:lineRule="exact"/>
        <w:rPr>
          <w:sz w:val="20"/>
          <w:szCs w:val="20"/>
          <w:color w:val="auto"/>
        </w:rPr>
      </w:pPr>
    </w:p>
    <w:p>
      <w:pPr>
        <w:ind w:left="960"/>
        <w:spacing w:after="0" w:line="184" w:lineRule="exact"/>
        <w:rPr>
          <w:sz w:val="20"/>
          <w:szCs w:val="20"/>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35" w:lineRule="exact"/>
        <w:rPr>
          <w:sz w:val="20"/>
          <w:szCs w:val="20"/>
          <w:color w:val="auto"/>
        </w:rPr>
      </w:pPr>
    </w:p>
    <w:p>
      <w:pPr>
        <w:ind w:left="960"/>
        <w:spacing w:after="0" w:line="184" w:lineRule="exact"/>
        <w:rPr>
          <w:sz w:val="20"/>
          <w:szCs w:val="20"/>
          <w:color w:val="auto"/>
        </w:rPr>
      </w:pPr>
      <w:r>
        <w:rPr>
          <w:rFonts w:ascii="Arial" w:cs="Arial" w:eastAsia="Arial" w:hAnsi="Arial"/>
          <w:sz w:val="16"/>
          <w:szCs w:val="16"/>
          <w:color w:val="auto"/>
        </w:rPr>
        <w:t>seek regulatory approval for any product candidates that successfully complete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35" w:lineRule="exact"/>
        <w:rPr>
          <w:sz w:val="20"/>
          <w:szCs w:val="20"/>
          <w:color w:val="auto"/>
        </w:rPr>
      </w:pPr>
    </w:p>
    <w:p>
      <w:pPr>
        <w:ind w:left="960"/>
        <w:spacing w:after="0" w:line="184" w:lineRule="exact"/>
        <w:rPr>
          <w:sz w:val="20"/>
          <w:szCs w:val="20"/>
          <w:color w:val="auto"/>
        </w:rPr>
      </w:pPr>
      <w:r>
        <w:rPr>
          <w:rFonts w:ascii="Arial" w:cs="Arial" w:eastAsia="Arial" w:hAnsi="Arial"/>
          <w:sz w:val="16"/>
          <w:szCs w:val="16"/>
          <w:color w:val="auto"/>
        </w:rPr>
        <w:t>conduct additional non</w:t>
      </w:r>
      <w:r>
        <w:rPr>
          <w:rFonts w:ascii="MS PGothic" w:cs="MS PGothic" w:eastAsia="MS PGothic" w:hAnsi="MS PGothic"/>
          <w:sz w:val="16"/>
          <w:szCs w:val="16"/>
          <w:color w:val="auto"/>
        </w:rPr>
        <w:t>‑</w:t>
      </w:r>
      <w:r>
        <w:rPr>
          <w:rFonts w:ascii="Arial" w:cs="Arial" w:eastAsia="Arial" w:hAnsi="Arial"/>
          <w:sz w:val="16"/>
          <w:szCs w:val="16"/>
          <w:color w:val="auto"/>
        </w:rPr>
        <w:t>clinical studies with any product candidates;</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conduct clinical studies with any additional product candidates;</w:t>
      </w:r>
    </w:p>
    <w:p>
      <w:pPr>
        <w:spacing w:after="0" w:line="235" w:lineRule="exact"/>
        <w:rPr>
          <w:sz w:val="20"/>
          <w:szCs w:val="20"/>
          <w:color w:val="auto"/>
        </w:rPr>
      </w:pPr>
    </w:p>
    <w:p>
      <w:pPr>
        <w:ind w:left="960" w:right="800" w:hanging="13"/>
        <w:spacing w:after="0" w:line="293" w:lineRule="auto"/>
        <w:rPr>
          <w:sz w:val="20"/>
          <w:szCs w:val="20"/>
          <w:color w:val="auto"/>
        </w:rPr>
      </w:pPr>
      <w:r>
        <w:rPr>
          <w:rFonts w:ascii="Arial" w:cs="Arial" w:eastAsia="Arial" w:hAnsi="Arial"/>
          <w:sz w:val="16"/>
          <w:szCs w:val="16"/>
          <w:color w:val="auto"/>
        </w:rPr>
        <w:t>increase manufacturing batch sizes of our product candidates to satisfy FDA requirements for a marketing application submission;</w:t>
      </w:r>
    </w:p>
    <w:p>
      <w:pPr>
        <w:spacing w:after="0" w:line="186" w:lineRule="exact"/>
        <w:rPr>
          <w:sz w:val="20"/>
          <w:szCs w:val="20"/>
          <w:color w:val="auto"/>
        </w:rPr>
      </w:pPr>
    </w:p>
    <w:p>
      <w:pPr>
        <w:ind w:left="960" w:right="280"/>
        <w:spacing w:after="0" w:line="329" w:lineRule="auto"/>
        <w:rPr>
          <w:sz w:val="20"/>
          <w:szCs w:val="20"/>
          <w:color w:val="auto"/>
        </w:rPr>
      </w:pPr>
      <w:r>
        <w:rPr>
          <w:rFonts w:ascii="Arial" w:cs="Arial" w:eastAsia="Arial" w:hAnsi="Arial"/>
          <w:sz w:val="15"/>
          <w:szCs w:val="15"/>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5" w:right="12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require larger quantities of product;</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maintain, expand, and protect our intellectual property portfolio;</w:t>
      </w:r>
    </w:p>
    <w:p>
      <w:pPr>
        <w:spacing w:after="0" w:line="23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hire additional clinical, quality control, and scientific personnel; and</w:t>
      </w:r>
    </w:p>
    <w:p>
      <w:pPr>
        <w:spacing w:after="0" w:line="235" w:lineRule="exact"/>
        <w:rPr>
          <w:sz w:val="20"/>
          <w:szCs w:val="20"/>
          <w:color w:val="auto"/>
        </w:rPr>
      </w:pPr>
    </w:p>
    <w:p>
      <w:pPr>
        <w:ind w:left="960" w:right="440" w:hanging="13"/>
        <w:spacing w:after="0" w:line="293" w:lineRule="auto"/>
        <w:rPr>
          <w:sz w:val="20"/>
          <w:szCs w:val="20"/>
          <w:color w:val="auto"/>
        </w:rPr>
      </w:pPr>
      <w:r>
        <w:rPr>
          <w:rFonts w:ascii="Arial" w:cs="Arial" w:eastAsia="Arial" w:hAnsi="Arial"/>
          <w:sz w:val="16"/>
          <w:szCs w:val="16"/>
          <w:color w:val="auto"/>
        </w:rPr>
        <w:t>add operational, financial, and management information systems and personnel, including personnel to support our product candidate development and planned future commercialization efforts.</w:t>
      </w:r>
    </w:p>
    <w:p>
      <w:pPr>
        <w:spacing w:after="0" w:line="172" w:lineRule="exact"/>
        <w:rPr>
          <w:sz w:val="20"/>
          <w:szCs w:val="20"/>
          <w:color w:val="auto"/>
        </w:rPr>
      </w:pPr>
    </w:p>
    <w:p>
      <w:pPr>
        <w:ind w:right="140" w:firstLine="648"/>
        <w:spacing w:after="0" w:line="203" w:lineRule="exact"/>
        <w:rPr>
          <w:sz w:val="20"/>
          <w:szCs w:val="20"/>
          <w:color w:val="auto"/>
        </w:rPr>
      </w:pPr>
      <w:r>
        <w:rPr>
          <w:rFonts w:ascii="Arial" w:cs="Arial" w:eastAsia="Arial" w:hAnsi="Arial"/>
          <w:sz w:val="16"/>
          <w:szCs w:val="16"/>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6"/>
          <w:szCs w:val="16"/>
          <w:color w:val="auto"/>
        </w:rPr>
        <w:t>‑</w:t>
      </w:r>
      <w:r>
        <w:rPr>
          <w:rFonts w:ascii="Arial" w:cs="Arial" w:eastAsia="Arial" w:hAnsi="Arial"/>
          <w:sz w:val="16"/>
          <w:szCs w:val="16"/>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21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5"/>
          <w:szCs w:val="15"/>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89"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84" w:lineRule="exact"/>
        <w:rPr>
          <w:sz w:val="20"/>
          <w:szCs w:val="20"/>
          <w:color w:val="auto"/>
        </w:rPr>
      </w:pPr>
    </w:p>
    <w:p>
      <w:pPr>
        <w:ind w:right="120" w:firstLine="648"/>
        <w:spacing w:after="0" w:line="204" w:lineRule="exact"/>
        <w:rPr>
          <w:sz w:val="20"/>
          <w:szCs w:val="20"/>
          <w:color w:val="auto"/>
        </w:rPr>
      </w:pPr>
      <w:r>
        <w:rPr>
          <w:rFonts w:ascii="Arial" w:cs="Arial" w:eastAsia="Arial" w:hAnsi="Arial"/>
          <w:sz w:val="16"/>
          <w:szCs w:val="16"/>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years to complete. We will need to raise additional capital to:</w:t>
      </w:r>
    </w:p>
    <w:p>
      <w:pPr>
        <w:spacing w:after="0" w:line="214" w:lineRule="exact"/>
        <w:rPr>
          <w:sz w:val="20"/>
          <w:szCs w:val="20"/>
          <w:color w:val="auto"/>
        </w:rPr>
      </w:pPr>
    </w:p>
    <w:p>
      <w:pPr>
        <w:ind w:left="960" w:right="140" w:hanging="13"/>
        <w:spacing w:after="0" w:line="266" w:lineRule="auto"/>
        <w:rPr>
          <w:sz w:val="20"/>
          <w:szCs w:val="20"/>
          <w:color w:val="auto"/>
        </w:rPr>
      </w:pPr>
      <w:r>
        <w:rPr>
          <w:rFonts w:ascii="Arial" w:cs="Arial" w:eastAsia="Arial" w:hAnsi="Arial"/>
          <w:sz w:val="16"/>
          <w:szCs w:val="16"/>
          <w:color w:val="auto"/>
        </w:rPr>
        <w:t>fund our future clinical trials for our current product candidates, especially if we encounter any unforeseen delays or difficulties in our planned development activities;</w:t>
      </w:r>
    </w:p>
    <w:p>
      <w:pPr>
        <w:spacing w:after="0" w:line="1" w:lineRule="exact"/>
        <w:rPr>
          <w:sz w:val="20"/>
          <w:szCs w:val="20"/>
          <w:color w:val="auto"/>
        </w:rPr>
      </w:pPr>
    </w:p>
    <w:p>
      <w:pPr>
        <w:jc w:val="both"/>
        <w:ind w:left="960" w:right="100" w:hanging="13"/>
        <w:spacing w:after="0" w:line="264" w:lineRule="auto"/>
        <w:rPr>
          <w:sz w:val="20"/>
          <w:szCs w:val="20"/>
          <w:color w:val="auto"/>
        </w:rPr>
      </w:pPr>
      <w:r>
        <w:rPr>
          <w:rFonts w:ascii="Arial" w:cs="Arial" w:eastAsia="Arial" w:hAnsi="Arial"/>
          <w:sz w:val="16"/>
          <w:szCs w:val="16"/>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5"/>
          <w:szCs w:val="15"/>
          <w:color w:val="auto"/>
        </w:rPr>
        <w:t>qualify and outsource the commercial-scale manufacturing of our products under current good manufacturing practices;</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develop additional product candidates; and</w:t>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in-license other product candidates.</w:t>
      </w:r>
    </w:p>
    <w:p>
      <w:pPr>
        <w:spacing w:after="0" w:line="231" w:lineRule="exact"/>
        <w:rPr>
          <w:sz w:val="20"/>
          <w:szCs w:val="20"/>
          <w:color w:val="auto"/>
        </w:rPr>
      </w:pPr>
    </w:p>
    <w:p>
      <w:pPr>
        <w:ind w:left="80" w:firstLine="648"/>
        <w:spacing w:after="0" w:line="335" w:lineRule="auto"/>
        <w:rPr>
          <w:sz w:val="20"/>
          <w:szCs w:val="20"/>
          <w:color w:val="auto"/>
        </w:rPr>
      </w:pPr>
      <w:r>
        <w:rPr>
          <w:rFonts w:ascii="Arial" w:cs="Arial" w:eastAsia="Arial" w:hAnsi="Arial"/>
          <w:sz w:val="14"/>
          <w:szCs w:val="14"/>
          <w:color w:val="auto"/>
        </w:rPr>
        <w:t>We may not have sufficient financial resources to meet all of our objectives if any of our product candidates is approved by regulatory authorities,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50" w:lineRule="exact"/>
        <w:rPr>
          <w:sz w:val="20"/>
          <w:szCs w:val="20"/>
          <w:color w:val="auto"/>
        </w:rPr>
      </w:pPr>
    </w:p>
    <w:p>
      <w:pPr>
        <w:jc w:val="both"/>
        <w:ind w:left="960" w:right="1680"/>
        <w:spacing w:after="0" w:line="304" w:lineRule="auto"/>
        <w:rPr>
          <w:sz w:val="20"/>
          <w:szCs w:val="20"/>
          <w:color w:val="auto"/>
        </w:rPr>
      </w:pPr>
      <w:r>
        <w:rPr>
          <w:rFonts w:ascii="Arial" w:cs="Arial" w:eastAsia="Arial" w:hAnsi="Arial"/>
          <w:sz w:val="14"/>
          <w:szCs w:val="14"/>
          <w:color w:val="auto"/>
        </w:rPr>
        <w:t>the rate of progress and costs related to the Phase 2 and Phase 3 clinical trials of our product candidates; the costs associated with conducting additional non-clinical studies with any of our product candidates;</w:t>
      </w:r>
    </w:p>
    <w:p>
      <w:pPr>
        <w:spacing w:after="0" w:line="1" w:lineRule="exact"/>
        <w:rPr>
          <w:sz w:val="20"/>
          <w:szCs w:val="20"/>
          <w:color w:val="auto"/>
        </w:rPr>
      </w:pPr>
    </w:p>
    <w:p>
      <w:pPr>
        <w:ind w:left="960" w:right="180" w:hanging="13"/>
        <w:spacing w:after="0" w:line="264" w:lineRule="auto"/>
        <w:rPr>
          <w:sz w:val="20"/>
          <w:szCs w:val="20"/>
          <w:color w:val="auto"/>
        </w:rPr>
      </w:pPr>
      <w:r>
        <w:rPr>
          <w:rFonts w:ascii="Arial" w:cs="Arial" w:eastAsia="Arial" w:hAnsi="Arial"/>
          <w:sz w:val="16"/>
          <w:szCs w:val="16"/>
          <w:color w:val="auto"/>
        </w:rPr>
        <w:t>the potential for delays in our efforts to seek regulatory approval for our product candidates, and any costs associated with such delays;</w:t>
      </w:r>
    </w:p>
    <w:p>
      <w:pPr>
        <w:ind w:left="960"/>
        <w:spacing w:after="0"/>
        <w:rPr>
          <w:sz w:val="20"/>
          <w:szCs w:val="20"/>
          <w:color w:val="auto"/>
        </w:rPr>
      </w:pPr>
      <w:r>
        <w:rPr>
          <w:rFonts w:ascii="Arial" w:cs="Arial" w:eastAsia="Arial" w:hAnsi="Arial"/>
          <w:sz w:val="16"/>
          <w:szCs w:val="16"/>
          <w:color w:val="auto"/>
        </w:rPr>
        <w:t>the costs of establishing a commercial organization to sell, market and distribute our product candidates;</w:t>
      </w:r>
    </w:p>
    <w:p>
      <w:pPr>
        <w:spacing w:after="0" w:line="19" w:lineRule="exact"/>
        <w:rPr>
          <w:sz w:val="20"/>
          <w:szCs w:val="20"/>
          <w:color w:val="auto"/>
        </w:rPr>
      </w:pPr>
    </w:p>
    <w:p>
      <w:pPr>
        <w:jc w:val="both"/>
        <w:ind w:left="960" w:right="260" w:hanging="13"/>
        <w:spacing w:after="0" w:line="268" w:lineRule="auto"/>
        <w:rPr>
          <w:sz w:val="20"/>
          <w:szCs w:val="20"/>
          <w:color w:val="auto"/>
        </w:rPr>
      </w:pPr>
      <w:r>
        <w:rPr>
          <w:rFonts w:ascii="Arial" w:cs="Arial" w:eastAsia="Arial" w:hAnsi="Arial"/>
          <w:sz w:val="16"/>
          <w:szCs w:val="16"/>
          <w:color w:val="auto"/>
        </w:rPr>
        <w:t>the rate of progress and costs of our efforts to prepare for the submission of a new drug application for any product candidates that we may in-license or acquire in the future, and the potential that we may need to conduct additional clinical or preclinical trials to support applications for regulatory approval;</w:t>
      </w:r>
    </w:p>
    <w:p>
      <w:pPr>
        <w:spacing w:after="0" w:line="1" w:lineRule="exact"/>
        <w:rPr>
          <w:sz w:val="20"/>
          <w:szCs w:val="20"/>
          <w:color w:val="auto"/>
        </w:rPr>
      </w:pPr>
    </w:p>
    <w:p>
      <w:pPr>
        <w:ind w:left="960" w:right="160"/>
        <w:spacing w:after="0" w:line="266" w:lineRule="auto"/>
        <w:rPr>
          <w:sz w:val="20"/>
          <w:szCs w:val="20"/>
          <w:color w:val="auto"/>
        </w:rPr>
      </w:pPr>
      <w:r>
        <w:rPr>
          <w:rFonts w:ascii="Arial" w:cs="Arial" w:eastAsia="Arial" w:hAnsi="Arial"/>
          <w:sz w:val="16"/>
          <w:szCs w:val="16"/>
          <w:color w:val="auto"/>
        </w:rPr>
        <w:t>the costs of filing, prosecuting, defending and enforcing any patent claims and other intellectual property rights associated with our product candidates;</w:t>
      </w:r>
    </w:p>
    <w:p>
      <w:pPr>
        <w:spacing w:after="0" w:line="1" w:lineRule="exact"/>
        <w:rPr>
          <w:sz w:val="20"/>
          <w:szCs w:val="20"/>
          <w:color w:val="auto"/>
        </w:rPr>
      </w:pPr>
    </w:p>
    <w:p>
      <w:pPr>
        <w:ind w:left="960" w:right="640"/>
        <w:spacing w:after="0" w:line="288" w:lineRule="auto"/>
        <w:rPr>
          <w:sz w:val="20"/>
          <w:szCs w:val="20"/>
          <w:color w:val="auto"/>
        </w:rPr>
      </w:pPr>
      <w:r>
        <w:rPr>
          <w:rFonts w:ascii="Arial" w:cs="Arial" w:eastAsia="Arial" w:hAnsi="Arial"/>
          <w:sz w:val="16"/>
          <w:szCs w:val="16"/>
          <w:color w:val="auto"/>
        </w:rPr>
        <w:t>the cost and timing of manufacturing sufficient supplies of our product candidates in preparation for commercialization; the effect of competing technological and market developments;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8" w:lineRule="exact"/>
        <w:rPr>
          <w:sz w:val="20"/>
          <w:szCs w:val="20"/>
          <w:color w:val="auto"/>
        </w:rPr>
      </w:pPr>
    </w:p>
    <w:p>
      <w:pPr>
        <w:ind w:left="960" w:right="680"/>
        <w:spacing w:after="0" w:line="278" w:lineRule="auto"/>
        <w:rPr>
          <w:sz w:val="20"/>
          <w:szCs w:val="20"/>
          <w:color w:val="auto"/>
        </w:rPr>
      </w:pPr>
      <w:r>
        <w:rPr>
          <w:rFonts w:ascii="Arial" w:cs="Arial" w:eastAsia="Arial" w:hAnsi="Arial"/>
          <w:sz w:val="16"/>
          <w:szCs w:val="16"/>
          <w:color w:val="auto"/>
        </w:rPr>
        <w:t>revenue, if any, received from commercial sales of our product candidates, subject to the receipt of regulatory approval; the terms and timing of any collaborative, licensing, co-promotion or other arrangements that we may establish; and the success of the commercialization of any of our current or future product candidates.</w:t>
      </w:r>
    </w:p>
    <w:p>
      <w:pPr>
        <w:spacing w:after="0" w:line="184"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 will have broad discretion as to the use of any proceeds from this offering, and we may not use the proceeds effectively.</w:t>
      </w:r>
    </w:p>
    <w:p>
      <w:pPr>
        <w:spacing w:after="0" w:line="258" w:lineRule="exact"/>
        <w:rPr>
          <w:sz w:val="20"/>
          <w:szCs w:val="20"/>
          <w:color w:val="auto"/>
        </w:rPr>
      </w:pPr>
    </w:p>
    <w:p>
      <w:pPr>
        <w:ind w:right="80"/>
        <w:spacing w:after="0" w:line="318" w:lineRule="auto"/>
        <w:rPr>
          <w:sz w:val="20"/>
          <w:szCs w:val="20"/>
          <w:color w:val="auto"/>
        </w:rPr>
      </w:pPr>
      <w:r>
        <w:rPr>
          <w:rFonts w:ascii="Arial" w:cs="Arial" w:eastAsia="Arial" w:hAnsi="Arial"/>
          <w:sz w:val="14"/>
          <w:szCs w:val="14"/>
          <w:color w:val="auto"/>
        </w:rPr>
        <w:t>Our management will have broad discretion with respect to the use of any proceeds of this offering, including for any of the purposes described in "Use of Proceeds." You will be relying on the judgment of our management regarding the application of any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is not possible to predict the aggregate proceeds resulting from sales made under the Sales Agreement.</w:t>
      </w:r>
    </w:p>
    <w:p>
      <w:pPr>
        <w:spacing w:after="0" w:line="235"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Subject to certain limitations in the Sales Agreement and compliance with applicable law, we have the discretion to deliver a placement notice to SVB Leerink at any time throughout the term of the Sales Agreement. The number of shares that are sold through SVB Leerink after delivering a placement notice will fluctuate based on a number of factors, including the market price of our common stock during the sales period, any limits we may set with SVB Leerink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19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b w:val="1"/>
          <w:bCs w:val="1"/>
          <w:i w:val="1"/>
          <w:iCs w:val="1"/>
          <w:color w:val="auto"/>
        </w:rPr>
        <w:t>The common stock offered hereby will be sold in "at-the-market offerings" and investors who buy shares at different times will likely pay different prices.</w:t>
      </w:r>
    </w:p>
    <w:p>
      <w:pPr>
        <w:spacing w:after="0" w:line="172" w:lineRule="exact"/>
        <w:rPr>
          <w:sz w:val="20"/>
          <w:szCs w:val="20"/>
          <w:color w:val="auto"/>
        </w:rPr>
      </w:pPr>
    </w:p>
    <w:p>
      <w:pPr>
        <w:spacing w:after="0" w:line="318" w:lineRule="auto"/>
        <w:rPr>
          <w:sz w:val="20"/>
          <w:szCs w:val="20"/>
          <w:color w:val="auto"/>
        </w:rPr>
      </w:pPr>
      <w:r>
        <w:rPr>
          <w:rFonts w:ascii="Arial" w:cs="Arial" w:eastAsia="Arial" w:hAnsi="Arial"/>
          <w:sz w:val="14"/>
          <w:szCs w:val="14"/>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you purchase our common stock in this offering, you may incur immediate and substantial dilution in the book value of your shares.</w:t>
      </w:r>
    </w:p>
    <w:p>
      <w:pPr>
        <w:spacing w:after="0" w:line="258"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The offering price per share of common stock in this offering may exceed the net tangible book value per share of our common stock outstanding prior to this offering. Therefore, if you purchase common stock in this offering, you may pay a price per share that exceeds our as adjusted net tangible book value per share of common stock. Assuming that an aggregate of 2,558,853 shares of our common stock are sold at an assumed offering price of $19.54 per share, the last reported sale price of our common stock on the Nasdaq Global Market on May 7, 2019, for aggregate gross proceeds of $50.0 million, and after deducting commissions and estimated offering expenses payable by us, you would experience immediate dilution of $17.71 per share, representing the difference between our as adjusted net tangible book value per share as of March 31, 2019, after giving effect to this offering, and the assumed offering price. To the extent outstanding options or warrants are exercised, you will experience further dilution. See the section titled "Dilution" below for a more detailed illustration of the dilution you would incur if you participate in this offering. Because the sales of the shares offered hereby will be made directly into the market, the prices at which we sell these shares will vary and these variations may be significant. Purchasers of the shares we sell, as well as our existing shareholders, will experience significant dilution if we sell shares at prices significantly below the price at which they invested.</w:t>
      </w:r>
    </w:p>
    <w:p>
      <w:pPr>
        <w:spacing w:after="0" w:line="183" w:lineRule="exact"/>
        <w:rPr>
          <w:sz w:val="20"/>
          <w:szCs w:val="20"/>
          <w:color w:val="auto"/>
        </w:rPr>
      </w:pPr>
    </w:p>
    <w:p>
      <w:pPr>
        <w:jc w:val="both"/>
        <w:ind w:right="400"/>
        <w:spacing w:after="0" w:line="416" w:lineRule="auto"/>
        <w:rPr>
          <w:sz w:val="20"/>
          <w:szCs w:val="20"/>
          <w:color w:val="auto"/>
        </w:rPr>
      </w:pPr>
      <w:r>
        <w:rPr>
          <w:rFonts w:ascii="Arial" w:cs="Arial" w:eastAsia="Arial" w:hAnsi="Arial"/>
          <w:sz w:val="13"/>
          <w:szCs w:val="13"/>
          <w:b w:val="1"/>
          <w:bCs w:val="1"/>
          <w:i w:val="1"/>
          <w:iCs w:val="1"/>
          <w:color w:val="auto"/>
        </w:rPr>
        <w:t>Future sales and issuances of our common stock or rights to purchase common stock pursuant to our equity compensation plans could result in additional dilution of the percentage ownership of our stockholders and could cause the price of our common stock to decline.</w:t>
      </w:r>
    </w:p>
    <w:p>
      <w:pPr>
        <w:spacing w:after="0" w:line="103"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or if we issue common stock pursuant to our equity compensation plans, investors may be materially diluted by subsequent sales or issuances. These sales or issuances may also result in material dilution to our existing stockholders, and new investors could gain rights superior to our existing stockholders.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5" w:right="12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USE OF PROCEEDS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may issue and sell shares of our common stock having an aggregate offering price of up to $50.0 million from time to time. Because there is no minimum offering amount required as a condition to close this offering, the actual total public offering amount, commissions to SVB Leerink and proceeds to us, if any, are not determinable at this time. There can be no assurance that we will sell any shares under the Sales Agreement as a source of financing.</w:t>
      </w:r>
    </w:p>
    <w:p>
      <w:pPr>
        <w:spacing w:after="0" w:line="189" w:lineRule="exact"/>
        <w:rPr>
          <w:sz w:val="20"/>
          <w:szCs w:val="20"/>
          <w:color w:val="auto"/>
        </w:rPr>
      </w:pPr>
    </w:p>
    <w:p>
      <w:pPr>
        <w:ind w:right="200"/>
        <w:spacing w:after="0" w:line="369" w:lineRule="auto"/>
        <w:rPr>
          <w:sz w:val="20"/>
          <w:szCs w:val="20"/>
          <w:color w:val="auto"/>
        </w:rPr>
      </w:pPr>
      <w:r>
        <w:rPr>
          <w:rFonts w:ascii="Arial" w:cs="Arial" w:eastAsia="Arial" w:hAnsi="Arial"/>
          <w:sz w:val="14"/>
          <w:szCs w:val="14"/>
          <w:color w:val="auto"/>
        </w:rPr>
        <w:t>We intend to use the net proceeds from this offering to continue to fund the ongoing clinical development of our late stage product candidates and for other general corporate purposes, including funding existing and potential new clinical programs and product candidates.</w:t>
      </w:r>
    </w:p>
    <w:p>
      <w:pPr>
        <w:spacing w:after="0" w:line="126"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Our expected use of the net proceeds to us from this offering represents our current intentions based upon our present plans and business condition. The amounts and timing of our actual expenditures will depend on numerous factors, including the progress of our research and development efforts, the status of and results from our current or future clinical trials, the timing of regulatory submissions and any unforeseen cash needs. Accordingly, our management will have broad discretion in the application of any net proceeds from this offering.</w:t>
      </w:r>
    </w:p>
    <w:p>
      <w:pPr>
        <w:spacing w:after="0" w:line="173" w:lineRule="exact"/>
        <w:rPr>
          <w:sz w:val="20"/>
          <w:szCs w:val="20"/>
          <w:color w:val="auto"/>
        </w:rPr>
      </w:pPr>
    </w:p>
    <w:p>
      <w:pPr>
        <w:ind w:right="520"/>
        <w:spacing w:after="0" w:line="278" w:lineRule="auto"/>
        <w:rPr>
          <w:sz w:val="20"/>
          <w:szCs w:val="20"/>
          <w:color w:val="auto"/>
        </w:rPr>
      </w:pPr>
      <w:r>
        <w:rPr>
          <w:rFonts w:ascii="Arial" w:cs="Arial" w:eastAsia="Arial" w:hAnsi="Arial"/>
          <w:sz w:val="16"/>
          <w:szCs w:val="16"/>
          <w:color w:val="auto"/>
        </w:rPr>
        <w:t>Until we use the net proceeds of this offering for the purposes described above, we intend to invest any funds we receive in short-term, investment-grade, interest-bearing instruments and U.S. government securities. We cannot predict whether these investments will yield a favorable return.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DILUTION</w:t>
      </w:r>
    </w:p>
    <w:p>
      <w:pPr>
        <w:spacing w:after="0" w:line="239" w:lineRule="exact"/>
        <w:rPr>
          <w:sz w:val="20"/>
          <w:szCs w:val="20"/>
          <w:color w:val="auto"/>
        </w:rPr>
      </w:pPr>
    </w:p>
    <w:p>
      <w:pPr>
        <w:jc w:val="both"/>
        <w:ind w:right="40"/>
        <w:spacing w:after="0" w:line="335" w:lineRule="auto"/>
        <w:rPr>
          <w:sz w:val="20"/>
          <w:szCs w:val="20"/>
          <w:color w:val="auto"/>
        </w:rPr>
      </w:pPr>
      <w:r>
        <w:rPr>
          <w:rFonts w:ascii="Arial" w:cs="Arial" w:eastAsia="Arial" w:hAnsi="Arial"/>
          <w:sz w:val="14"/>
          <w:szCs w:val="14"/>
          <w:color w:val="auto"/>
        </w:rPr>
        <w:t>If you invest in our common stock in this offering, your interest will be diluted immediately to the extent of the difference between the price per share you pay in this offering and the as adjusted net tangible book value per share of our common stock after giving effect to this offering. Net tangible book value per share represents our total assets, less total liabilities, divided by the number of shares of our common stock outstanding.</w:t>
      </w:r>
    </w:p>
    <w:p>
      <w:pPr>
        <w:spacing w:after="0" w:line="150"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At March 31, 2019, our net tangible book value was $17,373,699 or $0.52 per share of common stock, based on 33,304,047 shares of common stock then outstanding. After giving effect to the assumed sale by us of an aggregate of 2,558,853 shares of our common stock at an assumed offering price of $19.54 per share, the last reported sale price of our common stock on the Nasdaq Global Market on May 7, 2019, for aggregate gross proceeds of $50.0 million, and after deducting commissions and estimated offering expenses payable by us, our net tangible book value at March 31, 2019 would have been $65,723,687, or $1.83 per share of common stock. This represents an immediate increase in net tangible book value to existing stockholders of $1.31 per share and an immediate dilution of $17.71 per share to new investors purchasing common stock at the assumed offering price of $19.54 per share in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this per share dilution to the new investors purchasing shares of common stock in this offering: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Assumed offering price per share</w:t>
            </w:r>
          </w:p>
        </w:tc>
        <w:tc>
          <w:tcPr>
            <w:tcW w:w="4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r>
      <w:tr>
        <w:trPr>
          <w:trHeight w:val="203"/>
        </w:trPr>
        <w:tc>
          <w:tcPr>
            <w:tcW w:w="7060" w:type="dxa"/>
            <w:vAlign w:val="bottom"/>
          </w:tcPr>
          <w:p>
            <w:pPr>
              <w:ind w:left="240"/>
              <w:spacing w:after="0"/>
              <w:rPr>
                <w:sz w:val="20"/>
                <w:szCs w:val="20"/>
                <w:color w:val="auto"/>
              </w:rPr>
            </w:pPr>
            <w:r>
              <w:rPr>
                <w:rFonts w:ascii="Arial" w:cs="Arial" w:eastAsia="Arial" w:hAnsi="Arial"/>
                <w:sz w:val="16"/>
                <w:szCs w:val="16"/>
                <w:color w:val="auto"/>
              </w:rPr>
              <w:t>Net tangible book value per share at March 31, 2019</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0.52</w:t>
            </w: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3"/>
        </w:trPr>
        <w:tc>
          <w:tcPr>
            <w:tcW w:w="7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 in net tangible book value per share attributable to new investors purchasing shares in</w:t>
            </w: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09"/>
        </w:trPr>
        <w:tc>
          <w:tcPr>
            <w:tcW w:w="7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this offering</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99"/>
        </w:trPr>
        <w:tc>
          <w:tcPr>
            <w:tcW w:w="70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70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9"/>
              </w:rPr>
              <w:t>As adjusted net tangible book value per share at March 31, 2019, after giving effect to this offering</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3"/>
        </w:trPr>
        <w:tc>
          <w:tcPr>
            <w:tcW w:w="70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r>
        <w:trPr>
          <w:trHeight w:val="203"/>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Dilution per share to new investors in this offering</w:t>
            </w:r>
          </w:p>
        </w:tc>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The foregoing table and calculations are based on 33,304,047 shares of our common stock outstanding as of March 31, 2019, and excludes:</w:t>
      </w:r>
    </w:p>
    <w:p>
      <w:pPr>
        <w:spacing w:after="0" w:line="260" w:lineRule="exact"/>
        <w:rPr>
          <w:sz w:val="20"/>
          <w:szCs w:val="20"/>
          <w:color w:val="auto"/>
        </w:rPr>
      </w:pPr>
    </w:p>
    <w:p>
      <w:pPr>
        <w:ind w:left="960" w:right="420"/>
        <w:spacing w:after="0" w:line="293" w:lineRule="auto"/>
        <w:rPr>
          <w:sz w:val="20"/>
          <w:szCs w:val="20"/>
          <w:color w:val="auto"/>
        </w:rPr>
      </w:pPr>
      <w:r>
        <w:rPr>
          <w:rFonts w:ascii="Arial" w:cs="Arial" w:eastAsia="Arial" w:hAnsi="Arial"/>
          <w:sz w:val="16"/>
          <w:szCs w:val="16"/>
          <w:color w:val="auto"/>
        </w:rPr>
        <w:t>3,100,209 shares of common stock issuable upon exercise of stock options outstanding as of March 31, 2019, at a weighted average exercise price of $7.24 per share;</w:t>
      </w:r>
    </w:p>
    <w:p>
      <w:pPr>
        <w:spacing w:after="0" w:line="186" w:lineRule="exact"/>
        <w:rPr>
          <w:sz w:val="20"/>
          <w:szCs w:val="20"/>
          <w:color w:val="auto"/>
        </w:rPr>
      </w:pPr>
    </w:p>
    <w:p>
      <w:pPr>
        <w:ind w:left="960" w:right="40"/>
        <w:spacing w:after="0" w:line="270" w:lineRule="auto"/>
        <w:rPr>
          <w:sz w:val="20"/>
          <w:szCs w:val="20"/>
          <w:color w:val="auto"/>
        </w:rPr>
      </w:pPr>
      <w:r>
        <w:rPr>
          <w:rFonts w:ascii="Arial" w:cs="Arial" w:eastAsia="Arial" w:hAnsi="Arial"/>
          <w:sz w:val="16"/>
          <w:szCs w:val="16"/>
          <w:color w:val="auto"/>
        </w:rPr>
        <w:t>181,369 shares of common stock issuable upon the exercise of outstanding warrants as of March 31, 2019, consisting of 42,059 warrants with an exercise price of $5.94 per share, 65,228 warrants with an exercise price of $7.41 per share, 15,750 warrants with an exercise price of $3.06, and 58,332 warrants with an exercise price of $8.10 per share, and an additional 11,668 shares of common stock issuable upon the exercise of warrants that will be deemed outstanding upon the making of the Term B Loan Advance (as that term is defined in our Loan and Security Agreement with Silicon Valley Bank and WestRiver Innovation Lending Fund VIII, L.P., dated March 5, 2019); and</w:t>
      </w:r>
    </w:p>
    <w:p>
      <w:pPr>
        <w:spacing w:after="0" w:line="20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3,943,048 shares of common stock available for future grant under our 2015 Omnibus Incentive Compensation Plan as of March</w:t>
      </w:r>
    </w:p>
    <w:p>
      <w:pPr>
        <w:spacing w:after="0" w:line="4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31, 2019;</w:t>
      </w:r>
    </w:p>
    <w:p>
      <w:pPr>
        <w:spacing w:after="0" w:line="231"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An increase of $1.00 per share in the price at which the shares are sold from the assumed offering price of $19.54 per share shown in the table above, assuming all of our common stock in the aggregate amount of $50.0 million during the term of the Sales Agreement with SVB Leerink is sold at that price, would increase our as adjusted net tangible book value per share to $1.84 per share and would increase the dilution in net tangible book value per share to new investors in this offering to $18.70 per share, after deducting commissions and estimated offering expenses payable by us. A decrease of $1.00 per share in the price at which the shares are sold from the assumed offering price of $19.54 per share shown in the table above, assuming all of our common stock in the aggregate amount of $50.0 million during the term of the Sales Agreement with SVB Leerink is sold at that price, would decrease our as adjusted net tangible book value per share to $1.83 per share and would decrease the dilution in net tangible book value per share to new investors in this offering to $16.71 per share, after deducting commissions and estimated offering expenses payable by us.</w:t>
      </w:r>
    </w:p>
    <w:p>
      <w:pPr>
        <w:spacing w:after="0" w:line="183"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information discussed above is illustrative only and the shares subject to our Sales Agreement with SVB Leerink are being sold from time to time at various prices. Furthermore, to the extent outstanding options or warrants are exercised, you will experience further dilution. In addition, 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25" w:right="125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PLAN OF DISTRIBUTION</w:t>
      </w:r>
    </w:p>
    <w:p>
      <w:pPr>
        <w:spacing w:after="0" w:line="239"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We have entered into a Sales Agreement with SVB Leerink LLC, or SVB Leerink, under which we may issue and sell up to $50.0 million of our common stock from time to time through SVB Leerink as our sales agent. Sales of our common stock, if any, will be made by any method that is deemed to be an "at the market offering" as defined in Rule 415 under the Securities Act, including sales made directly on or through the Nasdaq Global Market, on or through any other existing trading market for the common stock or to or through a market maker.</w:t>
      </w:r>
    </w:p>
    <w:p>
      <w:pPr>
        <w:spacing w:after="0" w:line="173"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SVB Leerink will offer our common stock subject to the terms and conditions of the Sales Agreement on a daily basis or as otherwise agreed upon by us and SVB Leerink. We will designate the maximum number or amount of common stock to be sold through SVB Leerink on a daily basis or otherwise determine such maximum number or amount together with SVB Leerink. Subject to the terms and conditions of the Sales Agreement, SVB Leerink will use commercially reasonable efforts consistent with its normal trading and sales practices to sell on our behalf all of the common stock requested to be sold by us. We may instruct SVB Leerink not to sell common stock if the sales cannot be effected at or above a minimum price designated by us in any such instruction. SVB Leerink or we may suspend the offering of our common stock being made through SVB Leerink under the Sales Agreement upon proper notice to the other party. SVB Leerink and we each have the right, by giving written notice as specified in the Sales Agreement, to terminate the Sales Agreement in each party's sole discretion at any time. The offering of our common stock pursuant to the Sales Agreement will otherwise terminate upon the termination of the Sales Agreement as provided therein.</w:t>
      </w:r>
    </w:p>
    <w:p>
      <w:pPr>
        <w:spacing w:after="0" w:line="195"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compensation payable to SVB Leerink as sales agent will be an amount equal to 3.0% of the gross proceeds of any shares of common stock sold through it pursuant to the Sales Agreement. We have also agreed to reimburse SVB Leerink for actual outside legal expenses incurred by SVB Leerink in connection with this offering, including SVB Leerink's counsel fees in an amount up to $50,000, plus an additional amount of up to $15,000 in connection with determining our compliance with the rules and regulations of the Financial Industry Regulatory Authority, Inc., or FINRA. In accordance with FINRA Rule 5110 these reimbursed fees and expenses are deemed sales compensation to SVB Leerink in connection with this offering. We estimate that the total expenses of the offering payable by us, excluding commissions payable to SVB Leerink under the Sales Agreement, will be approximately $150,000.</w:t>
      </w:r>
    </w:p>
    <w:p>
      <w:pPr>
        <w:spacing w:after="0" w:line="180"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color w:val="auto"/>
        </w:rPr>
        <w:t>The remaining sales proceeds, after deducting any expenses payable by us and any transaction fees imposed by any governmental, regulatory or self-regulatory organization in connection with the sales of our common stock, will equal our net proceeds for the sale of such common stock.</w:t>
      </w:r>
    </w:p>
    <w:p>
      <w:pPr>
        <w:spacing w:after="0" w:line="126"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SVB Leerink will provide written confirmation to us no later than the next succeeding trading day on the Nasdaq Global Market after each day on which common stock is sold through it as sales agent under the Sales Agreement. Each confirmation will include the number or amount of shares sold through it as sales agent on that day, the volume weighted average price of the shares sold, the percentage of the daily trading volume and the net proceeds to us from such sales.</w:t>
      </w:r>
    </w:p>
    <w:p>
      <w:pPr>
        <w:spacing w:after="0" w:line="189" w:lineRule="exact"/>
        <w:rPr>
          <w:sz w:val="20"/>
          <w:szCs w:val="20"/>
          <w:color w:val="auto"/>
        </w:rPr>
      </w:pPr>
    </w:p>
    <w:p>
      <w:pPr>
        <w:ind w:right="120"/>
        <w:spacing w:after="0" w:line="329" w:lineRule="auto"/>
        <w:rPr>
          <w:sz w:val="20"/>
          <w:szCs w:val="20"/>
          <w:color w:val="auto"/>
        </w:rPr>
      </w:pPr>
      <w:r>
        <w:rPr>
          <w:rFonts w:ascii="Arial" w:cs="Arial" w:eastAsia="Arial" w:hAnsi="Arial"/>
          <w:sz w:val="15"/>
          <w:szCs w:val="15"/>
          <w:color w:val="auto"/>
        </w:rPr>
        <w:t>We will report at least quarterly the number of shares of common stock sold through SVB Leerink under the Sales Agreement, the net proceeds to us and the compensation paid by us to SVB Leerink in connection with the sales of common stock during the relevant period.</w:t>
      </w:r>
    </w:p>
    <w:p>
      <w:pPr>
        <w:spacing w:after="0" w:line="148"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Settlement for sales of common stock will occur, unless the parties agree otherwise, on the second trading day following the date on which any sales were made in return for payment of the net proceeds to us. There is no arrangement for funds to be received in an escrow, trust or similar arrangement.</w:t>
      </w:r>
    </w:p>
    <w:p>
      <w:pPr>
        <w:spacing w:after="0" w:line="184"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connection with the sale of the common stock on our behalf pursuant to the Sales Agreement, SVB Leerink will be deemed to be an "underwriter" within the meaning of the Securities Act and the compensation paid to SVB Leerink will be deemed to be underwriting commissions or discounts. We have agreed in the Sales Agreement to provide indemnification and contribution to SVB Leerink with respect to certain liabilities, including liabilities under the Securities Act or the Exchange Act. As sales agent, SVB Leerink will not engage in any transactions that stabilize our common stock.</w:t>
      </w:r>
    </w:p>
    <w:p>
      <w:pPr>
        <w:spacing w:after="0" w:line="190"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Our common stock is listed on the Nasdaq Global Market and trade under the symbol "AXSM." The transfer agent of our common stock is American Stock Transfer &amp; Trust Company, LLC.</w:t>
      </w:r>
    </w:p>
    <w:p>
      <w:pPr>
        <w:spacing w:after="0" w:line="17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SVB Leerink and/or its affiliates have provided, and may in the future provide, various investment banking and other financial services for us for which services they have received, and may in the future receive, customary fees.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5" w:right="12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3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validity of the common stock being offered by this prospectus supplement will be passed upon for us by DLA Piper LLP (US), Short Hills, New Jersey. Covington &amp; Burling LLP, New York, New York, is counsel to SVB Leerink in connection with this offering.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39" w:lineRule="exact"/>
        <w:rPr>
          <w:sz w:val="20"/>
          <w:szCs w:val="20"/>
          <w:color w:val="auto"/>
        </w:rPr>
      </w:pPr>
    </w:p>
    <w:p>
      <w:pPr>
        <w:ind w:right="60"/>
        <w:spacing w:after="0" w:line="318" w:lineRule="auto"/>
        <w:rPr>
          <w:sz w:val="20"/>
          <w:szCs w:val="20"/>
          <w:color w:val="auto"/>
        </w:rPr>
      </w:pPr>
      <w:r>
        <w:rPr>
          <w:rFonts w:ascii="Arial" w:cs="Arial" w:eastAsia="Arial" w:hAnsi="Arial"/>
          <w:sz w:val="14"/>
          <w:szCs w:val="14"/>
          <w:color w:val="auto"/>
        </w:rPr>
        <w:t>Ernst &amp; Young LLP, independent registered public accounting firm, has audited our consolidated financial statements included in our Annual Report on Form 10-K for the year ended December 31, 2018, as set forth in their report, which is incorporated by reference in this prospectus supplement and elsewhere in the registration statement of which this prospectus forms a part. Our financial statements are, and audited financial statements to be included in subsequently filed documents will be, incorporated by reference in reliance on Ernst &amp; Young LLP's reports pertaining to such financial statements as of their respective dates, given on their authority as experts in accounting and auditing.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39"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This prospectus supplement and the accompanying prospectus form part of a registration statement on Form S-3 that we filed with the SEC. This prospectus supplement and the accompanying prospectus do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supplement, we refer you to the registration statement and the exhibits and schedules filed as a part of the registration statement and the documents incorporated by reference herein and therein. You should rely only on the information contained in this prospectus supplement or the accompanying prospectus or incorporated by reference herein or therein.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supplement, regardless of the time of delivery of this prospectus supplement or any sale of the securities offered hereby.</w:t>
      </w:r>
    </w:p>
    <w:p>
      <w:pPr>
        <w:spacing w:after="0" w:line="168"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 xml:space="preserve">We file annual, quarterly and other reports, proxy and information statements and other information with the Securities and Exchange Commission. The SEC maintains a website that contains reports, proxy statements and other information regarding us. The address of the SEC website is </w:t>
      </w:r>
      <w:r>
        <w:rPr>
          <w:rFonts w:ascii="Arial" w:cs="Arial" w:eastAsia="Arial" w:hAnsi="Arial"/>
          <w:sz w:val="15"/>
          <w:szCs w:val="15"/>
          <w:i w:val="1"/>
          <w:iCs w:val="1"/>
          <w:color w:val="auto"/>
        </w:rPr>
        <w:t>www.sec.gov</w:t>
      </w:r>
      <w:r>
        <w:rPr>
          <w:rFonts w:ascii="Arial" w:cs="Arial" w:eastAsia="Arial" w:hAnsi="Arial"/>
          <w:sz w:val="15"/>
          <w:szCs w:val="15"/>
          <w:color w:val="auto"/>
        </w:rPr>
        <w:t xml:space="preserve">. We maintain a website at </w:t>
      </w:r>
      <w:r>
        <w:rPr>
          <w:rFonts w:ascii="Arial" w:cs="Arial" w:eastAsia="Arial" w:hAnsi="Arial"/>
          <w:sz w:val="15"/>
          <w:szCs w:val="15"/>
          <w:i w:val="1"/>
          <w:iCs w:val="1"/>
          <w:color w:val="auto"/>
        </w:rPr>
        <w:t>www.axsome.com</w:t>
      </w:r>
      <w:r>
        <w:rPr>
          <w:rFonts w:ascii="Arial" w:cs="Arial" w:eastAsia="Arial" w:hAnsi="Arial"/>
          <w:sz w:val="15"/>
          <w:szCs w:val="15"/>
          <w:color w:val="auto"/>
        </w:rPr>
        <w:t>. The information contained on, or that can be accessed through, our website is not a part of this prospectus supplement. Investors should not rely on any such information in deciding whether to purchase our common stock. We have included our website address in this prospectus supplement solely as an inactive textual reference.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5" w:right="12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INFORMATION INCORPORATED BY REFERENCE</w:t>
      </w:r>
    </w:p>
    <w:p>
      <w:pPr>
        <w:spacing w:after="0" w:line="239"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The SEC allows us to incorporate by reference into this prospectus supplement and the accompanying prospectus certain information we file with it, which means that we can disclose important information by referring you to those documents. The information incorporated by reference is considered to be a part of this prospectus supplement and the accompanying prospectus, and information that we file later with the SEC will automatically update and supersede information contained in this prospectus supplement and the accompanying prospectus.</w:t>
      </w:r>
    </w:p>
    <w:p>
      <w:pPr>
        <w:spacing w:after="0" w:line="173"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The following documents are incorporated by reference into this document (other than the portions of these documents deemed to be “furnished” or not deemed to be “filed,” including the portions of these documents that are furnished under Item 2.02 or Item 7.01 of a Current Report on Form 8-K, including any exhibits included with such Items):</w:t>
      </w:r>
    </w:p>
    <w:p>
      <w:pPr>
        <w:spacing w:after="0" w:line="184" w:lineRule="exact"/>
        <w:rPr>
          <w:sz w:val="20"/>
          <w:szCs w:val="20"/>
          <w:color w:val="auto"/>
        </w:rPr>
      </w:pPr>
    </w:p>
    <w:p>
      <w:pPr>
        <w:ind w:left="960"/>
        <w:spacing w:after="0" w:line="184" w:lineRule="exact"/>
        <w:rPr>
          <w:rFonts w:ascii="Arial" w:cs="Arial" w:eastAsia="Arial" w:hAnsi="Arial"/>
          <w:sz w:val="16"/>
          <w:szCs w:val="16"/>
          <w:color w:val="0000EE"/>
        </w:rPr>
      </w:pPr>
      <w:hyperlink r:id="rId27">
        <w:r>
          <w:rPr>
            <w:rFonts w:ascii="Arial" w:cs="Arial" w:eastAsia="Arial" w:hAnsi="Arial"/>
            <w:sz w:val="16"/>
            <w:szCs w:val="16"/>
            <w:u w:val="single" w:color="auto"/>
            <w:color w:val="0000EE"/>
          </w:rPr>
          <w:t>our annual report on Form 10</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K for the fiscal year ended December 31, 2018 filed with the SEC on March 15, 2019</w:t>
        </w:r>
      </w:hyperlink>
      <w:r>
        <w:rPr>
          <w:rFonts w:ascii="Arial" w:cs="Arial" w:eastAsia="Arial" w:hAnsi="Arial"/>
          <w:sz w:val="16"/>
          <w:szCs w:val="16"/>
          <w:color w:val="000000"/>
        </w:rPr>
        <w:t>;</w:t>
      </w:r>
    </w:p>
    <w:p>
      <w:pPr>
        <w:spacing w:after="0" w:line="22" w:lineRule="exact"/>
        <w:rPr>
          <w:sz w:val="20"/>
          <w:szCs w:val="20"/>
          <w:color w:val="auto"/>
        </w:rPr>
      </w:pPr>
    </w:p>
    <w:p>
      <w:pPr>
        <w:ind w:left="960" w:right="60" w:hanging="13"/>
        <w:spacing w:after="0" w:line="264" w:lineRule="auto"/>
        <w:rPr>
          <w:rFonts w:ascii="Arial" w:cs="Arial" w:eastAsia="Arial" w:hAnsi="Arial"/>
          <w:sz w:val="16"/>
          <w:szCs w:val="16"/>
          <w:color w:val="0000EE"/>
        </w:rPr>
      </w:pPr>
      <w:hyperlink r:id="rId28">
        <w:r>
          <w:rPr>
            <w:rFonts w:ascii="Arial" w:cs="Arial" w:eastAsia="Arial" w:hAnsi="Arial"/>
            <w:sz w:val="16"/>
            <w:szCs w:val="16"/>
            <w:u w:val="single" w:color="auto"/>
            <w:color w:val="0000EE"/>
          </w:rPr>
          <w:t>the information contained in our definitive proxy statement on Schedule 14A for our 2019 Annual Meeting of Stockholders, filed</w:t>
        </w:r>
      </w:hyperlink>
      <w:r>
        <w:rPr>
          <w:rFonts w:ascii="Arial" w:cs="Arial" w:eastAsia="Arial" w:hAnsi="Arial"/>
          <w:sz w:val="16"/>
          <w:szCs w:val="16"/>
          <w:u w:val="single" w:color="auto"/>
          <w:color w:val="0000EE"/>
        </w:rPr>
        <w:t xml:space="preserve"> </w:t>
      </w:r>
      <w:hyperlink r:id="rId28">
        <w:r>
          <w:rPr>
            <w:rFonts w:ascii="Arial" w:cs="Arial" w:eastAsia="Arial" w:hAnsi="Arial"/>
            <w:sz w:val="16"/>
            <w:szCs w:val="16"/>
            <w:u w:val="single" w:color="auto"/>
            <w:color w:val="0000EE"/>
          </w:rPr>
          <w:t>with the SEC on April 26, 2019, to the extent incorporated by reference in Part III of the Form 10 K for the fiscal year ended</w:t>
        </w:r>
      </w:hyperlink>
      <w:r>
        <w:rPr>
          <w:rFonts w:ascii="Arial" w:cs="Arial" w:eastAsia="Arial" w:hAnsi="Arial"/>
          <w:sz w:val="16"/>
          <w:szCs w:val="16"/>
          <w:u w:val="single" w:color="auto"/>
          <w:color w:val="0000EE"/>
        </w:rPr>
        <w:t xml:space="preserve"> </w:t>
      </w:r>
      <w:hyperlink r:id="rId28">
        <w:r>
          <w:rPr>
            <w:rFonts w:ascii="Arial" w:cs="Arial" w:eastAsia="Arial" w:hAnsi="Arial"/>
            <w:sz w:val="16"/>
            <w:szCs w:val="16"/>
            <w:u w:val="single" w:color="auto"/>
            <w:color w:val="0000EE"/>
          </w:rPr>
          <w:t>December 31, 2018</w:t>
        </w:r>
        <w:r>
          <w:rPr>
            <w:rFonts w:ascii="Arial" w:cs="Arial" w:eastAsia="Arial" w:hAnsi="Arial"/>
            <w:sz w:val="16"/>
            <w:szCs w:val="16"/>
            <w:color w:val="000000"/>
          </w:rPr>
          <w:t>;</w:t>
        </w:r>
      </w:hyperlink>
    </w:p>
    <w:p>
      <w:pPr>
        <w:spacing w:after="0" w:line="1" w:lineRule="exact"/>
        <w:rPr>
          <w:rFonts w:ascii="Arial" w:cs="Arial" w:eastAsia="Arial" w:hAnsi="Arial"/>
          <w:sz w:val="16"/>
          <w:szCs w:val="16"/>
          <w:u w:val="single" w:color="auto"/>
          <w:color w:val="0000EE"/>
        </w:rPr>
      </w:pPr>
    </w:p>
    <w:p>
      <w:pPr>
        <w:ind w:left="960"/>
        <w:spacing w:after="0"/>
        <w:rPr>
          <w:rFonts w:ascii="Arial" w:cs="Arial" w:eastAsia="Arial" w:hAnsi="Arial"/>
          <w:sz w:val="16"/>
          <w:szCs w:val="16"/>
          <w:color w:val="0000EE"/>
        </w:rPr>
      </w:pPr>
      <w:hyperlink r:id="rId29">
        <w:r>
          <w:rPr>
            <w:rFonts w:ascii="Arial" w:cs="Arial" w:eastAsia="Arial" w:hAnsi="Arial"/>
            <w:sz w:val="16"/>
            <w:szCs w:val="16"/>
            <w:u w:val="single" w:color="auto"/>
            <w:color w:val="0000EE"/>
          </w:rPr>
          <w:t>our quarterly report on Form 10-Q for the three months ended March 31, 2019 filed with the SEC on May 9, 2019</w:t>
        </w:r>
      </w:hyperlink>
      <w:r>
        <w:rPr>
          <w:rFonts w:ascii="Arial" w:cs="Arial" w:eastAsia="Arial" w:hAnsi="Arial"/>
          <w:sz w:val="16"/>
          <w:szCs w:val="16"/>
          <w:color w:val="000000"/>
        </w:rPr>
        <w:t>;</w:t>
      </w:r>
    </w:p>
    <w:p>
      <w:pPr>
        <w:spacing w:after="0" w:line="19" w:lineRule="exact"/>
        <w:rPr>
          <w:rFonts w:ascii="Arial" w:cs="Arial" w:eastAsia="Arial" w:hAnsi="Arial"/>
          <w:sz w:val="16"/>
          <w:szCs w:val="16"/>
          <w:u w:val="single" w:color="auto"/>
          <w:color w:val="0000EE"/>
        </w:rPr>
      </w:pPr>
    </w:p>
    <w:p>
      <w:pPr>
        <w:ind w:left="960" w:right="60" w:hanging="13"/>
        <w:spacing w:after="0" w:line="264" w:lineRule="auto"/>
        <w:rPr>
          <w:rFonts w:ascii="Arial" w:cs="Arial" w:eastAsia="Arial" w:hAnsi="Arial"/>
          <w:sz w:val="16"/>
          <w:szCs w:val="16"/>
          <w:color w:val="0000EE"/>
        </w:rPr>
      </w:pPr>
      <w:r>
        <w:rPr>
          <w:rFonts w:ascii="Arial" w:cs="Arial" w:eastAsia="Arial" w:hAnsi="Arial"/>
          <w:sz w:val="16"/>
          <w:szCs w:val="16"/>
          <w:color w:val="auto"/>
        </w:rPr>
        <w:t xml:space="preserve">our current reports on Form 8-K filed with the SEC on </w:t>
      </w:r>
      <w:hyperlink r:id="rId30">
        <w:r>
          <w:rPr>
            <w:rFonts w:ascii="Arial" w:cs="Arial" w:eastAsia="Arial" w:hAnsi="Arial"/>
            <w:sz w:val="16"/>
            <w:szCs w:val="16"/>
            <w:u w:val="single" w:color="auto"/>
            <w:color w:val="0000EE"/>
          </w:rPr>
          <w:t xml:space="preserve">January 7, 2019 </w:t>
        </w:r>
      </w:hyperlink>
      <w:hyperlink r:id="rId31">
        <w:r>
          <w:rPr>
            <w:rFonts w:ascii="Arial" w:cs="Arial" w:eastAsia="Arial" w:hAnsi="Arial"/>
            <w:sz w:val="16"/>
            <w:szCs w:val="16"/>
            <w:u w:val="single" w:color="auto"/>
            <w:color w:val="auto"/>
          </w:rPr>
          <w:t xml:space="preserve">(two </w:t>
        </w:r>
        <w:r>
          <w:rPr>
            <w:rFonts w:ascii="Arial" w:cs="Arial" w:eastAsia="Arial" w:hAnsi="Arial"/>
            <w:sz w:val="16"/>
            <w:szCs w:val="16"/>
            <w:u w:val="single" w:color="auto"/>
            <w:color w:val="0000EE"/>
          </w:rPr>
          <w:t>filings)</w:t>
        </w:r>
      </w:hyperlink>
      <w:r>
        <w:rPr>
          <w:rFonts w:ascii="Arial" w:cs="Arial" w:eastAsia="Arial" w:hAnsi="Arial"/>
          <w:sz w:val="16"/>
          <w:szCs w:val="16"/>
          <w:color w:val="auto"/>
        </w:rPr>
        <w:t xml:space="preserve">; </w:t>
      </w:r>
      <w:hyperlink r:id="rId32">
        <w:r>
          <w:rPr>
            <w:rFonts w:ascii="Arial" w:cs="Arial" w:eastAsia="Arial" w:hAnsi="Arial"/>
            <w:sz w:val="16"/>
            <w:szCs w:val="16"/>
            <w:u w:val="single" w:color="auto"/>
            <w:color w:val="0000EE"/>
          </w:rPr>
          <w:t>January 8, 2019</w:t>
        </w:r>
      </w:hyperlink>
      <w:r>
        <w:rPr>
          <w:rFonts w:ascii="Arial" w:cs="Arial" w:eastAsia="Arial" w:hAnsi="Arial"/>
          <w:sz w:val="16"/>
          <w:szCs w:val="16"/>
          <w:color w:val="auto"/>
        </w:rPr>
        <w:t xml:space="preserve">; </w:t>
      </w:r>
      <w:hyperlink r:id="rId33">
        <w:r>
          <w:rPr>
            <w:rFonts w:ascii="Arial" w:cs="Arial" w:eastAsia="Arial" w:hAnsi="Arial"/>
            <w:sz w:val="16"/>
            <w:szCs w:val="16"/>
            <w:u w:val="single" w:color="auto"/>
            <w:color w:val="0000EE"/>
          </w:rPr>
          <w:t>January 30, 2019</w:t>
        </w:r>
      </w:hyperlink>
      <w:r>
        <w:rPr>
          <w:rFonts w:ascii="Arial" w:cs="Arial" w:eastAsia="Arial" w:hAnsi="Arial"/>
          <w:sz w:val="16"/>
          <w:szCs w:val="16"/>
          <w:color w:val="auto"/>
        </w:rPr>
        <w:t xml:space="preserve">; </w:t>
      </w:r>
      <w:hyperlink r:id="rId34">
        <w:r>
          <w:rPr>
            <w:rFonts w:ascii="Arial" w:cs="Arial" w:eastAsia="Arial" w:hAnsi="Arial"/>
            <w:sz w:val="16"/>
            <w:szCs w:val="16"/>
            <w:u w:val="single" w:color="auto"/>
            <w:color w:val="0000EE"/>
          </w:rPr>
          <w:t>February 6,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4,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6,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14,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March 27,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April 15, 2019</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May 6, 2019</w:t>
        </w:r>
        <w:r>
          <w:rPr>
            <w:rFonts w:ascii="Arial" w:cs="Arial" w:eastAsia="Arial" w:hAnsi="Arial"/>
            <w:sz w:val="16"/>
            <w:szCs w:val="16"/>
            <w:color w:val="0000EE"/>
          </w:rPr>
          <w:t xml:space="preserve"> </w:t>
        </w:r>
        <w:r>
          <w:rPr>
            <w:rFonts w:ascii="Arial" w:cs="Arial" w:eastAsia="Arial" w:hAnsi="Arial"/>
            <w:sz w:val="16"/>
            <w:szCs w:val="16"/>
            <w:color w:val="000000"/>
          </w:rPr>
          <w:t>and</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May 9,</w:t>
        </w:r>
      </w:hyperlink>
      <w:r>
        <w:rPr>
          <w:rFonts w:ascii="Arial" w:cs="Arial" w:eastAsia="Arial" w:hAnsi="Arial"/>
          <w:sz w:val="16"/>
          <w:szCs w:val="16"/>
          <w:color w:val="0000EE"/>
        </w:rPr>
        <w:t xml:space="preserve"> </w:t>
      </w:r>
      <w:hyperlink r:id="rId34">
        <w:r>
          <w:rPr>
            <w:rFonts w:ascii="Arial" w:cs="Arial" w:eastAsia="Arial" w:hAnsi="Arial"/>
            <w:sz w:val="16"/>
            <w:szCs w:val="16"/>
            <w:u w:val="single" w:color="auto"/>
            <w:color w:val="0000EE"/>
          </w:rPr>
          <w:t>2019</w:t>
        </w:r>
        <w:r>
          <w:rPr>
            <w:rFonts w:ascii="Arial" w:cs="Arial" w:eastAsia="Arial" w:hAnsi="Arial"/>
            <w:sz w:val="16"/>
            <w:szCs w:val="16"/>
            <w:color w:val="000000"/>
          </w:rPr>
          <w:t>; and</w:t>
        </w:r>
      </w:hyperlink>
    </w:p>
    <w:p>
      <w:pPr>
        <w:spacing w:after="0" w:line="1" w:lineRule="exact"/>
        <w:rPr>
          <w:rFonts w:ascii="Arial" w:cs="Arial" w:eastAsia="Arial" w:hAnsi="Arial"/>
          <w:sz w:val="16"/>
          <w:szCs w:val="16"/>
          <w:color w:val="auto"/>
        </w:rPr>
      </w:pPr>
    </w:p>
    <w:p>
      <w:pPr>
        <w:ind w:left="960" w:right="400" w:hanging="13"/>
        <w:spacing w:after="0" w:line="202" w:lineRule="exact"/>
        <w:rPr>
          <w:rFonts w:ascii="Arial" w:cs="Arial" w:eastAsia="Arial" w:hAnsi="Arial"/>
          <w:sz w:val="14"/>
          <w:szCs w:val="14"/>
          <w:color w:val="0000EE"/>
        </w:rPr>
      </w:pPr>
      <w:hyperlink r:id="rId35">
        <w:r>
          <w:rPr>
            <w:rFonts w:ascii="Arial" w:cs="Arial" w:eastAsia="Arial" w:hAnsi="Arial"/>
            <w:sz w:val="14"/>
            <w:szCs w:val="14"/>
            <w:color w:val="auto"/>
          </w:rPr>
          <w:t xml:space="preserve">the description of our common stock contained in our registration statement on </w:t>
        </w:r>
        <w:r>
          <w:rPr>
            <w:rFonts w:ascii="Arial" w:cs="Arial" w:eastAsia="Arial" w:hAnsi="Arial"/>
            <w:sz w:val="14"/>
            <w:szCs w:val="14"/>
            <w:u w:val="single" w:color="auto"/>
            <w:color w:val="0000EE"/>
          </w:rPr>
          <w:t>Form 8</w:t>
        </w:r>
        <w:r>
          <w:rPr>
            <w:rFonts w:ascii="MS PGothic" w:cs="MS PGothic" w:eastAsia="MS PGothic" w:hAnsi="MS PGothic"/>
            <w:sz w:val="14"/>
            <w:szCs w:val="14"/>
            <w:u w:val="single" w:color="auto"/>
            <w:color w:val="0000EE"/>
          </w:rPr>
          <w:t>‑</w:t>
        </w:r>
        <w:r>
          <w:rPr>
            <w:rFonts w:ascii="Arial" w:cs="Arial" w:eastAsia="Arial" w:hAnsi="Arial"/>
            <w:sz w:val="14"/>
            <w:szCs w:val="14"/>
            <w:u w:val="single" w:color="auto"/>
            <w:color w:val="0000EE"/>
          </w:rPr>
          <w:t>A12B, filed with the SEC on</w:t>
        </w:r>
      </w:hyperlink>
      <w:r>
        <w:rPr>
          <w:rFonts w:ascii="Arial" w:cs="Arial" w:eastAsia="Arial" w:hAnsi="Arial"/>
          <w:sz w:val="14"/>
          <w:szCs w:val="14"/>
          <w:color w:val="auto"/>
        </w:rPr>
        <w:t xml:space="preserve"> </w:t>
      </w:r>
      <w:hyperlink r:id="rId35">
        <w:r>
          <w:rPr>
            <w:rFonts w:ascii="Arial" w:cs="Arial" w:eastAsia="Arial" w:hAnsi="Arial"/>
            <w:sz w:val="14"/>
            <w:szCs w:val="14"/>
            <w:u w:val="single" w:color="auto"/>
            <w:color w:val="0000EE"/>
          </w:rPr>
          <w:t>November 16, 2015 (File No. 001-37635)</w:t>
        </w:r>
        <w:r>
          <w:rPr>
            <w:rFonts w:ascii="Arial" w:cs="Arial" w:eastAsia="Arial" w:hAnsi="Arial"/>
            <w:sz w:val="14"/>
            <w:szCs w:val="14"/>
            <w:color w:val="000000"/>
          </w:rPr>
          <w:t xml:space="preserve">, and all amendments or reports filed for the purpose of updating such </w:t>
        </w:r>
      </w:hyperlink>
      <w:r>
        <w:rPr>
          <w:rFonts w:ascii="Arial" w:cs="Arial" w:eastAsia="Arial" w:hAnsi="Arial"/>
          <w:sz w:val="14"/>
          <w:szCs w:val="14"/>
          <w:color w:val="0000EE"/>
        </w:rPr>
        <w:t>description.</w:t>
      </w:r>
    </w:p>
    <w:p>
      <w:pPr>
        <w:spacing w:after="0" w:line="214"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supplement and until the completion or termination of the offering contemplated hereby.</w:t>
      </w:r>
    </w:p>
    <w:p>
      <w:pPr>
        <w:spacing w:after="0" w:line="2"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These documents include periodic reports, such as Annual Reports on Form 10-K, Quarterly Reports on Form 10-Q and Current Reports on Form 8-K.</w:t>
      </w:r>
    </w:p>
    <w:p>
      <w:pPr>
        <w:spacing w:after="0" w:line="17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66" w:lineRule="exact"/>
        <w:rPr>
          <w:sz w:val="20"/>
          <w:szCs w:val="20"/>
          <w:color w:val="auto"/>
        </w:rPr>
      </w:pPr>
    </w:p>
    <w:p>
      <w:pPr>
        <w:ind w:right="200"/>
        <w:spacing w:after="0" w:line="293" w:lineRule="auto"/>
        <w:rPr>
          <w:sz w:val="20"/>
          <w:szCs w:val="20"/>
          <w:color w:val="auto"/>
        </w:rPr>
      </w:pPr>
      <w:r>
        <w:rPr>
          <w:rFonts w:ascii="Arial" w:cs="Arial" w:eastAsia="Arial" w:hAnsi="Arial"/>
          <w:sz w:val="15"/>
          <w:szCs w:val="15"/>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Axsome Therapeutics, Inc.</w:t>
      </w:r>
    </w:p>
    <w:p>
      <w:pPr>
        <w:spacing w:after="0" w:line="22" w:lineRule="exact"/>
        <w:rPr>
          <w:sz w:val="20"/>
          <w:szCs w:val="20"/>
          <w:color w:val="auto"/>
        </w:rPr>
      </w:pPr>
    </w:p>
    <w:p>
      <w:pPr>
        <w:ind w:left="4400" w:right="4240" w:hanging="181"/>
        <w:spacing w:after="0" w:line="301" w:lineRule="auto"/>
        <w:tabs>
          <w:tab w:leader="none" w:pos="4513" w:val="left"/>
        </w:tabs>
        <w:numPr>
          <w:ilvl w:val="0"/>
          <w:numId w:val="1"/>
        </w:numPr>
        <w:rPr>
          <w:rFonts w:ascii="Arial" w:cs="Arial" w:eastAsia="Arial" w:hAnsi="Arial"/>
          <w:sz w:val="14"/>
          <w:szCs w:val="14"/>
          <w:color w:val="auto"/>
        </w:rPr>
      </w:pPr>
      <w:r>
        <w:rPr>
          <w:rFonts w:ascii="Arial" w:cs="Arial" w:eastAsia="Arial" w:hAnsi="Arial"/>
          <w:sz w:val="14"/>
          <w:szCs w:val="14"/>
          <w:color w:val="auto"/>
        </w:rPr>
        <w:t>Broadway 3rd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New York, New York 10038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(212) 332-3241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25" w:right="12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1657350</wp:posOffset>
            </wp:positionH>
            <wp:positionV relativeFrom="paragraph">
              <wp:posOffset>292100</wp:posOffset>
            </wp:positionV>
            <wp:extent cx="2444115" cy="754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24441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$150,000,000</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7"/>
          <w:szCs w:val="27"/>
          <w:b w:val="1"/>
          <w:bCs w:val="1"/>
          <w:color w:val="auto"/>
        </w:rPr>
        <w:t>AXSOME THERAPEUTICS, INC.</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Preferred Stock</w:t>
      </w:r>
    </w:p>
    <w:p>
      <w:pPr>
        <w:jc w:val="center"/>
        <w:ind w:right="-39"/>
        <w:spacing w:after="0" w:line="230" w:lineRule="auto"/>
        <w:rPr>
          <w:sz w:val="20"/>
          <w:szCs w:val="20"/>
          <w:color w:val="auto"/>
        </w:rPr>
      </w:pPr>
      <w:r>
        <w:rPr>
          <w:rFonts w:ascii="Arial" w:cs="Arial" w:eastAsia="Arial" w:hAnsi="Arial"/>
          <w:sz w:val="22"/>
          <w:szCs w:val="22"/>
          <w:b w:val="1"/>
          <w:bCs w:val="1"/>
          <w:color w:val="auto"/>
        </w:rPr>
        <w:t>Warrants</w:t>
      </w:r>
    </w:p>
    <w:p>
      <w:pPr>
        <w:jc w:val="center"/>
        <w:ind w:right="-39"/>
        <w:spacing w:after="0" w:line="231" w:lineRule="auto"/>
        <w:rPr>
          <w:sz w:val="20"/>
          <w:szCs w:val="20"/>
          <w:color w:val="auto"/>
        </w:rPr>
      </w:pPr>
      <w:r>
        <w:rPr>
          <w:rFonts w:ascii="Arial" w:cs="Arial" w:eastAsia="Arial" w:hAnsi="Arial"/>
          <w:sz w:val="22"/>
          <w:szCs w:val="22"/>
          <w:b w:val="1"/>
          <w:bCs w:val="1"/>
          <w:color w:val="auto"/>
        </w:rPr>
        <w:t>Debt Securities</w:t>
      </w:r>
    </w:p>
    <w:p>
      <w:pPr>
        <w:jc w:val="center"/>
        <w:ind w:right="-39"/>
        <w:spacing w:after="0" w:line="230" w:lineRule="auto"/>
        <w:rPr>
          <w:sz w:val="20"/>
          <w:szCs w:val="20"/>
          <w:color w:val="auto"/>
        </w:rPr>
      </w:pPr>
      <w:r>
        <w:rPr>
          <w:rFonts w:ascii="Arial" w:cs="Arial" w:eastAsia="Arial" w:hAnsi="Arial"/>
          <w:sz w:val="22"/>
          <w:szCs w:val="22"/>
          <w:b w:val="1"/>
          <w:bCs w:val="1"/>
          <w:color w:val="auto"/>
        </w:rPr>
        <w:t>Rights to Purchase Common Stock, Preferred Stock,</w:t>
      </w:r>
    </w:p>
    <w:p>
      <w:pPr>
        <w:jc w:val="center"/>
        <w:ind w:right="-39"/>
        <w:spacing w:after="0" w:line="231" w:lineRule="auto"/>
        <w:rPr>
          <w:sz w:val="20"/>
          <w:szCs w:val="20"/>
          <w:color w:val="auto"/>
        </w:rPr>
      </w:pPr>
      <w:r>
        <w:rPr>
          <w:rFonts w:ascii="Arial" w:cs="Arial" w:eastAsia="Arial" w:hAnsi="Arial"/>
          <w:sz w:val="22"/>
          <w:szCs w:val="22"/>
          <w:b w:val="1"/>
          <w:bCs w:val="1"/>
          <w:color w:val="auto"/>
        </w:rPr>
        <w:t>Debt Securities or Units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133350</wp:posOffset>
            </wp:positionV>
            <wp:extent cx="14319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6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may offer and sell from time to time our shares of common stock, shares of preferred stock, warrants, debt securities and rights to purchase common stock, preferred stock, debt securities or units, as well as units that include any of these securities. We may sell any combination of these securities in one or more offerings with an aggregate initial offering price of up to $150,000,000.</w:t>
      </w:r>
    </w:p>
    <w:p>
      <w:pPr>
        <w:spacing w:after="0" w:line="7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5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“AXSM.” On November 30, 2016, the closing price of our common stock was $6.55.</w:t>
      </w:r>
    </w:p>
    <w:p>
      <w:pPr>
        <w:spacing w:after="0" w:line="58"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3 of this prospectus.</w:t>
      </w:r>
    </w:p>
    <w:p>
      <w:pPr>
        <w:spacing w:after="0" w:line="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7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December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546735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3"/>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7660" w:type="dxa"/>
            <w:vAlign w:val="bottom"/>
            <w:gridSpan w:val="15"/>
          </w:tcPr>
          <w:p>
            <w:pPr>
              <w:spacing w:after="0"/>
              <w:rPr>
                <w:sz w:val="17"/>
                <w:szCs w:val="17"/>
                <w:color w:val="auto"/>
              </w:rPr>
            </w:pPr>
          </w:p>
        </w:tc>
        <w:tc>
          <w:tcPr>
            <w:tcW w:w="1120" w:type="dxa"/>
            <w:vAlign w:val="bottom"/>
          </w:tcPr>
          <w:p>
            <w:pPr>
              <w:spacing w:after="0"/>
              <w:rPr>
                <w:sz w:val="17"/>
                <w:szCs w:val="17"/>
                <w:color w:val="auto"/>
              </w:rPr>
            </w:pPr>
          </w:p>
        </w:tc>
      </w:tr>
      <w:tr>
        <w:trPr>
          <w:trHeight w:val="561"/>
        </w:trPr>
        <w:tc>
          <w:tcPr>
            <w:tcW w:w="894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ABOUT THIS PROSPECTUS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254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AXSOME THERAPEUTICS, INC</w:t>
              </w:r>
            </w:hyperlink>
          </w:p>
        </w:tc>
        <w:tc>
          <w:tcPr>
            <w:tcW w:w="640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94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FORWARD-LOOKING STATEMENTS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2920" w:type="dxa"/>
            <w:vAlign w:val="bottom"/>
            <w:tcBorders>
              <w:top w:val="single" w:sz="8" w:color="0000EE"/>
            </w:tcBorders>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602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800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RATIO OF EARNINGS TO FIXED CHARGES AND PREFERRED STOCK DIVIDEND REQUIREMENTS</w:t>
              </w:r>
            </w:hyperlink>
          </w:p>
        </w:tc>
        <w:tc>
          <w:tcPr>
            <w:tcW w:w="9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15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USE OF PROCEEDS</w:t>
              </w:r>
            </w:hyperlink>
          </w:p>
        </w:tc>
        <w:tc>
          <w:tcPr>
            <w:tcW w:w="736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894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DESCRIPTION OF CAPITAL STOCK</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24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DESCRIPTION OF WARRANTS</w:t>
              </w:r>
            </w:hyperlink>
          </w:p>
        </w:tc>
        <w:tc>
          <w:tcPr>
            <w:tcW w:w="380" w:type="dxa"/>
            <w:vAlign w:val="bottom"/>
            <w:tcBorders>
              <w:top w:val="single" w:sz="8" w:color="0000EE"/>
            </w:tcBorders>
            <w:gridSpan w:val="2"/>
          </w:tcPr>
          <w:p>
            <w:pPr>
              <w:spacing w:after="0"/>
              <w:rPr>
                <w:sz w:val="24"/>
                <w:szCs w:val="24"/>
                <w:color w:val="auto"/>
              </w:rPr>
            </w:pPr>
          </w:p>
        </w:tc>
        <w:tc>
          <w:tcPr>
            <w:tcW w:w="6080" w:type="dxa"/>
            <w:vAlign w:val="bottom"/>
            <w:gridSpan w:val="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894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DESCRIPTION OF DEBT SECURITIES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21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DESCRIPTION OF RIGHTS</w:t>
              </w:r>
            </w:hyperlink>
          </w:p>
        </w:tc>
        <w:tc>
          <w:tcPr>
            <w:tcW w:w="880" w:type="dxa"/>
            <w:vAlign w:val="bottom"/>
            <w:tcBorders>
              <w:top w:val="single" w:sz="8" w:color="0000EE"/>
            </w:tcBorders>
            <w:gridSpan w:val="6"/>
          </w:tcPr>
          <w:p>
            <w:pPr>
              <w:spacing w:after="0"/>
              <w:rPr>
                <w:sz w:val="24"/>
                <w:szCs w:val="24"/>
                <w:color w:val="auto"/>
              </w:rPr>
            </w:pPr>
          </w:p>
        </w:tc>
        <w:tc>
          <w:tcPr>
            <w:tcW w:w="592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2"/>
        </w:trPr>
        <w:tc>
          <w:tcPr>
            <w:tcW w:w="202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DESCRIPTION OF UNITS</w:t>
              </w:r>
            </w:hyperlink>
          </w:p>
        </w:tc>
        <w:tc>
          <w:tcPr>
            <w:tcW w:w="6920" w:type="dxa"/>
            <w:vAlign w:val="bottom"/>
            <w:gridSpan w:val="1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894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PLAN OF DISTRIBUTION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14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3"/>
          </w:tcPr>
          <w:p>
            <w:pPr>
              <w:spacing w:after="0"/>
              <w:rPr>
                <w:sz w:val="24"/>
                <w:szCs w:val="24"/>
                <w:color w:val="auto"/>
              </w:rPr>
            </w:pPr>
          </w:p>
        </w:tc>
        <w:tc>
          <w:tcPr>
            <w:tcW w:w="6900" w:type="dxa"/>
            <w:vAlign w:val="bottom"/>
            <w:gridSpan w:val="11"/>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894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EXPERTS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306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382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WHERE YOU CAN FIND MORE INFORMATION</w:t>
              </w:r>
            </w:hyperlink>
          </w:p>
        </w:tc>
        <w:tc>
          <w:tcPr>
            <w:tcW w:w="512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894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INFORMATION INCORPORATED BY REFERENCE</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669"/>
        </w:trPr>
        <w:tc>
          <w:tcPr>
            <w:tcW w:w="4020" w:type="dxa"/>
            <w:vAlign w:val="bottom"/>
            <w:tcBorders>
              <w:top w:val="single" w:sz="8" w:color="0000EE"/>
            </w:tcBorders>
            <w:gridSpan w:val="16"/>
          </w:tcPr>
          <w:p>
            <w:pPr>
              <w:spacing w:after="0"/>
              <w:rPr>
                <w:sz w:val="24"/>
                <w:szCs w:val="24"/>
                <w:color w:val="auto"/>
              </w:rPr>
            </w:pPr>
          </w:p>
        </w:tc>
        <w:tc>
          <w:tcPr>
            <w:tcW w:w="3980" w:type="dxa"/>
            <w:vAlign w:val="bottom"/>
          </w:tcPr>
          <w:p>
            <w:pPr>
              <w:jc w:val="right"/>
              <w:ind w:right="283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9"/>
        </w:trPr>
        <w:tc>
          <w:tcPr>
            <w:tcW w:w="7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08" w:right="9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registration process, we may offer and sell from time to time any combination of the securities described in this prospectus in one or more offerings in amounts, at prices and on terms that we determine at the time of the offering, with an aggregate initial offering price of up to $150,000,000. This prospectus provides you with a general description of the securities we may offer. Each time we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13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or at the SEC public reference room, as discussed below under the heading “Where You Can Find More Information.”</w:t>
      </w:r>
    </w:p>
    <w:p>
      <w:pPr>
        <w:spacing w:after="0" w:line="14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1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terms “Axsome,” the “Company,” “our,” “us” and “we,” as used in this prospectus, refer to Axsome Therapeutics, Inc., unless we state otherwise or the context indicates otherwise.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75"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We are a clinical 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product candidate portfolio includes two late stage candidates,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which we are developing for multiple indications. We have initiated a Phase 3 trial with AXS</w:t>
      </w:r>
      <w:r>
        <w:rPr>
          <w:rFonts w:ascii="MS PGothic" w:cs="MS PGothic" w:eastAsia="MS PGothic" w:hAnsi="MS PGothic"/>
          <w:sz w:val="17"/>
          <w:szCs w:val="17"/>
          <w:color w:val="auto"/>
        </w:rPr>
        <w:t>‑</w:t>
      </w:r>
      <w:r>
        <w:rPr>
          <w:rFonts w:ascii="Arial" w:cs="Arial" w:eastAsia="Arial" w:hAnsi="Arial"/>
          <w:sz w:val="17"/>
          <w:szCs w:val="17"/>
          <w:color w:val="auto"/>
        </w:rPr>
        <w:t>02 in complex regional pain syndrome, or CRPS, which we refer to as the CREATE</w:t>
      </w:r>
      <w:r>
        <w:rPr>
          <w:rFonts w:ascii="MS PGothic" w:cs="MS PGothic" w:eastAsia="MS PGothic" w:hAnsi="MS PGothic"/>
          <w:sz w:val="17"/>
          <w:szCs w:val="17"/>
          <w:color w:val="auto"/>
        </w:rPr>
        <w:t>‑</w:t>
      </w:r>
      <w:r>
        <w:rPr>
          <w:rFonts w:ascii="Arial" w:cs="Arial" w:eastAsia="Arial" w:hAnsi="Arial"/>
          <w:sz w:val="17"/>
          <w:szCs w:val="17"/>
          <w:color w:val="auto"/>
        </w:rPr>
        <w:t>1 study, and a Phase 3 trial with AXS</w:t>
      </w:r>
      <w:r>
        <w:rPr>
          <w:rFonts w:ascii="MS PGothic" w:cs="MS PGothic" w:eastAsia="MS PGothic" w:hAnsi="MS PGothic"/>
          <w:sz w:val="17"/>
          <w:szCs w:val="17"/>
          <w:color w:val="auto"/>
        </w:rPr>
        <w:t>‑</w:t>
      </w:r>
      <w:r>
        <w:rPr>
          <w:rFonts w:ascii="Arial" w:cs="Arial" w:eastAsia="Arial" w:hAnsi="Arial"/>
          <w:sz w:val="17"/>
          <w:szCs w:val="17"/>
          <w:color w:val="auto"/>
        </w:rPr>
        <w:t>02 in knee osteoarthritis, or OA, associated with bone marrow lesions, or BMLs, pursuant to a Special Protocol Assessment, or SPA, which we refer to as the COAST</w:t>
      </w:r>
      <w:r>
        <w:rPr>
          <w:rFonts w:ascii="MS PGothic" w:cs="MS PGothic" w:eastAsia="MS PGothic" w:hAnsi="MS PGothic"/>
          <w:sz w:val="17"/>
          <w:szCs w:val="17"/>
          <w:color w:val="auto"/>
        </w:rPr>
        <w:t>‑</w:t>
      </w:r>
      <w:r>
        <w:rPr>
          <w:rFonts w:ascii="Arial" w:cs="Arial" w:eastAsia="Arial" w:hAnsi="Arial"/>
          <w:sz w:val="17"/>
          <w:szCs w:val="17"/>
          <w:color w:val="auto"/>
        </w:rPr>
        <w:t>1 study. We have also initiated a Phase 3 trial with AXS</w:t>
      </w:r>
      <w:r>
        <w:rPr>
          <w:rFonts w:ascii="MS PGothic" w:cs="MS PGothic" w:eastAsia="MS PGothic" w:hAnsi="MS PGothic"/>
          <w:sz w:val="17"/>
          <w:szCs w:val="17"/>
          <w:color w:val="auto"/>
        </w:rPr>
        <w:t>‑</w:t>
      </w:r>
      <w:r>
        <w:rPr>
          <w:rFonts w:ascii="Arial" w:cs="Arial" w:eastAsia="Arial" w:hAnsi="Arial"/>
          <w:sz w:val="17"/>
          <w:szCs w:val="17"/>
          <w:color w:val="auto"/>
        </w:rPr>
        <w:t>05 in treatment resistant depression, or TRD, which we refer to as the STRIDE</w:t>
      </w:r>
      <w:r>
        <w:rPr>
          <w:rFonts w:ascii="MS PGothic" w:cs="MS PGothic" w:eastAsia="MS PGothic" w:hAnsi="MS PGothic"/>
          <w:sz w:val="17"/>
          <w:szCs w:val="17"/>
          <w:color w:val="auto"/>
        </w:rPr>
        <w:t>‑</w:t>
      </w:r>
      <w:r>
        <w:rPr>
          <w:rFonts w:ascii="Arial" w:cs="Arial" w:eastAsia="Arial" w:hAnsi="Arial"/>
          <w:sz w:val="17"/>
          <w:szCs w:val="17"/>
          <w:color w:val="auto"/>
        </w:rPr>
        <w:t>1 study, and plan to initiate a Phase 2/3 trial in agitation in patients with Alzheimer’s disease, or AD. We aim to become a fully integrated biopharmaceutical company that develops and commercializes differentiated therapies that expand the treatment options available to caregivers and improve the lives of patients living with CNS disorders.</w:t>
      </w:r>
    </w:p>
    <w:p>
      <w:pPr>
        <w:spacing w:after="0" w:line="364"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Our first product candidate, AXS</w:t>
      </w:r>
      <w:r>
        <w:rPr>
          <w:rFonts w:ascii="MS PGothic" w:cs="MS PGothic" w:eastAsia="MS PGothic" w:hAnsi="MS PGothic"/>
          <w:sz w:val="16"/>
          <w:szCs w:val="16"/>
          <w:color w:val="auto"/>
        </w:rPr>
        <w:t>‑</w:t>
      </w:r>
      <w:r>
        <w:rPr>
          <w:rFonts w:ascii="Arial" w:cs="Arial" w:eastAsia="Arial" w:hAnsi="Arial"/>
          <w:sz w:val="16"/>
          <w:szCs w:val="16"/>
          <w:color w:val="auto"/>
        </w:rPr>
        <w:t>02 (disodium zoledronate tetrahydrate), is a potentially first-in-class, oral, targeted, non-opioid therapeutic for chronic pain. AXS</w:t>
      </w:r>
      <w:r>
        <w:rPr>
          <w:rFonts w:ascii="MS PGothic" w:cs="MS PGothic" w:eastAsia="MS PGothic" w:hAnsi="MS PGothic"/>
          <w:sz w:val="16"/>
          <w:szCs w:val="16"/>
          <w:color w:val="auto"/>
        </w:rPr>
        <w:t>‑</w:t>
      </w:r>
      <w:r>
        <w:rPr>
          <w:rFonts w:ascii="Arial" w:cs="Arial" w:eastAsia="Arial" w:hAnsi="Arial"/>
          <w:sz w:val="16"/>
          <w:szCs w:val="16"/>
          <w:color w:val="auto"/>
        </w:rPr>
        <w:t>02 is a potent inhibitor of osteoclasts, which are bone remodeling cells that break down bone tissue. We are initially developing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in the following three conditions: CRPS; knee OA associated with BMLs; and chronic low back pain, or CLBP, associated with type 1 or mixed type 1 and type 2 Modic changes, or MCs. These conditions exhibit target lesions or specific pathology that we believe may be addressed by the mechanisms of action of AXS</w:t>
      </w:r>
      <w:r>
        <w:rPr>
          <w:rFonts w:ascii="MS PGothic" w:cs="MS PGothic" w:eastAsia="MS PGothic" w:hAnsi="MS PGothic"/>
          <w:sz w:val="16"/>
          <w:szCs w:val="16"/>
          <w:color w:val="auto"/>
        </w:rPr>
        <w:t>‑</w:t>
      </w:r>
      <w:r>
        <w:rPr>
          <w:rFonts w:ascii="Arial" w:cs="Arial" w:eastAsia="Arial" w:hAnsi="Arial"/>
          <w:sz w:val="16"/>
          <w:szCs w:val="16"/>
          <w:color w:val="auto"/>
        </w:rPr>
        <w:t>02, such as inhibition of osteoclast activity. These mechanisms may result in a reduction of pain in these conditions. We have successfully completed a Phase 1 trial of AXS</w:t>
      </w:r>
      <w:r>
        <w:rPr>
          <w:rFonts w:ascii="MS PGothic" w:cs="MS PGothic" w:eastAsia="MS PGothic" w:hAnsi="MS PGothic"/>
          <w:sz w:val="16"/>
          <w:szCs w:val="16"/>
          <w:color w:val="auto"/>
        </w:rPr>
        <w:t>‑</w:t>
      </w:r>
      <w:r>
        <w:rPr>
          <w:rFonts w:ascii="Arial" w:cs="Arial" w:eastAsia="Arial" w:hAnsi="Arial"/>
          <w:sz w:val="16"/>
          <w:szCs w:val="16"/>
          <w:color w:val="auto"/>
        </w:rPr>
        <w:t>02 to characterize the pharmacokinetics of zoledronic acid and its effects on markers of bone resorption after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The results of our Phase 1 trial demonstrated that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tablets resulted in rapid absorption of zoledronic acid, which is the active molecule in AXS</w:t>
      </w:r>
      <w:r>
        <w:rPr>
          <w:rFonts w:ascii="MS PGothic" w:cs="MS PGothic" w:eastAsia="MS PGothic" w:hAnsi="MS PGothic"/>
          <w:sz w:val="16"/>
          <w:szCs w:val="16"/>
          <w:color w:val="auto"/>
        </w:rPr>
        <w:t>‑</w:t>
      </w:r>
      <w:r>
        <w:rPr>
          <w:rFonts w:ascii="Arial" w:cs="Arial" w:eastAsia="Arial" w:hAnsi="Arial"/>
          <w:sz w:val="16"/>
          <w:szCs w:val="16"/>
          <w:color w:val="auto"/>
        </w:rPr>
        <w:t>02 and the free acid form of disodium zoledronate tetrahydrate, and substantial suppression of bone resorption markers, which are proteins indicative of bone tissue breakdown. We intend to seek U.S. Food and Drug Administration, or FDA, approval for AXS</w:t>
      </w:r>
      <w:r>
        <w:rPr>
          <w:rFonts w:ascii="MS PGothic" w:cs="MS PGothic" w:eastAsia="MS PGothic" w:hAnsi="MS PGothic"/>
          <w:sz w:val="16"/>
          <w:szCs w:val="16"/>
          <w:color w:val="auto"/>
        </w:rPr>
        <w:t>‑</w:t>
      </w:r>
      <w:r>
        <w:rPr>
          <w:rFonts w:ascii="Arial" w:cs="Arial" w:eastAsia="Arial" w:hAnsi="Arial"/>
          <w:sz w:val="16"/>
          <w:szCs w:val="16"/>
          <w:color w:val="auto"/>
        </w:rPr>
        <w:t>02 utilizing the 505(b)(2) regulatory development pathway. AXS</w:t>
      </w:r>
      <w:r>
        <w:rPr>
          <w:rFonts w:ascii="MS PGothic" w:cs="MS PGothic" w:eastAsia="MS PGothic" w:hAnsi="MS PGothic"/>
          <w:sz w:val="16"/>
          <w:szCs w:val="16"/>
          <w:color w:val="auto"/>
        </w:rPr>
        <w:t>‑</w:t>
      </w:r>
      <w:r>
        <w:rPr>
          <w:rFonts w:ascii="Arial" w:cs="Arial" w:eastAsia="Arial" w:hAnsi="Arial"/>
          <w:sz w:val="16"/>
          <w:szCs w:val="16"/>
          <w:color w:val="auto"/>
        </w:rPr>
        <w:t>02 has been granted Orphan Drug Designation by the FDA and Orphan Medicinal Product Designation by the EMA for the treatment of CRPS.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9" w:name="page20"/>
    <w:bookmarkEnd w:id="19"/>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left="1" w:firstLine="648"/>
        <w:spacing w:after="0" w:line="218" w:lineRule="exact"/>
        <w:rPr>
          <w:sz w:val="20"/>
          <w:szCs w:val="20"/>
          <w:color w:val="auto"/>
        </w:rPr>
      </w:pPr>
      <w:r>
        <w:rPr>
          <w:rFonts w:ascii="Arial" w:cs="Arial" w:eastAsia="Arial" w:hAnsi="Arial"/>
          <w:sz w:val="18"/>
          <w:szCs w:val="18"/>
          <w:color w:val="auto"/>
        </w:rPr>
        <w:t>Our second product candidate, AXS</w:t>
      </w:r>
      <w:r>
        <w:rPr>
          <w:rFonts w:ascii="MS PGothic" w:cs="MS PGothic" w:eastAsia="MS PGothic" w:hAnsi="MS PGothic"/>
          <w:sz w:val="18"/>
          <w:szCs w:val="18"/>
          <w:color w:val="auto"/>
        </w:rPr>
        <w:t>‑</w:t>
      </w:r>
      <w:r>
        <w:rPr>
          <w:rFonts w:ascii="Arial" w:cs="Arial" w:eastAsia="Arial" w:hAnsi="Arial"/>
          <w:sz w:val="18"/>
          <w:szCs w:val="18"/>
          <w:color w:val="auto"/>
        </w:rPr>
        <w:t>05, is an innovative fixed-dose combination of dextromethorphan, or DM, and bupropion. We are developing AXS</w:t>
      </w:r>
      <w:r>
        <w:rPr>
          <w:rFonts w:ascii="MS PGothic" w:cs="MS PGothic" w:eastAsia="MS PGothic" w:hAnsi="MS PGothic"/>
          <w:sz w:val="18"/>
          <w:szCs w:val="18"/>
          <w:color w:val="auto"/>
        </w:rPr>
        <w:t>‑</w:t>
      </w:r>
      <w:r>
        <w:rPr>
          <w:rFonts w:ascii="Arial" w:cs="Arial" w:eastAsia="Arial" w:hAnsi="Arial"/>
          <w:sz w:val="18"/>
          <w:szCs w:val="18"/>
          <w:color w:val="auto"/>
        </w:rPr>
        <w:t>05 initially for the treatment of the following two conditions: TRD and agitation in patients with AD. DM is active at multiple CNS receptors but is rapidly and extensively metabolized in humans. As a result, it is difficult to attain potential therapeutic plasma levels of DM when it is dosed as a single agent. AXS</w:t>
      </w:r>
      <w:r>
        <w:rPr>
          <w:rFonts w:ascii="MS PGothic" w:cs="MS PGothic" w:eastAsia="MS PGothic" w:hAnsi="MS PGothic"/>
          <w:sz w:val="18"/>
          <w:szCs w:val="18"/>
          <w:color w:val="auto"/>
        </w:rPr>
        <w:t>‑</w:t>
      </w:r>
      <w:r>
        <w:rPr>
          <w:rFonts w:ascii="Arial" w:cs="Arial" w:eastAsia="Arial" w:hAnsi="Arial"/>
          <w:sz w:val="18"/>
          <w:szCs w:val="18"/>
          <w:color w:val="auto"/>
        </w:rPr>
        <w:t>05 uses bupropion as a novel drug delivery method to inhibit DM metabolism and increase its bioavailability. We have demonstrated in three Phase 1 trials that DM plasma levels are substantially increased into a potentially therapeutic range with the co administration of bupropion. Bupropion is itself active at distinct CNS receptors providing the potential for an additive or synergistic effect. We intend to seek FDA approval for AXS</w:t>
      </w:r>
      <w:r>
        <w:rPr>
          <w:rFonts w:ascii="MS PGothic" w:cs="MS PGothic" w:eastAsia="MS PGothic" w:hAnsi="MS PGothic"/>
          <w:sz w:val="18"/>
          <w:szCs w:val="18"/>
          <w:color w:val="auto"/>
        </w:rPr>
        <w:t>‑</w:t>
      </w:r>
      <w:r>
        <w:rPr>
          <w:rFonts w:ascii="Arial" w:cs="Arial" w:eastAsia="Arial" w:hAnsi="Arial"/>
          <w:sz w:val="18"/>
          <w:szCs w:val="18"/>
          <w:color w:val="auto"/>
        </w:rPr>
        <w:t>05 utilizing the 505(b)(2) regulatory development pathway.</w:t>
      </w:r>
    </w:p>
    <w:p>
      <w:pPr>
        <w:spacing w:after="0" w:line="152" w:lineRule="exact"/>
        <w:rPr>
          <w:sz w:val="20"/>
          <w:szCs w:val="20"/>
          <w:color w:val="auto"/>
        </w:rPr>
      </w:pPr>
    </w:p>
    <w:p>
      <w:pPr>
        <w:ind w:left="1" w:right="200" w:firstLine="648"/>
        <w:spacing w:after="0" w:line="223" w:lineRule="exact"/>
        <w:rPr>
          <w:sz w:val="20"/>
          <w:szCs w:val="20"/>
          <w:color w:val="auto"/>
        </w:rPr>
      </w:pPr>
      <w:r>
        <w:rPr>
          <w:rFonts w:ascii="Arial" w:cs="Arial" w:eastAsia="Arial" w:hAnsi="Arial"/>
          <w:sz w:val="18"/>
          <w:szCs w:val="18"/>
          <w:color w:val="auto"/>
        </w:rPr>
        <w:t>We have one active program, AXS</w:t>
      </w:r>
      <w:r>
        <w:rPr>
          <w:rFonts w:ascii="MS PGothic" w:cs="MS PGothic" w:eastAsia="MS PGothic" w:hAnsi="MS PGothic"/>
          <w:sz w:val="18"/>
          <w:szCs w:val="18"/>
          <w:color w:val="auto"/>
        </w:rPr>
        <w:t>‑</w:t>
      </w:r>
      <w:r>
        <w:rPr>
          <w:rFonts w:ascii="Arial" w:cs="Arial" w:eastAsia="Arial" w:hAnsi="Arial"/>
          <w:sz w:val="18"/>
          <w:szCs w:val="18"/>
          <w:color w:val="auto"/>
        </w:rPr>
        <w:t>06, in preclinical development. We are developing AXS</w:t>
      </w:r>
      <w:r>
        <w:rPr>
          <w:rFonts w:ascii="MS PGothic" w:cs="MS PGothic" w:eastAsia="MS PGothic" w:hAnsi="MS PGothic"/>
          <w:sz w:val="18"/>
          <w:szCs w:val="18"/>
          <w:color w:val="auto"/>
        </w:rPr>
        <w:t>‑</w:t>
      </w:r>
      <w:r>
        <w:rPr>
          <w:rFonts w:ascii="Arial" w:cs="Arial" w:eastAsia="Arial" w:hAnsi="Arial"/>
          <w:sz w:val="18"/>
          <w:szCs w:val="18"/>
          <w:color w:val="auto"/>
        </w:rPr>
        <w:t>06 for the treatment of chronic pain disorders.</w:t>
      </w:r>
    </w:p>
    <w:p>
      <w:pPr>
        <w:spacing w:after="0" w:line="149" w:lineRule="exact"/>
        <w:rPr>
          <w:sz w:val="20"/>
          <w:szCs w:val="20"/>
          <w:color w:val="auto"/>
        </w:rPr>
      </w:pPr>
    </w:p>
    <w:p>
      <w:pPr>
        <w:ind w:left="641"/>
        <w:spacing w:after="0"/>
        <w:rPr>
          <w:sz w:val="20"/>
          <w:szCs w:val="20"/>
          <w:color w:val="auto"/>
        </w:rPr>
      </w:pPr>
      <w:r>
        <w:rPr>
          <w:rFonts w:ascii="Arial" w:cs="Arial" w:eastAsia="Arial" w:hAnsi="Arial"/>
          <w:sz w:val="16"/>
          <w:szCs w:val="16"/>
          <w:color w:val="auto"/>
        </w:rPr>
        <w:t>Our principal executive offices are located at 25 Broadway, 9th Floor, New York, New York 10004, and our telephone number is</w:t>
      </w:r>
    </w:p>
    <w:p>
      <w:pPr>
        <w:spacing w:after="0" w:line="46" w:lineRule="exact"/>
        <w:rPr>
          <w:sz w:val="20"/>
          <w:szCs w:val="20"/>
          <w:color w:val="auto"/>
        </w:rPr>
      </w:pPr>
    </w:p>
    <w:p>
      <w:pPr>
        <w:ind w:left="1" w:right="80" w:hanging="1"/>
        <w:spacing w:after="0" w:line="216" w:lineRule="exact"/>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332</w:t>
      </w:r>
      <w:r>
        <w:rPr>
          <w:rFonts w:ascii="MS PGothic" w:cs="MS PGothic" w:eastAsia="MS PGothic" w:hAnsi="MS PGothic"/>
          <w:sz w:val="18"/>
          <w:szCs w:val="18"/>
          <w:color w:val="auto"/>
        </w:rPr>
        <w:t>‑</w:t>
      </w:r>
      <w:r>
        <w:rPr>
          <w:rFonts w:ascii="Arial" w:cs="Arial" w:eastAsia="Arial" w:hAnsi="Arial"/>
          <w:sz w:val="18"/>
          <w:szCs w:val="18"/>
          <w:color w:val="auto"/>
        </w:rPr>
        <w:t>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49" w:lineRule="exact"/>
        <w:rPr>
          <w:sz w:val="20"/>
          <w:szCs w:val="20"/>
          <w:color w:val="auto"/>
        </w:rPr>
      </w:pPr>
    </w:p>
    <w:p>
      <w:pPr>
        <w:ind w:left="1" w:right="100" w:firstLine="648"/>
        <w:spacing w:after="0" w:line="220" w:lineRule="exact"/>
        <w:rPr>
          <w:sz w:val="20"/>
          <w:szCs w:val="20"/>
          <w:color w:val="auto"/>
        </w:rPr>
      </w:pPr>
      <w:r>
        <w:rPr>
          <w:rFonts w:ascii="Arial" w:cs="Arial" w:eastAsia="Arial" w:hAnsi="Arial"/>
          <w:sz w:val="18"/>
          <w:szCs w:val="18"/>
          <w:color w:val="auto"/>
        </w:rPr>
        <w:t>Our filings with the SEC are posted on our website at www.axsome.com. The information found on our website is not part of this or any other report we file with or furnish to the SEC. The public can also obtain copies of these filings by visiting the SEC’s Public Reference Room at 100 F Street NE, Washington DC 20549, or by calling the SEC at 1</w:t>
      </w:r>
      <w:r>
        <w:rPr>
          <w:rFonts w:ascii="MS PGothic" w:cs="MS PGothic" w:eastAsia="MS PGothic" w:hAnsi="MS PGothic"/>
          <w:sz w:val="18"/>
          <w:szCs w:val="18"/>
          <w:color w:val="auto"/>
        </w:rPr>
        <w:t>‑</w:t>
      </w:r>
      <w:r>
        <w:rPr>
          <w:rFonts w:ascii="Arial" w:cs="Arial" w:eastAsia="Arial" w:hAnsi="Arial"/>
          <w:sz w:val="18"/>
          <w:szCs w:val="18"/>
          <w:color w:val="auto"/>
        </w:rPr>
        <w:t>800</w:t>
      </w:r>
      <w:r>
        <w:rPr>
          <w:rFonts w:ascii="MS PGothic" w:cs="MS PGothic" w:eastAsia="MS PGothic" w:hAnsi="MS PGothic"/>
          <w:sz w:val="18"/>
          <w:szCs w:val="18"/>
          <w:color w:val="auto"/>
        </w:rPr>
        <w:t>‑</w:t>
      </w:r>
      <w:r>
        <w:rPr>
          <w:rFonts w:ascii="Arial" w:cs="Arial" w:eastAsia="Arial" w:hAnsi="Arial"/>
          <w:sz w:val="18"/>
          <w:szCs w:val="18"/>
          <w:color w:val="auto"/>
        </w:rPr>
        <w:t>SEC</w:t>
      </w:r>
      <w:r>
        <w:rPr>
          <w:rFonts w:ascii="MS PGothic" w:cs="MS PGothic" w:eastAsia="MS PGothic" w:hAnsi="MS PGothic"/>
          <w:sz w:val="18"/>
          <w:szCs w:val="18"/>
          <w:color w:val="auto"/>
        </w:rPr>
        <w:t>‑</w:t>
      </w:r>
      <w:r>
        <w:rPr>
          <w:rFonts w:ascii="Arial" w:cs="Arial" w:eastAsia="Arial" w:hAnsi="Arial"/>
          <w:sz w:val="18"/>
          <w:szCs w:val="18"/>
          <w:color w:val="auto"/>
        </w:rPr>
        <w:t>0330 or by accessing the SEC’s website at www.sec.gov.</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left="1" w:right="60" w:firstLine="648"/>
        <w:spacing w:after="0" w:line="217" w:lineRule="exact"/>
        <w:rPr>
          <w:sz w:val="20"/>
          <w:szCs w:val="20"/>
          <w:color w:val="auto"/>
        </w:rPr>
      </w:pPr>
      <w:r>
        <w:rPr>
          <w:rFonts w:ascii="Arial" w:cs="Arial" w:eastAsia="Arial" w:hAnsi="Arial"/>
          <w:sz w:val="16"/>
          <w:szCs w:val="16"/>
          <w:color w:val="auto"/>
        </w:rPr>
        <w:t>From time to time, in reports filed with the Securities and Exchange Commission (including this registration statement),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 “plans,”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registration statement should be evaluated together with the many uncertainties that affect our business and our market, particularly those discussed in the “Risk Factors” section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2015, as amended, and our subsequent filings, which are incorporated by reference into this prospectus, to better understand the risks and uncertainties inherent in our business and 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p>
    <w:p>
      <w:pPr>
        <w:spacing w:after="0" w:line="148" w:lineRule="exact"/>
        <w:rPr>
          <w:sz w:val="20"/>
          <w:szCs w:val="20"/>
          <w:color w:val="auto"/>
        </w:rPr>
      </w:pPr>
    </w:p>
    <w:p>
      <w:pPr>
        <w:ind w:left="1" w:right="260" w:firstLine="648"/>
        <w:spacing w:after="0" w:line="276" w:lineRule="auto"/>
        <w:rPr>
          <w:sz w:val="20"/>
          <w:szCs w:val="20"/>
          <w:color w:val="auto"/>
        </w:rPr>
      </w:pPr>
      <w:r>
        <w:rPr>
          <w:rFonts w:ascii="Arial" w:cs="Arial" w:eastAsia="Arial" w:hAnsi="Arial"/>
          <w:sz w:val="17"/>
          <w:szCs w:val="17"/>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left="1" w:right="40" w:firstLine="648"/>
        <w:spacing w:after="0" w:line="217" w:lineRule="exact"/>
        <w:rPr>
          <w:sz w:val="20"/>
          <w:szCs w:val="20"/>
          <w:color w:val="auto"/>
        </w:rPr>
      </w:pPr>
      <w:r>
        <w:rPr>
          <w:rFonts w:ascii="Arial" w:cs="Arial" w:eastAsia="Arial" w:hAnsi="Arial"/>
          <w:sz w:val="17"/>
          <w:szCs w:val="17"/>
          <w:color w:val="auto"/>
        </w:rPr>
        <w:t>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uncertainties and assumptions discussed under the caption “Risk Factors” included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2015, as amended, and in subsequent filings, which are incorporated by reference into this prospectus.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0" w:name="page21"/>
    <w:bookmarkEnd w:id="20"/>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 AND PREFERRED STOCK DIVIDEND REQUIREMENTS</w:t>
      </w:r>
    </w:p>
    <w:p>
      <w:pPr>
        <w:spacing w:after="0" w:line="175" w:lineRule="exact"/>
        <w:rPr>
          <w:sz w:val="20"/>
          <w:szCs w:val="20"/>
          <w:color w:val="auto"/>
        </w:rPr>
      </w:pPr>
    </w:p>
    <w:p>
      <w:pPr>
        <w:ind w:left="1" w:right="400" w:firstLine="648"/>
        <w:spacing w:after="0" w:line="264" w:lineRule="auto"/>
        <w:rPr>
          <w:sz w:val="20"/>
          <w:szCs w:val="20"/>
          <w:color w:val="auto"/>
        </w:rPr>
      </w:pPr>
      <w:r>
        <w:rPr>
          <w:rFonts w:ascii="Arial" w:cs="Arial" w:eastAsia="Arial" w:hAnsi="Arial"/>
          <w:sz w:val="18"/>
          <w:szCs w:val="18"/>
          <w:color w:val="auto"/>
        </w:rPr>
        <w:t>The following table sets forth our ratio of earnings to fixed charges and our ratio of earnings to combined fixed charges and preferred stock dividends for each of the periods indicated. You should read this table in conjunction with the financial statements and notes incorporated by reference in this registration statement.</w:t>
      </w:r>
    </w:p>
    <w:p>
      <w:pPr>
        <w:spacing w:after="0" w:line="106"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Year Ended</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Year Ended</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Year Ended</w:t>
            </w:r>
          </w:p>
        </w:tc>
      </w:tr>
      <w:tr>
        <w:trPr>
          <w:trHeight w:val="149"/>
        </w:trPr>
        <w:tc>
          <w:tcPr>
            <w:tcW w:w="6140" w:type="dxa"/>
            <w:vAlign w:val="bottom"/>
          </w:tcPr>
          <w:p>
            <w:pPr>
              <w:spacing w:after="0"/>
              <w:rPr>
                <w:sz w:val="12"/>
                <w:szCs w:val="12"/>
                <w:color w:val="auto"/>
              </w:rPr>
            </w:pPr>
          </w:p>
        </w:tc>
        <w:tc>
          <w:tcPr>
            <w:tcW w:w="13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September 30,</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w:t>
            </w:r>
          </w:p>
        </w:tc>
      </w:tr>
      <w:tr>
        <w:trPr>
          <w:trHeight w:val="171"/>
        </w:trPr>
        <w:tc>
          <w:tcPr>
            <w:tcW w:w="614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31, 2015</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31, 2014</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31, 2013</w:t>
            </w:r>
          </w:p>
        </w:tc>
        <w:tc>
          <w:tcPr>
            <w:tcW w:w="40" w:type="dxa"/>
            <w:vAlign w:val="bottom"/>
            <w:tcBorders>
              <w:bottom w:val="single" w:sz="8" w:color="CCEEFF"/>
            </w:tcBorders>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Ratios of earnings to fixed charges (1) (2)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02"/>
        </w:trPr>
        <w:tc>
          <w:tcPr>
            <w:tcW w:w="6140" w:type="dxa"/>
            <w:vAlign w:val="bottom"/>
          </w:tcPr>
          <w:p>
            <w:pPr>
              <w:spacing w:after="0" w:line="201" w:lineRule="exact"/>
              <w:rPr>
                <w:sz w:val="20"/>
                <w:szCs w:val="20"/>
                <w:color w:val="auto"/>
              </w:rPr>
            </w:pPr>
            <w:r>
              <w:rPr>
                <w:rFonts w:ascii="Arial" w:cs="Arial" w:eastAsia="Arial" w:hAnsi="Arial"/>
                <w:sz w:val="18"/>
                <w:szCs w:val="18"/>
                <w:color w:val="auto"/>
              </w:rPr>
              <w:t>Ratios of earnings to combined fixed charges and preferred stock dividends</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140" w:type="dxa"/>
            <w:vAlign w:val="bottom"/>
          </w:tcPr>
          <w:p>
            <w:pPr>
              <w:jc w:val="right"/>
              <w:ind w:right="5410"/>
              <w:spacing w:after="0"/>
              <w:rPr>
                <w:sz w:val="20"/>
                <w:szCs w:val="20"/>
                <w:color w:val="auto"/>
              </w:rPr>
            </w:pPr>
            <w:r>
              <w:rPr>
                <w:rFonts w:ascii="Arial" w:cs="Arial" w:eastAsia="Arial" w:hAnsi="Arial"/>
                <w:sz w:val="18"/>
                <w:szCs w:val="18"/>
                <w:color w:val="auto"/>
              </w:rPr>
              <w:t>(1) (2)</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15951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195" w:lineRule="exact"/>
        <w:rPr>
          <w:sz w:val="20"/>
          <w:szCs w:val="20"/>
          <w:color w:val="auto"/>
        </w:rPr>
      </w:pPr>
    </w:p>
    <w:p>
      <w:pPr>
        <w:ind w:left="321" w:right="680" w:hanging="321"/>
        <w:spacing w:after="0" w:line="277"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color w:val="auto"/>
        </w:rPr>
        <w:t>Due to our losses for the nine months ended September 30, 2016 and the years ended December 31, 2015, 2014 and 2013, the coverage ratio was less than 1:1.</w:t>
      </w:r>
    </w:p>
    <w:p>
      <w:pPr>
        <w:spacing w:after="0" w:line="116" w:lineRule="exact"/>
        <w:rPr>
          <w:rFonts w:ascii="Arial" w:cs="Arial" w:eastAsia="Arial" w:hAnsi="Arial"/>
          <w:sz w:val="18"/>
          <w:szCs w:val="18"/>
          <w:color w:val="auto"/>
        </w:rPr>
      </w:pPr>
    </w:p>
    <w:p>
      <w:pPr>
        <w:ind w:left="321" w:right="480" w:hanging="321"/>
        <w:spacing w:after="0" w:line="286" w:lineRule="auto"/>
        <w:tabs>
          <w:tab w:leader="none" w:pos="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would have needed to generate additional earnings of $19.9 million, $12.2 million, $6.0 million and $2.2 million for the nine months ended September 30, 2016 and the years ended December 31, 2015, 2014 and 2013, respectively, to cover our fixed charges and our combined fixed charges and preferred stock dividends in those periods.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left="1" w:right="20" w:firstLine="648"/>
        <w:spacing w:after="0" w:line="279" w:lineRule="auto"/>
        <w:rPr>
          <w:sz w:val="20"/>
          <w:szCs w:val="20"/>
          <w:color w:val="auto"/>
        </w:rPr>
      </w:pPr>
      <w:r>
        <w:rPr>
          <w:rFonts w:ascii="Arial" w:cs="Arial" w:eastAsia="Arial" w:hAnsi="Arial"/>
          <w:sz w:val="17"/>
          <w:szCs w:val="17"/>
          <w:color w:val="auto"/>
        </w:rPr>
        <w:t>Unless otherwise indicated in the applicable prospectus supplement, we will use the net proceeds from the sale of the securities offered hereby for general corporate purposes, which include, but are not limited to funding the ongoing clinical development of our product candidates, general and administrative expenses or other corporate obligations. We may use a portion of the net proceeds to pay off outstanding indebtedness, if any, or acquire or invest in businesses, products and technologies.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75" w:lineRule="exact"/>
        <w:rPr>
          <w:sz w:val="20"/>
          <w:szCs w:val="20"/>
          <w:color w:val="auto"/>
        </w:rPr>
      </w:pPr>
    </w:p>
    <w:p>
      <w:pPr>
        <w:ind w:left="1" w:right="220" w:firstLine="648"/>
        <w:spacing w:after="0" w:line="297" w:lineRule="auto"/>
        <w:rPr>
          <w:sz w:val="20"/>
          <w:szCs w:val="20"/>
          <w:color w:val="auto"/>
        </w:rPr>
      </w:pPr>
      <w:r>
        <w:rPr>
          <w:rFonts w:ascii="Arial" w:cs="Arial" w:eastAsia="Arial" w:hAnsi="Arial"/>
          <w:sz w:val="16"/>
          <w:szCs w:val="16"/>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104"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Common Stock</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left="1" w:right="120" w:firstLine="648"/>
        <w:spacing w:after="0" w:line="276" w:lineRule="auto"/>
        <w:rPr>
          <w:sz w:val="20"/>
          <w:szCs w:val="20"/>
          <w:color w:val="auto"/>
        </w:rPr>
      </w:pPr>
      <w:r>
        <w:rPr>
          <w:rFonts w:ascii="Arial" w:cs="Arial" w:eastAsia="Arial" w:hAnsi="Arial"/>
          <w:sz w:val="17"/>
          <w:szCs w:val="17"/>
          <w:color w:val="auto"/>
        </w:rPr>
        <w:t>Our Amended and Restated Certificate of Incorporation provides the authority to issue 150,000,000 shares of common stock, par value $0.0001 per share. At November 28, 2016, there were 19,153,417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1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Voting Rights</w:t>
      </w:r>
    </w:p>
    <w:p>
      <w:pPr>
        <w:spacing w:after="0" w:line="175" w:lineRule="exact"/>
        <w:rPr>
          <w:sz w:val="20"/>
          <w:szCs w:val="20"/>
          <w:color w:val="auto"/>
        </w:rPr>
      </w:pPr>
    </w:p>
    <w:p>
      <w:pPr>
        <w:ind w:left="1" w:right="460" w:firstLine="648"/>
        <w:spacing w:after="0" w:line="342" w:lineRule="auto"/>
        <w:rPr>
          <w:sz w:val="20"/>
          <w:szCs w:val="20"/>
          <w:color w:val="auto"/>
        </w:rPr>
      </w:pPr>
      <w:r>
        <w:rPr>
          <w:rFonts w:ascii="Arial" w:cs="Arial" w:eastAsia="Arial" w:hAnsi="Arial"/>
          <w:sz w:val="16"/>
          <w:szCs w:val="16"/>
          <w:color w:val="auto"/>
        </w:rPr>
        <w:t>The holders of our common stock are entitled to one vote per share on any matter to be voted upon by our stockholders. Our Amended and Restated Certificate of Incorporation does not permit cumulative voting in connection with the election of directors.</w:t>
      </w:r>
    </w:p>
    <w:p>
      <w:pPr>
        <w:spacing w:after="0" w:line="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left="1" w:right="40" w:firstLine="648"/>
        <w:spacing w:after="0" w:line="264" w:lineRule="auto"/>
        <w:rPr>
          <w:sz w:val="20"/>
          <w:szCs w:val="20"/>
          <w:color w:val="auto"/>
        </w:rPr>
      </w:pPr>
      <w:r>
        <w:rPr>
          <w:rFonts w:ascii="Arial" w:cs="Arial" w:eastAsia="Arial" w:hAnsi="Arial"/>
          <w:sz w:val="18"/>
          <w:szCs w:val="18"/>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Liquidation Rights</w:t>
      </w:r>
    </w:p>
    <w:p>
      <w:pPr>
        <w:spacing w:after="0" w:line="175" w:lineRule="exact"/>
        <w:rPr>
          <w:sz w:val="20"/>
          <w:szCs w:val="20"/>
          <w:color w:val="auto"/>
        </w:rPr>
      </w:pPr>
    </w:p>
    <w:p>
      <w:pPr>
        <w:ind w:left="1" w:right="140" w:firstLine="648"/>
        <w:spacing w:after="0" w:line="264" w:lineRule="auto"/>
        <w:rPr>
          <w:sz w:val="20"/>
          <w:szCs w:val="20"/>
          <w:color w:val="auto"/>
        </w:rPr>
      </w:pPr>
      <w:r>
        <w:rPr>
          <w:rFonts w:ascii="Arial" w:cs="Arial" w:eastAsia="Arial" w:hAnsi="Arial"/>
          <w:sz w:val="18"/>
          <w:szCs w:val="18"/>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7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Capital Market under the symbol “AXSM.”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24"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issuance of any preferred stock could adversely affect the rights of the holders of common stock and, therefore, reduce the value of the common stock. The ability of our board of directors to issue preferred stock could discourage, delay or prevent a takeover or change in control.</w:t>
      </w:r>
    </w:p>
    <w:p>
      <w:pPr>
        <w:spacing w:after="0" w:line="127"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9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terms of any particular series of preferred stock will be described in the prospectus supplement relating to that particular series of preferred stock, including, where applicable:</w:t>
      </w:r>
    </w:p>
    <w:p>
      <w:pPr>
        <w:spacing w:after="0" w:line="116" w:lineRule="exact"/>
        <w:rPr>
          <w:sz w:val="20"/>
          <w:szCs w:val="20"/>
          <w:color w:val="auto"/>
        </w:rPr>
      </w:pPr>
    </w:p>
    <w:p>
      <w:pPr>
        <w:ind w:left="1300" w:hanging="652"/>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series designation, stated value and liquidation preference of such preferred stock and the number of shares offered;</w:t>
      </w:r>
    </w:p>
    <w:p>
      <w:pPr>
        <w:spacing w:after="0" w:line="194" w:lineRule="exact"/>
        <w:rPr>
          <w:rFonts w:ascii="Arial" w:cs="Arial" w:eastAsia="Arial" w:hAnsi="Arial"/>
          <w:sz w:val="16"/>
          <w:szCs w:val="16"/>
          <w:color w:val="auto"/>
        </w:rPr>
      </w:pPr>
    </w:p>
    <w:p>
      <w:pPr>
        <w:ind w:left="1300" w:hanging="65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71" w:lineRule="exact"/>
        <w:rPr>
          <w:rFonts w:ascii="Arial" w:cs="Arial" w:eastAsia="Arial" w:hAnsi="Arial"/>
          <w:sz w:val="18"/>
          <w:szCs w:val="18"/>
          <w:color w:val="auto"/>
        </w:rPr>
      </w:pPr>
    </w:p>
    <w:p>
      <w:pPr>
        <w:ind w:left="1300" w:right="20" w:hanging="652"/>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127" w:lineRule="exact"/>
        <w:rPr>
          <w:rFonts w:ascii="Arial" w:cs="Arial" w:eastAsia="Arial" w:hAnsi="Arial"/>
          <w:sz w:val="18"/>
          <w:szCs w:val="18"/>
          <w:color w:val="auto"/>
        </w:rPr>
      </w:pPr>
    </w:p>
    <w:p>
      <w:pPr>
        <w:ind w:left="1300" w:hanging="65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amount that shares of such series shall be entitled to receive in the event of our liquidation, dissolution or winding-up;</w:t>
      </w:r>
    </w:p>
    <w:p>
      <w:pPr>
        <w:spacing w:after="0" w:line="194" w:lineRule="exact"/>
        <w:rPr>
          <w:rFonts w:ascii="Arial" w:cs="Arial" w:eastAsia="Arial" w:hAnsi="Arial"/>
          <w:sz w:val="16"/>
          <w:szCs w:val="16"/>
          <w:color w:val="auto"/>
        </w:rPr>
      </w:pPr>
    </w:p>
    <w:p>
      <w:pPr>
        <w:ind w:left="1300" w:right="320" w:hanging="65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and conditions, if any, on which shares of such series shall be convertible or exchangeable for shares of our stock of any other class or classes, or other series of the same class;</w:t>
      </w:r>
    </w:p>
    <w:p>
      <w:pPr>
        <w:spacing w:after="0" w:line="116" w:lineRule="exact"/>
        <w:rPr>
          <w:rFonts w:ascii="Arial" w:cs="Arial" w:eastAsia="Arial" w:hAnsi="Arial"/>
          <w:sz w:val="18"/>
          <w:szCs w:val="18"/>
          <w:color w:val="auto"/>
        </w:rPr>
      </w:pPr>
    </w:p>
    <w:p>
      <w:pPr>
        <w:ind w:left="1300" w:right="140" w:hanging="65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voting rights, if any, of shares of such series in addition to those set forth under the caption entitled, “Voting Rights” below;</w:t>
      </w:r>
    </w:p>
    <w:p>
      <w:pPr>
        <w:spacing w:after="0" w:line="116" w:lineRule="exact"/>
        <w:rPr>
          <w:rFonts w:ascii="Arial" w:cs="Arial" w:eastAsia="Arial" w:hAnsi="Arial"/>
          <w:sz w:val="18"/>
          <w:szCs w:val="18"/>
          <w:color w:val="auto"/>
        </w:rPr>
      </w:pPr>
    </w:p>
    <w:p>
      <w:pPr>
        <w:ind w:left="1300" w:right="60" w:hanging="65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status as to reissuance or sale of shares of such series redeemed, purchased or otherwise reacquired, or surrendered to us on conversion or exchange;</w:t>
      </w:r>
    </w:p>
    <w:p>
      <w:pPr>
        <w:spacing w:after="0" w:line="116" w:lineRule="exact"/>
        <w:rPr>
          <w:rFonts w:ascii="Arial" w:cs="Arial" w:eastAsia="Arial" w:hAnsi="Arial"/>
          <w:sz w:val="18"/>
          <w:szCs w:val="18"/>
          <w:color w:val="auto"/>
        </w:rPr>
      </w:pPr>
    </w:p>
    <w:p>
      <w:pPr>
        <w:ind w:left="1300" w:right="420" w:hanging="652"/>
        <w:spacing w:after="0" w:line="34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conditions and restrictions, if any, on the payment of dividends or on the making of other distributions on, or the purchase, redemption or other acquisition by us, of our common stock or of any other class of our stock ranking</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left="1300" w:right="60"/>
        <w:spacing w:after="0" w:line="277" w:lineRule="auto"/>
        <w:rPr>
          <w:sz w:val="20"/>
          <w:szCs w:val="20"/>
          <w:color w:val="auto"/>
        </w:rPr>
      </w:pPr>
      <w:r>
        <w:rPr>
          <w:rFonts w:ascii="Arial" w:cs="Arial" w:eastAsia="Arial" w:hAnsi="Arial"/>
          <w:sz w:val="18"/>
          <w:szCs w:val="18"/>
          <w:color w:val="auto"/>
        </w:rPr>
        <w:t>junior to the shares of such series as to dividends or upon liquidation (including, but not limited to, at such times as there are arrearages in the payment of dividends or sinking fund installments);</w:t>
      </w:r>
    </w:p>
    <w:p>
      <w:pPr>
        <w:spacing w:after="0" w:line="116" w:lineRule="exact"/>
        <w:rPr>
          <w:sz w:val="20"/>
          <w:szCs w:val="20"/>
          <w:color w:val="auto"/>
        </w:rPr>
      </w:pPr>
    </w:p>
    <w:p>
      <w:pPr>
        <w:ind w:left="1300" w:right="200" w:hanging="652"/>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92" w:lineRule="exact"/>
        <w:rPr>
          <w:rFonts w:ascii="Arial" w:cs="Arial" w:eastAsia="Arial" w:hAnsi="Arial"/>
          <w:sz w:val="17"/>
          <w:szCs w:val="17"/>
          <w:color w:val="auto"/>
        </w:rPr>
      </w:pPr>
    </w:p>
    <w:p>
      <w:pPr>
        <w:ind w:left="1300" w:right="380" w:hanging="65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or retirement fund and other rights, preferences, privileges, limitations and restrictions of such preferred stock.</w:t>
      </w:r>
    </w:p>
    <w:p>
      <w:pPr>
        <w:spacing w:after="0" w:line="1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7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General Corporation Law of Delaware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transfer agent and registrar for any series of preferred stock will be set forth in the applicable prospectus supplement.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Delaware Law and Certain Amended and Restated Certificate of Incorporation and Amended and Restated Bylaws Provisions</w:t>
      </w:r>
    </w:p>
    <w:p>
      <w:pPr>
        <w:spacing w:after="0" w:line="19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spacing w:after="0" w:line="127" w:lineRule="exact"/>
        <w:rPr>
          <w:sz w:val="20"/>
          <w:szCs w:val="20"/>
          <w:color w:val="auto"/>
        </w:rPr>
      </w:pPr>
    </w:p>
    <w:p>
      <w:pPr>
        <w:ind w:left="1300" w:right="640" w:hanging="65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for a classified board of directors, with each director serving a staggered three-year term;</w:t>
      </w:r>
    </w:p>
    <w:p>
      <w:pPr>
        <w:spacing w:after="0" w:line="171" w:lineRule="exact"/>
        <w:rPr>
          <w:rFonts w:ascii="Arial" w:cs="Arial" w:eastAsia="Arial" w:hAnsi="Arial"/>
          <w:sz w:val="18"/>
          <w:szCs w:val="18"/>
          <w:color w:val="auto"/>
        </w:rPr>
      </w:pPr>
    </w:p>
    <w:p>
      <w:pPr>
        <w:ind w:left="1300" w:right="200" w:hanging="65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calling special stockholder meetings or taking action by written consent;</w:t>
      </w:r>
    </w:p>
    <w:p>
      <w:pPr>
        <w:spacing w:after="0" w:line="116" w:lineRule="exact"/>
        <w:rPr>
          <w:rFonts w:ascii="Arial" w:cs="Arial" w:eastAsia="Arial" w:hAnsi="Arial"/>
          <w:sz w:val="18"/>
          <w:szCs w:val="18"/>
          <w:color w:val="auto"/>
        </w:rPr>
      </w:pPr>
    </w:p>
    <w:p>
      <w:pPr>
        <w:ind w:left="1300" w:right="240" w:hanging="65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by the affirmative vote of the holders of 66 2/3 % or more of the shares then entitled to vote at an election of our directors;</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 and</w:t>
      </w:r>
    </w:p>
    <w:p>
      <w:pPr>
        <w:spacing w:after="0" w:line="171" w:lineRule="exact"/>
        <w:rPr>
          <w:rFonts w:ascii="Arial" w:cs="Arial" w:eastAsia="Arial" w:hAnsi="Arial"/>
          <w:sz w:val="18"/>
          <w:szCs w:val="18"/>
          <w:color w:val="auto"/>
        </w:rPr>
      </w:pPr>
    </w:p>
    <w:p>
      <w:pPr>
        <w:ind w:left="1300" w:right="220" w:hanging="65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any action instituted against our officers or directors in connection with their service to us to be brought in the state of Delaware.</w:t>
      </w:r>
    </w:p>
    <w:p>
      <w:pPr>
        <w:spacing w:after="0" w:line="11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7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Amended and Restated Certificate of Incorporation contains provisions permitted under the General Corporation Law of Delaware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certificate of incorporation contains provisions to indemnify our directors and officers to the fullest extent permitted by the General Corporation Law of Delaware. These provisions do not limit or eliminate our right 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7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3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17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93" w:lineRule="exact"/>
        <w:rPr>
          <w:sz w:val="20"/>
          <w:szCs w:val="20"/>
          <w:color w:val="auto"/>
        </w:rPr>
      </w:pPr>
    </w:p>
    <w:p>
      <w:pPr>
        <w:ind w:left="1300" w:hanging="65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71" w:lineRule="exact"/>
        <w:rPr>
          <w:rFonts w:ascii="Arial" w:cs="Arial" w:eastAsia="Arial" w:hAnsi="Arial"/>
          <w:sz w:val="18"/>
          <w:szCs w:val="18"/>
          <w:color w:val="auto"/>
        </w:rPr>
      </w:pPr>
    </w:p>
    <w:p>
      <w:pPr>
        <w:ind w:left="1300" w:right="600" w:hanging="65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and terms of the shares of common stock or shares of preferred stock that may be purchased upon exercise of the warrants;</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71" w:lineRule="exact"/>
        <w:rPr>
          <w:rFonts w:ascii="Arial" w:cs="Arial" w:eastAsia="Arial" w:hAnsi="Arial"/>
          <w:sz w:val="18"/>
          <w:szCs w:val="18"/>
          <w:color w:val="auto"/>
        </w:rPr>
      </w:pPr>
    </w:p>
    <w:p>
      <w:pPr>
        <w:ind w:left="1300" w:right="360" w:hanging="65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116" w:lineRule="exact"/>
        <w:rPr>
          <w:rFonts w:ascii="Arial" w:cs="Arial" w:eastAsia="Arial" w:hAnsi="Arial"/>
          <w:sz w:val="18"/>
          <w:szCs w:val="18"/>
          <w:color w:val="auto"/>
        </w:rPr>
      </w:pPr>
    </w:p>
    <w:p>
      <w:pPr>
        <w:ind w:left="1300" w:right="280" w:hanging="65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116" w:lineRule="exact"/>
        <w:rPr>
          <w:rFonts w:ascii="Arial" w:cs="Arial" w:eastAsia="Arial" w:hAnsi="Arial"/>
          <w:sz w:val="18"/>
          <w:szCs w:val="18"/>
          <w:color w:val="auto"/>
        </w:rPr>
      </w:pPr>
    </w:p>
    <w:p>
      <w:pPr>
        <w:ind w:left="1300" w:right="40" w:hanging="65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left="1300" w:hanging="65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71" w:lineRule="exact"/>
        <w:rPr>
          <w:rFonts w:ascii="Arial" w:cs="Arial" w:eastAsia="Arial" w:hAnsi="Arial"/>
          <w:sz w:val="18"/>
          <w:szCs w:val="18"/>
          <w:color w:val="auto"/>
        </w:rPr>
      </w:pPr>
    </w:p>
    <w:p>
      <w:pPr>
        <w:ind w:left="1300" w:right="60" w:hanging="65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17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issue debt securities will describe the terms of those warrants, including the following:</w:t>
      </w:r>
    </w:p>
    <w:p>
      <w:pPr>
        <w:spacing w:after="0" w:line="116" w:lineRule="exact"/>
        <w:rPr>
          <w:sz w:val="20"/>
          <w:szCs w:val="20"/>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71" w:lineRule="exact"/>
        <w:rPr>
          <w:rFonts w:ascii="Arial" w:cs="Arial" w:eastAsia="Arial" w:hAnsi="Arial"/>
          <w:sz w:val="18"/>
          <w:szCs w:val="18"/>
          <w:color w:val="auto"/>
        </w:rPr>
      </w:pPr>
    </w:p>
    <w:p>
      <w:pPr>
        <w:ind w:left="1300" w:hanging="65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116" w:lineRule="exact"/>
        <w:rPr>
          <w:rFonts w:ascii="Arial" w:cs="Arial" w:eastAsia="Arial" w:hAnsi="Arial"/>
          <w:sz w:val="18"/>
          <w:szCs w:val="18"/>
          <w:color w:val="auto"/>
        </w:rPr>
      </w:pPr>
    </w:p>
    <w:p>
      <w:pPr>
        <w:ind w:left="1300" w:right="460" w:hanging="65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debt securities issued with them will be separately transferable;</w:t>
      </w:r>
    </w:p>
    <w:p>
      <w:pPr>
        <w:spacing w:after="0" w:line="116" w:lineRule="exact"/>
        <w:rPr>
          <w:rFonts w:ascii="Arial" w:cs="Arial" w:eastAsia="Arial" w:hAnsi="Arial"/>
          <w:sz w:val="18"/>
          <w:szCs w:val="18"/>
          <w:color w:val="auto"/>
        </w:rPr>
      </w:pPr>
    </w:p>
    <w:p>
      <w:pPr>
        <w:ind w:left="1300" w:right="140" w:hanging="65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71" w:lineRule="exact"/>
        <w:rPr>
          <w:rFonts w:ascii="Arial" w:cs="Arial" w:eastAsia="Arial" w:hAnsi="Arial"/>
          <w:sz w:val="18"/>
          <w:szCs w:val="18"/>
          <w:color w:val="auto"/>
        </w:rPr>
      </w:pPr>
    </w:p>
    <w:p>
      <w:pPr>
        <w:ind w:left="1300" w:right="300" w:hanging="65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71" w:lineRule="exact"/>
        <w:rPr>
          <w:rFonts w:ascii="Arial" w:cs="Arial" w:eastAsia="Arial" w:hAnsi="Arial"/>
          <w:sz w:val="18"/>
          <w:szCs w:val="18"/>
          <w:color w:val="auto"/>
        </w:rPr>
      </w:pPr>
    </w:p>
    <w:p>
      <w:pPr>
        <w:ind w:left="1300" w:right="60" w:hanging="65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7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12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1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prospectus supplement will describe the particular terms of any series of debt securities we may issue, including some or all of the following:</w:t>
      </w:r>
    </w:p>
    <w:p>
      <w:pPr>
        <w:spacing w:after="0" w:line="116" w:lineRule="exact"/>
        <w:rPr>
          <w:sz w:val="20"/>
          <w:szCs w:val="20"/>
          <w:color w:val="auto"/>
        </w:rPr>
      </w:pPr>
    </w:p>
    <w:p>
      <w:pPr>
        <w:ind w:left="1300" w:hanging="65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71" w:lineRule="exact"/>
        <w:rPr>
          <w:rFonts w:ascii="Arial" w:cs="Arial" w:eastAsia="Arial" w:hAnsi="Arial"/>
          <w:sz w:val="18"/>
          <w:szCs w:val="18"/>
          <w:color w:val="auto"/>
        </w:rPr>
      </w:pPr>
    </w:p>
    <w:p>
      <w:pPr>
        <w:ind w:left="1300" w:right="180" w:hanging="652"/>
        <w:spacing w:after="0" w:line="308"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92" w:lineRule="exact"/>
        <w:rPr>
          <w:rFonts w:ascii="Arial" w:cs="Arial" w:eastAsia="Arial" w:hAnsi="Arial"/>
          <w:sz w:val="17"/>
          <w:szCs w:val="17"/>
          <w:color w:val="auto"/>
        </w:rPr>
      </w:pPr>
    </w:p>
    <w:p>
      <w:pPr>
        <w:ind w:left="1300" w:hanging="65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71" w:lineRule="exact"/>
        <w:rPr>
          <w:rFonts w:ascii="Arial" w:cs="Arial" w:eastAsia="Arial" w:hAnsi="Arial"/>
          <w:sz w:val="18"/>
          <w:szCs w:val="18"/>
          <w:color w:val="auto"/>
        </w:rPr>
      </w:pPr>
    </w:p>
    <w:p>
      <w:pPr>
        <w:ind w:left="1300" w:right="80" w:hanging="65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16" w:lineRule="exact"/>
        <w:rPr>
          <w:rFonts w:ascii="Arial" w:cs="Arial" w:eastAsia="Arial" w:hAnsi="Arial"/>
          <w:sz w:val="18"/>
          <w:szCs w:val="18"/>
          <w:color w:val="auto"/>
        </w:rPr>
      </w:pPr>
    </w:p>
    <w:p>
      <w:pPr>
        <w:ind w:left="1300" w:right="300" w:hanging="65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71" w:lineRule="exact"/>
        <w:rPr>
          <w:rFonts w:ascii="Arial" w:cs="Arial" w:eastAsia="Arial" w:hAnsi="Arial"/>
          <w:sz w:val="18"/>
          <w:szCs w:val="18"/>
          <w:color w:val="auto"/>
        </w:rPr>
      </w:pPr>
    </w:p>
    <w:p>
      <w:pPr>
        <w:ind w:left="1300" w:hanging="65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amount of payments of principal, interest or premium, if any, on a series of debt securities will be determined with reference to an index, formula or other method and how these amounts will be determined;</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provisions for legal defeasance or covenant defeasance;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left="1300" w:right="40" w:hanging="652"/>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27" w:lineRule="exact"/>
        <w:rPr>
          <w:rFonts w:ascii="Arial" w:cs="Arial" w:eastAsia="Arial" w:hAnsi="Arial"/>
          <w:sz w:val="18"/>
          <w:szCs w:val="18"/>
          <w:color w:val="auto"/>
        </w:rPr>
      </w:pPr>
    </w:p>
    <w:p>
      <w:pPr>
        <w:ind w:left="1300" w:hanging="65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listing of the debt securities on any securities exchange;</w:t>
      </w:r>
    </w:p>
    <w:p>
      <w:pPr>
        <w:spacing w:after="0" w:line="171" w:lineRule="exact"/>
        <w:rPr>
          <w:rFonts w:ascii="Arial" w:cs="Arial" w:eastAsia="Arial" w:hAnsi="Arial"/>
          <w:sz w:val="18"/>
          <w:szCs w:val="18"/>
          <w:color w:val="auto"/>
        </w:rPr>
      </w:pPr>
    </w:p>
    <w:p>
      <w:pPr>
        <w:ind w:left="1300" w:right="380" w:hanging="65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including those related to original issue discount, if applicable; and</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material terms.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1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112" w:lineRule="exact"/>
        <w:rPr>
          <w:sz w:val="20"/>
          <w:szCs w:val="20"/>
          <w:color w:val="auto"/>
        </w:rPr>
      </w:pPr>
    </w:p>
    <w:p>
      <w:pPr>
        <w:ind w:right="500" w:firstLine="648"/>
        <w:spacing w:after="0" w:line="259" w:lineRule="auto"/>
        <w:rPr>
          <w:sz w:val="20"/>
          <w:szCs w:val="20"/>
          <w:color w:val="auto"/>
        </w:rPr>
      </w:pPr>
      <w:r>
        <w:rPr>
          <w:rFonts w:ascii="Arial" w:cs="Arial" w:eastAsia="Arial" w:hAnsi="Arial"/>
          <w:sz w:val="18"/>
          <w:szCs w:val="18"/>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33"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7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7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7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27" w:lineRule="exact"/>
        <w:rPr>
          <w:sz w:val="20"/>
          <w:szCs w:val="20"/>
          <w:color w:val="auto"/>
        </w:rPr>
      </w:pPr>
    </w:p>
    <w:p>
      <w:pPr>
        <w:ind w:left="1300" w:hanging="65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71" w:lineRule="exact"/>
        <w:rPr>
          <w:rFonts w:ascii="Arial" w:cs="Arial" w:eastAsia="Arial" w:hAnsi="Arial"/>
          <w:sz w:val="18"/>
          <w:szCs w:val="18"/>
          <w:color w:val="auto"/>
        </w:rPr>
      </w:pPr>
    </w:p>
    <w:p>
      <w:pPr>
        <w:ind w:left="1300" w:right="140" w:hanging="65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we do not cure this default within five days;</w:t>
      </w:r>
    </w:p>
    <w:p>
      <w:pPr>
        <w:spacing w:after="0" w:line="116" w:lineRule="exact"/>
        <w:rPr>
          <w:rFonts w:ascii="Arial" w:cs="Arial" w:eastAsia="Arial" w:hAnsi="Arial"/>
          <w:sz w:val="18"/>
          <w:szCs w:val="18"/>
          <w:color w:val="auto"/>
        </w:rPr>
      </w:pPr>
    </w:p>
    <w:p>
      <w:pPr>
        <w:ind w:left="1300" w:right="20" w:hanging="652"/>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127" w:lineRule="exact"/>
        <w:rPr>
          <w:rFonts w:ascii="Arial" w:cs="Arial" w:eastAsia="Arial" w:hAnsi="Arial"/>
          <w:sz w:val="18"/>
          <w:szCs w:val="18"/>
          <w:color w:val="auto"/>
        </w:rPr>
      </w:pPr>
    </w:p>
    <w:p>
      <w:pPr>
        <w:ind w:left="1300" w:hanging="65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other Event of Default occurs in respect of debt securities of the series described in the prospectus supplement.</w:t>
      </w:r>
    </w:p>
    <w:p>
      <w:pPr>
        <w:spacing w:after="0" w:line="18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34"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16" w:lineRule="exact"/>
        <w:rPr>
          <w:sz w:val="20"/>
          <w:szCs w:val="20"/>
          <w:color w:val="auto"/>
        </w:rPr>
      </w:pPr>
    </w:p>
    <w:p>
      <w:pPr>
        <w:ind w:left="1300" w:hanging="65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must give the trustee written notice that an Event of Default has occurred and remains uncured;</w:t>
      </w:r>
    </w:p>
    <w:p>
      <w:pPr>
        <w:spacing w:after="0" w:line="171" w:lineRule="exact"/>
        <w:rPr>
          <w:rFonts w:ascii="Arial" w:cs="Arial" w:eastAsia="Arial" w:hAnsi="Arial"/>
          <w:sz w:val="18"/>
          <w:szCs w:val="18"/>
          <w:color w:val="auto"/>
        </w:rPr>
      </w:pPr>
    </w:p>
    <w:p>
      <w:pPr>
        <w:jc w:val="both"/>
        <w:ind w:left="1300" w:right="480" w:hanging="65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left="1300" w:hanging="652"/>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trustee must not have taken action for 60 days after receipt of the above notice and offer of indemnity; and</w:t>
      </w:r>
    </w:p>
    <w:p>
      <w:pPr>
        <w:spacing w:after="0" w:line="182" w:lineRule="exact"/>
        <w:rPr>
          <w:rFonts w:ascii="Arial" w:cs="Arial" w:eastAsia="Arial" w:hAnsi="Arial"/>
          <w:sz w:val="17"/>
          <w:szCs w:val="17"/>
          <w:color w:val="auto"/>
        </w:rPr>
      </w:pPr>
    </w:p>
    <w:p>
      <w:pPr>
        <w:ind w:left="1300" w:right="840" w:hanging="652"/>
        <w:spacing w:after="0" w:line="223" w:lineRule="exact"/>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w:t>
      </w:r>
      <w:r>
        <w:rPr>
          <w:rFonts w:ascii="MS PGothic" w:cs="MS PGothic" w:eastAsia="MS PGothic" w:hAnsi="MS PGothic"/>
          <w:sz w:val="18"/>
          <w:szCs w:val="18"/>
          <w:color w:val="auto"/>
        </w:rPr>
        <w:t>‑</w:t>
      </w:r>
      <w:r>
        <w:rPr>
          <w:rFonts w:ascii="Arial" w:cs="Arial" w:eastAsia="Arial" w:hAnsi="Arial"/>
          <w:sz w:val="18"/>
          <w:szCs w:val="18"/>
          <w:color w:val="auto"/>
        </w:rPr>
        <w:t>day period.</w:t>
      </w:r>
    </w:p>
    <w:p>
      <w:pPr>
        <w:spacing w:after="0" w:line="14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Default</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7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27" w:lineRule="exact"/>
        <w:rPr>
          <w:sz w:val="20"/>
          <w:szCs w:val="20"/>
          <w:color w:val="auto"/>
        </w:rPr>
      </w:pPr>
    </w:p>
    <w:p>
      <w:pPr>
        <w:ind w:left="1300" w:hanging="652"/>
        <w:spacing w:after="0" w:line="273"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124" w:lineRule="exact"/>
        <w:rPr>
          <w:rFonts w:ascii="Arial" w:cs="Arial" w:eastAsia="Arial" w:hAnsi="Arial"/>
          <w:sz w:val="17"/>
          <w:szCs w:val="17"/>
          <w:color w:val="auto"/>
        </w:rPr>
      </w:pPr>
    </w:p>
    <w:p>
      <w:pPr>
        <w:ind w:left="1300" w:hanging="65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71" w:lineRule="exact"/>
        <w:rPr>
          <w:rFonts w:ascii="Arial" w:cs="Arial" w:eastAsia="Arial" w:hAnsi="Arial"/>
          <w:sz w:val="18"/>
          <w:szCs w:val="18"/>
          <w:color w:val="auto"/>
        </w:rPr>
      </w:pPr>
    </w:p>
    <w:p>
      <w:pPr>
        <w:ind w:left="1300" w:right="400" w:hanging="65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types of changes we may make to an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Approval</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116" w:lineRule="exact"/>
        <w:rPr>
          <w:sz w:val="20"/>
          <w:szCs w:val="20"/>
          <w:color w:val="auto"/>
        </w:rPr>
      </w:pPr>
    </w:p>
    <w:p>
      <w:pPr>
        <w:ind w:left="1300" w:hanging="65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rate of interest on a debt security;</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any premium payable upon a change of control;</w:t>
      </w:r>
    </w:p>
    <w:p>
      <w:pPr>
        <w:spacing w:after="0" w:line="171" w:lineRule="exact"/>
        <w:rPr>
          <w:rFonts w:ascii="Arial" w:cs="Arial" w:eastAsia="Arial" w:hAnsi="Arial"/>
          <w:sz w:val="18"/>
          <w:szCs w:val="18"/>
          <w:color w:val="auto"/>
        </w:rPr>
      </w:pPr>
    </w:p>
    <w:p>
      <w:pPr>
        <w:ind w:left="1300" w:right="740" w:hanging="65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the place or currency of payment on a debt security (except as otherwise described in the prospectus or prospectus supplement);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25" w:right="97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left="1300" w:hanging="65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 the right of holders to sue for payment;</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 the percentage of holders of debt securities whose consent is needed to modify or amend the indenture;</w:t>
      </w:r>
    </w:p>
    <w:p>
      <w:pPr>
        <w:spacing w:after="0" w:line="182" w:lineRule="exact"/>
        <w:rPr>
          <w:rFonts w:ascii="Arial" w:cs="Arial" w:eastAsia="Arial" w:hAnsi="Arial"/>
          <w:sz w:val="17"/>
          <w:szCs w:val="17"/>
          <w:color w:val="auto"/>
        </w:rPr>
      </w:pPr>
    </w:p>
    <w:p>
      <w:pPr>
        <w:ind w:left="1300" w:right="100" w:hanging="652"/>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116" w:lineRule="exact"/>
        <w:rPr>
          <w:rFonts w:ascii="Arial" w:cs="Arial" w:eastAsia="Arial" w:hAnsi="Arial"/>
          <w:sz w:val="18"/>
          <w:szCs w:val="18"/>
          <w:color w:val="auto"/>
        </w:rPr>
      </w:pPr>
    </w:p>
    <w:p>
      <w:pPr>
        <w:ind w:left="1300" w:hanging="652"/>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92" w:lineRule="exact"/>
        <w:rPr>
          <w:rFonts w:ascii="Arial" w:cs="Arial" w:eastAsia="Arial" w:hAnsi="Arial"/>
          <w:sz w:val="17"/>
          <w:szCs w:val="17"/>
          <w:color w:val="auto"/>
        </w:rPr>
      </w:pPr>
    </w:p>
    <w:p>
      <w:pPr>
        <w:ind w:left="1300" w:hanging="65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the indenture and the debt securities may require the following approval:</w:t>
      </w:r>
    </w:p>
    <w:p>
      <w:pPr>
        <w:spacing w:after="0" w:line="171" w:lineRule="exact"/>
        <w:rPr>
          <w:sz w:val="20"/>
          <w:szCs w:val="20"/>
          <w:color w:val="auto"/>
        </w:rPr>
      </w:pPr>
    </w:p>
    <w:p>
      <w:pPr>
        <w:ind w:left="1300" w:right="480" w:hanging="65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116" w:lineRule="exact"/>
        <w:rPr>
          <w:rFonts w:ascii="Arial" w:cs="Arial" w:eastAsia="Arial" w:hAnsi="Arial"/>
          <w:sz w:val="18"/>
          <w:szCs w:val="18"/>
          <w:color w:val="auto"/>
        </w:rPr>
      </w:pPr>
    </w:p>
    <w:p>
      <w:pPr>
        <w:ind w:left="1300" w:right="160" w:hanging="652"/>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When taking a vote on proposed changes to the indenture and the debt securities, we expect to use the following rules to decide how much principal to attribute to a debt security:</w:t>
      </w:r>
    </w:p>
    <w:p>
      <w:pPr>
        <w:spacing w:after="0" w:line="116" w:lineRule="exact"/>
        <w:rPr>
          <w:sz w:val="20"/>
          <w:szCs w:val="20"/>
          <w:color w:val="auto"/>
        </w:rPr>
      </w:pPr>
    </w:p>
    <w:p>
      <w:pPr>
        <w:ind w:left="1300" w:right="140" w:hanging="65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16" w:lineRule="exact"/>
        <w:rPr>
          <w:rFonts w:ascii="Arial" w:cs="Arial" w:eastAsia="Arial" w:hAnsi="Arial"/>
          <w:sz w:val="18"/>
          <w:szCs w:val="18"/>
          <w:color w:val="auto"/>
        </w:rPr>
      </w:pPr>
    </w:p>
    <w:p>
      <w:pPr>
        <w:ind w:left="1300" w:right="360" w:hanging="65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Securities—Defeasance—Legal Defeasance.”</w:t>
      </w:r>
    </w:p>
    <w:p>
      <w:pPr>
        <w:spacing w:after="0" w:line="12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75" w:lineRule="exact"/>
        <w:rPr>
          <w:sz w:val="20"/>
          <w:szCs w:val="20"/>
          <w:color w:val="auto"/>
        </w:rPr>
      </w:pPr>
    </w:p>
    <w:p>
      <w:pPr>
        <w:ind w:right="800" w:firstLine="648"/>
        <w:spacing w:after="0" w:line="342" w:lineRule="auto"/>
        <w:rPr>
          <w:sz w:val="20"/>
          <w:szCs w:val="20"/>
          <w:color w:val="auto"/>
        </w:rPr>
      </w:pPr>
      <w:r>
        <w:rPr>
          <w:rFonts w:ascii="Arial" w:cs="Arial" w:eastAsia="Arial" w:hAnsi="Arial"/>
          <w:sz w:val="16"/>
          <w:szCs w:val="16"/>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7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104" w:lineRule="exact"/>
        <w:rPr>
          <w:sz w:val="20"/>
          <w:szCs w:val="20"/>
          <w:color w:val="auto"/>
        </w:rPr>
      </w:pPr>
    </w:p>
    <w:p>
      <w:pPr>
        <w:ind w:left="1300" w:right="40" w:hanging="652"/>
        <w:spacing w:after="0" w:line="25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32" w:lineRule="exact"/>
        <w:rPr>
          <w:rFonts w:ascii="Arial" w:cs="Arial" w:eastAsia="Arial" w:hAnsi="Arial"/>
          <w:sz w:val="18"/>
          <w:szCs w:val="18"/>
          <w:color w:val="auto"/>
        </w:rPr>
      </w:pPr>
    </w:p>
    <w:p>
      <w:pPr>
        <w:ind w:left="1300" w:right="260" w:hanging="652"/>
        <w:spacing w:after="0" w:line="31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92" w:lineRule="exact"/>
        <w:rPr>
          <w:rFonts w:ascii="Arial" w:cs="Arial" w:eastAsia="Arial" w:hAnsi="Arial"/>
          <w:sz w:val="16"/>
          <w:szCs w:val="16"/>
          <w:color w:val="auto"/>
        </w:rPr>
      </w:pPr>
    </w:p>
    <w:p>
      <w:pPr>
        <w:ind w:left="1300" w:right="260" w:hanging="65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deliver to the trustee certain documentation stating that all conditions precedent to covenant defeasance have been complied with.</w:t>
      </w:r>
    </w:p>
    <w:p>
      <w:pPr>
        <w:spacing w:after="0" w:line="116"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Defeasance</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33" w:lineRule="exact"/>
        <w:rPr>
          <w:sz w:val="20"/>
          <w:szCs w:val="20"/>
          <w:color w:val="auto"/>
        </w:rPr>
      </w:pPr>
    </w:p>
    <w:p>
      <w:pPr>
        <w:ind w:left="1300" w:right="40" w:hanging="652"/>
        <w:spacing w:after="0" w:line="259"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32" w:lineRule="exact"/>
        <w:rPr>
          <w:rFonts w:ascii="Arial" w:cs="Arial" w:eastAsia="Arial" w:hAnsi="Arial"/>
          <w:sz w:val="18"/>
          <w:szCs w:val="18"/>
          <w:color w:val="auto"/>
        </w:rPr>
      </w:pPr>
    </w:p>
    <w:p>
      <w:pPr>
        <w:ind w:left="1300" w:hanging="652"/>
        <w:spacing w:after="0" w:line="272"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123" w:lineRule="exact"/>
        <w:rPr>
          <w:rFonts w:ascii="Arial" w:cs="Arial" w:eastAsia="Arial" w:hAnsi="Arial"/>
          <w:sz w:val="17"/>
          <w:szCs w:val="17"/>
          <w:color w:val="auto"/>
        </w:rPr>
      </w:pPr>
    </w:p>
    <w:p>
      <w:pPr>
        <w:ind w:left="1300" w:right="600" w:hanging="65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legal defeasance have been complied with.</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 Indenture Provisions—Subordination.”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7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7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1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1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“Senior Indebtedness” will be defined in an applicable indenture as the principal of (and premium, if any) and unpaid interest on:</w:t>
      </w:r>
    </w:p>
    <w:p>
      <w:pPr>
        <w:spacing w:after="0" w:line="194" w:lineRule="exact"/>
        <w:rPr>
          <w:sz w:val="20"/>
          <w:szCs w:val="20"/>
          <w:color w:val="auto"/>
        </w:rPr>
      </w:pPr>
    </w:p>
    <w:p>
      <w:pPr>
        <w:ind w:left="1300" w:right="580" w:hanging="652"/>
        <w:spacing w:after="0" w:line="25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134" w:lineRule="exact"/>
        <w:rPr>
          <w:rFonts w:ascii="Arial" w:cs="Arial" w:eastAsia="Arial" w:hAnsi="Arial"/>
          <w:sz w:val="18"/>
          <w:szCs w:val="18"/>
          <w:color w:val="auto"/>
        </w:rPr>
      </w:pPr>
    </w:p>
    <w:p>
      <w:pPr>
        <w:ind w:left="1300" w:hanging="65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such indebtedness.</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175" w:lineRule="exact"/>
        <w:rPr>
          <w:sz w:val="20"/>
          <w:szCs w:val="20"/>
          <w:color w:val="auto"/>
        </w:rPr>
      </w:pPr>
    </w:p>
    <w:p>
      <w:pPr>
        <w:ind w:right="1100" w:firstLine="648"/>
        <w:spacing w:after="0" w:line="438" w:lineRule="auto"/>
        <w:rPr>
          <w:sz w:val="20"/>
          <w:szCs w:val="20"/>
          <w:color w:val="auto"/>
        </w:rPr>
      </w:pPr>
      <w:r>
        <w:rPr>
          <w:rFonts w:ascii="Arial" w:cs="Arial" w:eastAsia="Arial" w:hAnsi="Arial"/>
          <w:sz w:val="18"/>
          <w:szCs w:val="18"/>
          <w:color w:val="auto"/>
        </w:rPr>
        <w:t xml:space="preserve">We intend to name the indenture trustee for each series of indenture securities in the related prospectus supplement. </w:t>
      </w:r>
      <w:r>
        <w:rPr>
          <w:rFonts w:ascii="Arial" w:cs="Arial" w:eastAsia="Arial" w:hAnsi="Arial"/>
          <w:sz w:val="18"/>
          <w:szCs w:val="18"/>
          <w:b w:val="1"/>
          <w:bCs w:val="1"/>
          <w:color w:val="auto"/>
        </w:rPr>
        <w:t>Certain Considerations Relating to Foreign Currencies</w:t>
      </w:r>
    </w:p>
    <w:p>
      <w:pPr>
        <w:spacing w:after="0" w:line="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17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116" w:lineRule="exact"/>
        <w:rPr>
          <w:sz w:val="20"/>
          <w:szCs w:val="20"/>
          <w:color w:val="auto"/>
        </w:rPr>
      </w:pPr>
    </w:p>
    <w:p>
      <w:pPr>
        <w:ind w:left="1300" w:hanging="65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171" w:lineRule="exact"/>
        <w:rPr>
          <w:rFonts w:ascii="Arial" w:cs="Arial" w:eastAsia="Arial" w:hAnsi="Arial"/>
          <w:sz w:val="18"/>
          <w:szCs w:val="18"/>
          <w:color w:val="auto"/>
        </w:rPr>
      </w:pPr>
    </w:p>
    <w:p>
      <w:pPr>
        <w:ind w:left="1300" w:right="520" w:hanging="65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116" w:lineRule="exact"/>
        <w:rPr>
          <w:rFonts w:ascii="Arial" w:cs="Arial" w:eastAsia="Arial" w:hAnsi="Arial"/>
          <w:sz w:val="18"/>
          <w:szCs w:val="18"/>
          <w:color w:val="auto"/>
        </w:rPr>
      </w:pPr>
    </w:p>
    <w:p>
      <w:pPr>
        <w:ind w:left="1300" w:right="120" w:hanging="65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171" w:lineRule="exact"/>
        <w:rPr>
          <w:rFonts w:ascii="Arial" w:cs="Arial" w:eastAsia="Arial" w:hAnsi="Arial"/>
          <w:sz w:val="18"/>
          <w:szCs w:val="18"/>
          <w:color w:val="auto"/>
        </w:rPr>
      </w:pPr>
    </w:p>
    <w:p>
      <w:pPr>
        <w:ind w:left="1300" w:right="100" w:hanging="65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rights to purchase debt securities, the principal amount of debt securities purchasable upon exercise of one right;</w:t>
      </w:r>
    </w:p>
    <w:p>
      <w:pPr>
        <w:spacing w:after="0" w:line="116" w:lineRule="exact"/>
        <w:rPr>
          <w:rFonts w:ascii="Arial" w:cs="Arial" w:eastAsia="Arial" w:hAnsi="Arial"/>
          <w:sz w:val="18"/>
          <w:szCs w:val="18"/>
          <w:color w:val="auto"/>
        </w:rPr>
      </w:pPr>
    </w:p>
    <w:p>
      <w:pPr>
        <w:ind w:left="1300" w:right="560" w:hanging="65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116" w:lineRule="exact"/>
        <w:rPr>
          <w:rFonts w:ascii="Arial" w:cs="Arial" w:eastAsia="Arial" w:hAnsi="Arial"/>
          <w:sz w:val="18"/>
          <w:szCs w:val="18"/>
          <w:color w:val="auto"/>
        </w:rPr>
      </w:pPr>
    </w:p>
    <w:p>
      <w:pPr>
        <w:ind w:left="1300" w:right="140" w:hanging="65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(subject to any extension);</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such rights include an over-subscription privilege with respect to unsubscribed securities;</w:t>
      </w:r>
    </w:p>
    <w:p>
      <w:pPr>
        <w:spacing w:after="0" w:line="171" w:lineRule="exact"/>
        <w:rPr>
          <w:rFonts w:ascii="Arial" w:cs="Arial" w:eastAsia="Arial" w:hAnsi="Arial"/>
          <w:sz w:val="18"/>
          <w:szCs w:val="18"/>
          <w:color w:val="auto"/>
        </w:rPr>
      </w:pPr>
    </w:p>
    <w:p>
      <w:pPr>
        <w:ind w:left="1300" w:right="260" w:hanging="652"/>
        <w:spacing w:after="0" w:line="31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92" w:lineRule="exact"/>
        <w:rPr>
          <w:rFonts w:ascii="Arial" w:cs="Arial" w:eastAsia="Arial" w:hAnsi="Arial"/>
          <w:sz w:val="16"/>
          <w:szCs w:val="16"/>
          <w:color w:val="auto"/>
        </w:rPr>
      </w:pPr>
    </w:p>
    <w:p>
      <w:pPr>
        <w:ind w:left="1300" w:hanging="65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left="1300" w:right="80" w:hanging="65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71" w:lineRule="exact"/>
        <w:rPr>
          <w:rFonts w:ascii="Arial" w:cs="Arial" w:eastAsia="Arial" w:hAnsi="Arial"/>
          <w:sz w:val="18"/>
          <w:szCs w:val="18"/>
          <w:color w:val="auto"/>
        </w:rPr>
      </w:pPr>
    </w:p>
    <w:p>
      <w:pPr>
        <w:ind w:left="1300" w:right="320" w:hanging="65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w:t>
      </w:r>
    </w:p>
    <w:p>
      <w:pPr>
        <w:spacing w:after="0" w:line="17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119"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1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27" w:lineRule="exact"/>
        <w:rPr>
          <w:sz w:val="20"/>
          <w:szCs w:val="20"/>
          <w:color w:val="auto"/>
        </w:rPr>
      </w:pPr>
    </w:p>
    <w:p>
      <w:pPr>
        <w:ind w:right="500" w:firstLine="648"/>
        <w:spacing w:after="0" w:line="257" w:lineRule="auto"/>
        <w:rPr>
          <w:sz w:val="20"/>
          <w:szCs w:val="20"/>
          <w:color w:val="auto"/>
        </w:rPr>
      </w:pPr>
      <w:r>
        <w:rPr>
          <w:rFonts w:ascii="Arial" w:cs="Arial" w:eastAsia="Arial" w:hAnsi="Arial"/>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UNITS</w:t>
      </w:r>
    </w:p>
    <w:p>
      <w:pPr>
        <w:spacing w:after="0" w:line="17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3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116" w:lineRule="exact"/>
        <w:rPr>
          <w:sz w:val="20"/>
          <w:szCs w:val="20"/>
          <w:color w:val="auto"/>
        </w:rPr>
      </w:pPr>
    </w:p>
    <w:p>
      <w:pPr>
        <w:ind w:left="1300" w:right="680" w:hanging="65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116" w:lineRule="exact"/>
        <w:rPr>
          <w:rFonts w:ascii="Arial" w:cs="Arial" w:eastAsia="Arial" w:hAnsi="Arial"/>
          <w:sz w:val="18"/>
          <w:szCs w:val="18"/>
          <w:color w:val="auto"/>
        </w:rPr>
      </w:pPr>
    </w:p>
    <w:p>
      <w:pPr>
        <w:ind w:left="1300" w:right="140" w:hanging="65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 for the issuance, payment, settlement, transfer or exchange of the units or of the securities comprising the units; and</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sell the securities offered by this prospectus in any one or more of the following ways from time to time:</w:t>
      </w:r>
    </w:p>
    <w:p>
      <w:pPr>
        <w:spacing w:after="0" w:line="171" w:lineRule="exact"/>
        <w:rPr>
          <w:sz w:val="20"/>
          <w:szCs w:val="20"/>
          <w:color w:val="auto"/>
        </w:rPr>
      </w:pPr>
    </w:p>
    <w:p>
      <w:pPr>
        <w:ind w:left="1300" w:hanging="65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or through one or more underwriters, initial purchasers, brokers or dealers;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171" w:lineRule="exact"/>
        <w:rPr>
          <w:rFonts w:ascii="Arial" w:cs="Arial" w:eastAsia="Arial" w:hAnsi="Arial"/>
          <w:sz w:val="18"/>
          <w:szCs w:val="18"/>
          <w:color w:val="auto"/>
        </w:rPr>
      </w:pPr>
    </w:p>
    <w:p>
      <w:pPr>
        <w:ind w:left="1300" w:right="140" w:hanging="65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17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116" w:lineRule="exact"/>
        <w:rPr>
          <w:sz w:val="20"/>
          <w:szCs w:val="20"/>
          <w:color w:val="auto"/>
        </w:rPr>
      </w:pPr>
    </w:p>
    <w:p>
      <w:pPr>
        <w:ind w:left="1300" w:hanging="65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over-allotment options under which the underwriters may purchase additional shares of common stock from us;</w:t>
      </w:r>
    </w:p>
    <w:p>
      <w:pPr>
        <w:spacing w:after="0" w:line="182" w:lineRule="exact"/>
        <w:rPr>
          <w:rFonts w:ascii="Arial" w:cs="Arial" w:eastAsia="Arial" w:hAnsi="Arial"/>
          <w:sz w:val="17"/>
          <w:szCs w:val="17"/>
          <w:color w:val="auto"/>
        </w:rPr>
      </w:pPr>
    </w:p>
    <w:p>
      <w:pPr>
        <w:ind w:left="1300" w:right="460" w:hanging="65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116" w:lineRule="exact"/>
        <w:rPr>
          <w:rFonts w:ascii="Arial" w:cs="Arial" w:eastAsia="Arial" w:hAnsi="Arial"/>
          <w:sz w:val="18"/>
          <w:szCs w:val="18"/>
          <w:color w:val="auto"/>
        </w:rPr>
      </w:pPr>
    </w:p>
    <w:p>
      <w:pPr>
        <w:ind w:left="1300" w:hanging="65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171" w:lineRule="exact"/>
        <w:rPr>
          <w:rFonts w:ascii="Arial" w:cs="Arial" w:eastAsia="Arial" w:hAnsi="Arial"/>
          <w:sz w:val="18"/>
          <w:szCs w:val="18"/>
          <w:color w:val="auto"/>
        </w:rPr>
      </w:pPr>
    </w:p>
    <w:p>
      <w:pPr>
        <w:ind w:left="1300" w:hanging="652"/>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securities exchange or market on which the common stock offered in the prospectus supplement may be listed.</w:t>
      </w:r>
    </w:p>
    <w:p>
      <w:pPr>
        <w:spacing w:after="0" w:line="18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1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3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2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17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70"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0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1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1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1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13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validity of the securities being offered hereby will be passed upon for us by Morgan, Lewis &amp; Bockius LLP, New York,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20" w:firstLine="648"/>
        <w:spacing w:after="0" w:line="220" w:lineRule="exact"/>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K/A for the year ended December 31, 2015,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25" w:right="9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8"/>
          <w:szCs w:val="18"/>
          <w:color w:val="auto"/>
        </w:rPr>
        <w:t>We file annual, quarterly and other reports, proxy and information statements and other information with the Securities and Exchange Commission. Copies of these materials may be inspected and copied at the public reference facilities maintained by the SEC at 100 F Street, N.E., Washington, D.C. 20549. Please call the SEC at 1</w:t>
      </w:r>
      <w:r>
        <w:rPr>
          <w:rFonts w:ascii="MS PGothic" w:cs="MS PGothic" w:eastAsia="MS PGothic" w:hAnsi="MS PGothic"/>
          <w:sz w:val="18"/>
          <w:szCs w:val="18"/>
          <w:color w:val="auto"/>
        </w:rPr>
        <w:t>‑</w:t>
      </w:r>
      <w:r>
        <w:rPr>
          <w:rFonts w:ascii="Arial" w:cs="Arial" w:eastAsia="Arial" w:hAnsi="Arial"/>
          <w:sz w:val="18"/>
          <w:szCs w:val="18"/>
          <w:color w:val="auto"/>
        </w:rPr>
        <w:t>800</w:t>
      </w:r>
      <w:r>
        <w:rPr>
          <w:rFonts w:ascii="MS PGothic" w:cs="MS PGothic" w:eastAsia="MS PGothic" w:hAnsi="MS PGothic"/>
          <w:sz w:val="18"/>
          <w:szCs w:val="18"/>
          <w:color w:val="auto"/>
        </w:rPr>
        <w:t>‑</w:t>
      </w:r>
      <w:r>
        <w:rPr>
          <w:rFonts w:ascii="Arial" w:cs="Arial" w:eastAsia="Arial" w:hAnsi="Arial"/>
          <w:sz w:val="18"/>
          <w:szCs w:val="18"/>
          <w:color w:val="auto"/>
        </w:rPr>
        <w:t>SEC</w:t>
      </w:r>
      <w:r>
        <w:rPr>
          <w:rFonts w:ascii="MS PGothic" w:cs="MS PGothic" w:eastAsia="MS PGothic" w:hAnsi="MS PGothic"/>
          <w:sz w:val="18"/>
          <w:szCs w:val="18"/>
          <w:color w:val="auto"/>
        </w:rPr>
        <w:t>‑</w:t>
      </w:r>
      <w:r>
        <w:rPr>
          <w:rFonts w:ascii="Arial" w:cs="Arial" w:eastAsia="Arial" w:hAnsi="Arial"/>
          <w:sz w:val="18"/>
          <w:szCs w:val="18"/>
          <w:color w:val="auto"/>
        </w:rPr>
        <w:t>0330 for further information on the operation of its public reference room.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75"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prior to the termination of the offering. Notwithstanding the foregoing, unless specifically stated to the contrary, none of the information that is not deemed “filed” with the SEC, including information furnished under Items 2.02 or 7.01 of any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will be incorporated by reference into, or otherwise included in, this prospectus:</w:t>
      </w:r>
    </w:p>
    <w:p>
      <w:pPr>
        <w:spacing w:after="0" w:line="148" w:lineRule="exact"/>
        <w:rPr>
          <w:sz w:val="20"/>
          <w:szCs w:val="20"/>
          <w:color w:val="auto"/>
        </w:rPr>
      </w:pPr>
    </w:p>
    <w:p>
      <w:pPr>
        <w:ind w:left="1300" w:right="40" w:hanging="652"/>
        <w:spacing w:after="0" w:line="223" w:lineRule="exact"/>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for the fiscal year ended December 31, 2015 filed with the SEC on </w:t>
      </w:r>
      <w:hyperlink r:id="rId59">
        <w:r>
          <w:rPr>
            <w:rFonts w:ascii="Arial" w:cs="Arial" w:eastAsia="Arial" w:hAnsi="Arial"/>
            <w:sz w:val="18"/>
            <w:szCs w:val="18"/>
            <w:u w:val="single" w:color="auto"/>
            <w:color w:val="0000EE"/>
          </w:rPr>
          <w:t>March 24,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and amended on </w:t>
      </w:r>
      <w:hyperlink r:id="rId60">
        <w:r>
          <w:rPr>
            <w:rFonts w:ascii="Arial" w:cs="Arial" w:eastAsia="Arial" w:hAnsi="Arial"/>
            <w:sz w:val="18"/>
            <w:szCs w:val="18"/>
            <w:u w:val="single" w:color="auto"/>
            <w:color w:val="0000EE"/>
          </w:rPr>
          <w:t>August 9, 2016</w:t>
        </w:r>
      </w:hyperlink>
      <w:r>
        <w:rPr>
          <w:rFonts w:ascii="Arial" w:cs="Arial" w:eastAsia="Arial" w:hAnsi="Arial"/>
          <w:sz w:val="18"/>
          <w:szCs w:val="18"/>
          <w:color w:val="auto"/>
        </w:rPr>
        <w:t>;</w:t>
      </w:r>
    </w:p>
    <w:p>
      <w:pPr>
        <w:spacing w:after="0" w:line="149" w:lineRule="exact"/>
        <w:rPr>
          <w:rFonts w:ascii="Arial" w:cs="Arial" w:eastAsia="Arial" w:hAnsi="Arial"/>
          <w:sz w:val="18"/>
          <w:szCs w:val="18"/>
          <w:color w:val="auto"/>
        </w:rPr>
      </w:pPr>
    </w:p>
    <w:p>
      <w:pPr>
        <w:ind w:left="1300" w:right="140" w:hanging="652"/>
        <w:spacing w:after="0" w:line="224" w:lineRule="exact"/>
        <w:tabs>
          <w:tab w:leader="none" w:pos="1300" w:val="left"/>
        </w:tabs>
        <w:numPr>
          <w:ilvl w:val="0"/>
          <w:numId w:val="28"/>
        </w:numPr>
        <w:rPr>
          <w:rFonts w:ascii="Arial" w:cs="Arial" w:eastAsia="Arial" w:hAnsi="Arial"/>
          <w:sz w:val="16"/>
          <w:szCs w:val="16"/>
          <w:color w:val="0000EE"/>
        </w:rPr>
      </w:pPr>
      <w:hyperlink r:id="rId61">
        <w:r>
          <w:rPr>
            <w:rFonts w:ascii="Arial" w:cs="Arial" w:eastAsia="Arial" w:hAnsi="Arial"/>
            <w:sz w:val="16"/>
            <w:szCs w:val="16"/>
            <w:u w:val="single" w:color="auto"/>
            <w:color w:val="0000EE"/>
          </w:rPr>
          <w:t>the information contained in our definitive proxy statement on Schedule 14A for our 2016 annual meeting of</w:t>
        </w:r>
      </w:hyperlink>
      <w:r>
        <w:rPr>
          <w:rFonts w:ascii="Arial" w:cs="Arial" w:eastAsia="Arial" w:hAnsi="Arial"/>
          <w:sz w:val="16"/>
          <w:szCs w:val="16"/>
          <w:u w:val="single" w:color="auto"/>
          <w:color w:val="0000EE"/>
        </w:rPr>
        <w:t xml:space="preserve"> </w:t>
      </w:r>
      <w:hyperlink r:id="rId61">
        <w:r>
          <w:rPr>
            <w:rFonts w:ascii="Arial" w:cs="Arial" w:eastAsia="Arial" w:hAnsi="Arial"/>
            <w:sz w:val="16"/>
            <w:szCs w:val="16"/>
            <w:u w:val="single" w:color="auto"/>
            <w:color w:val="0000EE"/>
          </w:rPr>
          <w:t>stockholders filed with the SEC on April 27, 2016, to the extent incorporated by reference in Part III of the Form 10</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K</w:t>
        </w:r>
      </w:hyperlink>
      <w:r>
        <w:rPr>
          <w:rFonts w:ascii="Arial" w:cs="Arial" w:eastAsia="Arial" w:hAnsi="Arial"/>
          <w:sz w:val="16"/>
          <w:szCs w:val="16"/>
          <w:color w:val="000000"/>
        </w:rPr>
        <w:t>;</w:t>
      </w:r>
    </w:p>
    <w:p>
      <w:pPr>
        <w:spacing w:after="0" w:line="148" w:lineRule="exact"/>
        <w:rPr>
          <w:rFonts w:ascii="Arial" w:cs="Arial" w:eastAsia="Arial" w:hAnsi="Arial"/>
          <w:sz w:val="16"/>
          <w:szCs w:val="16"/>
          <w:color w:val="0000EE"/>
        </w:rPr>
      </w:pPr>
    </w:p>
    <w:p>
      <w:pPr>
        <w:ind w:left="1300" w:right="500" w:hanging="652"/>
        <w:spacing w:after="0" w:line="223" w:lineRule="exact"/>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Q for the quarter ended March 31, 2016 filed with the SEC on </w:t>
      </w:r>
      <w:hyperlink r:id="rId62">
        <w:r>
          <w:rPr>
            <w:rFonts w:ascii="Arial" w:cs="Arial" w:eastAsia="Arial" w:hAnsi="Arial"/>
            <w:sz w:val="18"/>
            <w:szCs w:val="18"/>
            <w:u w:val="single" w:color="auto"/>
            <w:color w:val="0000EE"/>
          </w:rPr>
          <w:t>May 11, 2016</w:t>
        </w:r>
      </w:hyperlink>
      <w:r>
        <w:rPr>
          <w:rFonts w:ascii="Arial" w:cs="Arial" w:eastAsia="Arial" w:hAnsi="Arial"/>
          <w:sz w:val="18"/>
          <w:szCs w:val="18"/>
          <w:color w:val="auto"/>
        </w:rPr>
        <w:t xml:space="preserve">, and amended on </w:t>
      </w:r>
      <w:hyperlink r:id="rId63">
        <w:r>
          <w:rPr>
            <w:rFonts w:ascii="Arial" w:cs="Arial" w:eastAsia="Arial" w:hAnsi="Arial"/>
            <w:sz w:val="18"/>
            <w:szCs w:val="18"/>
            <w:u w:val="single" w:color="auto"/>
            <w:color w:val="0000EE"/>
          </w:rPr>
          <w:t>August 9, 2016</w:t>
        </w:r>
      </w:hyperlink>
      <w:r>
        <w:rPr>
          <w:rFonts w:ascii="Arial" w:cs="Arial" w:eastAsia="Arial" w:hAnsi="Arial"/>
          <w:sz w:val="18"/>
          <w:szCs w:val="18"/>
          <w:color w:val="auto"/>
        </w:rPr>
        <w:t>;</w:t>
      </w:r>
    </w:p>
    <w:p>
      <w:pPr>
        <w:spacing w:after="0" w:line="149" w:lineRule="exact"/>
        <w:rPr>
          <w:rFonts w:ascii="Arial" w:cs="Arial" w:eastAsia="Arial" w:hAnsi="Arial"/>
          <w:sz w:val="18"/>
          <w:szCs w:val="18"/>
          <w:color w:val="auto"/>
        </w:rPr>
      </w:pPr>
    </w:p>
    <w:p>
      <w:pPr>
        <w:ind w:left="1300" w:hanging="652"/>
        <w:spacing w:after="0" w:line="207" w:lineRule="exact"/>
        <w:tabs>
          <w:tab w:leader="none" w:pos="1300" w:val="left"/>
        </w:tabs>
        <w:numPr>
          <w:ilvl w:val="0"/>
          <w:numId w:val="28"/>
        </w:numPr>
        <w:rPr>
          <w:rFonts w:ascii="Arial" w:cs="Arial" w:eastAsia="Arial" w:hAnsi="Arial"/>
          <w:sz w:val="18"/>
          <w:szCs w:val="18"/>
          <w:color w:val="0000EE"/>
        </w:rPr>
      </w:pPr>
      <w:hyperlink r:id="rId64">
        <w:r>
          <w:rPr>
            <w:rFonts w:ascii="Arial" w:cs="Arial" w:eastAsia="Arial" w:hAnsi="Arial"/>
            <w:sz w:val="18"/>
            <w:szCs w:val="18"/>
            <w:u w:val="single" w:color="auto"/>
            <w:color w:val="0000EE"/>
          </w:rPr>
          <w:t>our quarterly report on Form 10</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Q for the quarter ended June 30, 2016 filed with the SEC on August 9, 2016</w:t>
        </w:r>
      </w:hyperlink>
      <w:r>
        <w:rPr>
          <w:rFonts w:ascii="Arial" w:cs="Arial" w:eastAsia="Arial" w:hAnsi="Arial"/>
          <w:sz w:val="18"/>
          <w:szCs w:val="18"/>
          <w:color w:val="000000"/>
        </w:rPr>
        <w:t>;</w:t>
      </w:r>
    </w:p>
    <w:p>
      <w:pPr>
        <w:spacing w:after="0" w:line="171" w:lineRule="exact"/>
        <w:rPr>
          <w:rFonts w:ascii="Arial" w:cs="Arial" w:eastAsia="Arial" w:hAnsi="Arial"/>
          <w:sz w:val="18"/>
          <w:szCs w:val="18"/>
          <w:color w:val="0000EE"/>
        </w:rPr>
      </w:pPr>
    </w:p>
    <w:p>
      <w:pPr>
        <w:ind w:left="1300" w:hanging="652"/>
        <w:spacing w:after="0" w:line="184" w:lineRule="exact"/>
        <w:tabs>
          <w:tab w:leader="none" w:pos="1300" w:val="left"/>
        </w:tabs>
        <w:numPr>
          <w:ilvl w:val="0"/>
          <w:numId w:val="28"/>
        </w:numPr>
        <w:rPr>
          <w:rFonts w:ascii="Arial" w:cs="Arial" w:eastAsia="Arial" w:hAnsi="Arial"/>
          <w:sz w:val="16"/>
          <w:szCs w:val="16"/>
          <w:color w:val="0000EE"/>
        </w:rPr>
      </w:pPr>
      <w:hyperlink r:id="rId65">
        <w:r>
          <w:rPr>
            <w:rFonts w:ascii="Arial" w:cs="Arial" w:eastAsia="Arial" w:hAnsi="Arial"/>
            <w:sz w:val="16"/>
            <w:szCs w:val="16"/>
            <w:u w:val="single" w:color="auto"/>
            <w:color w:val="0000EE"/>
          </w:rPr>
          <w:t>our quarterly report on Form 10</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Q for the quarter ended September 30, 2016 filed with the SEC on November 14, 2016</w:t>
        </w:r>
      </w:hyperlink>
      <w:r>
        <w:rPr>
          <w:rFonts w:ascii="Arial" w:cs="Arial" w:eastAsia="Arial" w:hAnsi="Arial"/>
          <w:sz w:val="16"/>
          <w:szCs w:val="16"/>
          <w:color w:val="000000"/>
        </w:rPr>
        <w:t>;</w:t>
      </w:r>
    </w:p>
    <w:p>
      <w:pPr>
        <w:spacing w:after="0" w:line="194" w:lineRule="exact"/>
        <w:rPr>
          <w:rFonts w:ascii="Arial" w:cs="Arial" w:eastAsia="Arial" w:hAnsi="Arial"/>
          <w:sz w:val="16"/>
          <w:szCs w:val="16"/>
          <w:color w:val="0000EE"/>
        </w:rPr>
      </w:pPr>
    </w:p>
    <w:p>
      <w:pPr>
        <w:ind w:left="1300" w:hanging="652"/>
        <w:spacing w:after="0" w:line="207" w:lineRule="exact"/>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 xml:space="preserve">K filed with the SEC on </w:t>
      </w:r>
      <w:hyperlink r:id="rId66">
        <w:r>
          <w:rPr>
            <w:rFonts w:ascii="Arial" w:cs="Arial" w:eastAsia="Arial" w:hAnsi="Arial"/>
            <w:sz w:val="18"/>
            <w:szCs w:val="18"/>
            <w:u w:val="single" w:color="auto"/>
            <w:color w:val="0000EE"/>
          </w:rPr>
          <w:t>March 22, 2016</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EE"/>
          </w:rPr>
          <w:t>March 29,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to Item 8.01 and</w:t>
      </w:r>
    </w:p>
    <w:p>
      <w:pPr>
        <w:spacing w:after="0" w:line="23" w:lineRule="exact"/>
        <w:rPr>
          <w:rFonts w:ascii="Arial" w:cs="Arial" w:eastAsia="Arial" w:hAnsi="Arial"/>
          <w:sz w:val="18"/>
          <w:szCs w:val="18"/>
          <w:color w:val="auto"/>
        </w:rPr>
      </w:pPr>
    </w:p>
    <w:p>
      <w:pPr>
        <w:ind w:left="1300" w:right="100"/>
        <w:spacing w:after="0" w:line="261" w:lineRule="auto"/>
        <w:rPr>
          <w:rFonts w:ascii="Arial" w:cs="Arial" w:eastAsia="Arial" w:hAnsi="Arial"/>
          <w:sz w:val="18"/>
          <w:szCs w:val="18"/>
          <w:color w:val="0000EE"/>
        </w:rPr>
      </w:pPr>
      <w:hyperlink r:id="rId68">
        <w:r>
          <w:rPr>
            <w:rFonts w:ascii="Arial" w:cs="Arial" w:eastAsia="Arial" w:hAnsi="Arial"/>
            <w:sz w:val="18"/>
            <w:szCs w:val="18"/>
            <w:color w:val="auto"/>
          </w:rPr>
          <w:t xml:space="preserve">Exhibit 99.2 only), </w:t>
        </w:r>
        <w:r>
          <w:rPr>
            <w:rFonts w:ascii="Arial" w:cs="Arial" w:eastAsia="Arial" w:hAnsi="Arial"/>
            <w:sz w:val="18"/>
            <w:szCs w:val="18"/>
            <w:u w:val="single" w:color="auto"/>
            <w:color w:val="0000EE"/>
          </w:rPr>
          <w:t>April 21, 2016</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5, 2016</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10, 2016</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July 12, 2016</w:t>
        </w:r>
        <w:r>
          <w:rPr>
            <w:rFonts w:ascii="Arial" w:cs="Arial" w:eastAsia="Arial" w:hAnsi="Arial"/>
            <w:sz w:val="18"/>
            <w:szCs w:val="18"/>
            <w:color w:val="auto"/>
          </w:rPr>
          <w:t xml:space="preserve">, </w:t>
        </w:r>
        <w:r>
          <w:rPr>
            <w:rFonts w:ascii="Arial" w:cs="Arial" w:eastAsia="Arial" w:hAnsi="Arial"/>
            <w:sz w:val="18"/>
            <w:szCs w:val="18"/>
            <w:u w:val="single" w:color="auto"/>
            <w:color w:val="0000EE"/>
          </w:rPr>
          <w:t>September 2, 2016</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November 10,</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2016</w:t>
        </w:r>
        <w:r>
          <w:rPr>
            <w:rFonts w:ascii="Arial" w:cs="Arial" w:eastAsia="Arial" w:hAnsi="Arial"/>
            <w:sz w:val="18"/>
            <w:szCs w:val="18"/>
            <w:color w:val="000000"/>
          </w:rPr>
          <w:t>; and</w:t>
        </w:r>
      </w:hyperlink>
    </w:p>
    <w:p>
      <w:pPr>
        <w:spacing w:after="0" w:line="129" w:lineRule="exact"/>
        <w:rPr>
          <w:rFonts w:ascii="Arial" w:cs="Arial" w:eastAsia="Arial" w:hAnsi="Arial"/>
          <w:sz w:val="18"/>
          <w:szCs w:val="18"/>
          <w:color w:val="0000EE"/>
        </w:rPr>
      </w:pPr>
    </w:p>
    <w:p>
      <w:pPr>
        <w:ind w:left="1300" w:right="120" w:hanging="652"/>
        <w:spacing w:after="0" w:line="223" w:lineRule="exact"/>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description of our common stock contained in the registration statement on </w:t>
      </w:r>
      <w:hyperlink r:id="rId35">
        <w:r>
          <w:rPr>
            <w:rFonts w:ascii="Arial" w:cs="Arial" w:eastAsia="Arial" w:hAnsi="Arial"/>
            <w:sz w:val="18"/>
            <w:szCs w:val="18"/>
            <w:u w:val="single" w:color="auto"/>
            <w:color w:val="0000EE"/>
          </w:rPr>
          <w:t>Form 8</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A, filed on November 16, 2015</w:t>
        </w:r>
      </w:hyperlink>
      <w:r>
        <w:rPr>
          <w:rFonts w:ascii="Arial" w:cs="Arial" w:eastAsia="Arial" w:hAnsi="Arial"/>
          <w:sz w:val="18"/>
          <w:szCs w:val="18"/>
          <w:color w:val="auto"/>
        </w:rPr>
        <w:t>, and all amendments and reports updating such description.</w:t>
      </w:r>
    </w:p>
    <w:p>
      <w:pPr>
        <w:spacing w:after="0" w:line="149" w:lineRule="exact"/>
        <w:rPr>
          <w:rFonts w:ascii="Arial" w:cs="Arial" w:eastAsia="Arial" w:hAnsi="Arial"/>
          <w:sz w:val="18"/>
          <w:szCs w:val="18"/>
          <w:color w:val="auto"/>
        </w:rPr>
      </w:pPr>
    </w:p>
    <w:p>
      <w:pPr>
        <w:ind w:firstLine="648"/>
        <w:spacing w:after="0" w:line="219" w:lineRule="exact"/>
        <w:rPr>
          <w:sz w:val="20"/>
          <w:szCs w:val="20"/>
          <w:color w:val="auto"/>
        </w:rPr>
      </w:pPr>
      <w:r>
        <w:rPr>
          <w:rFonts w:ascii="Arial" w:cs="Arial" w:eastAsia="Arial" w:hAnsi="Arial"/>
          <w:sz w:val="16"/>
          <w:szCs w:val="16"/>
          <w:color w:val="auto"/>
        </w:rPr>
        <w:t>We make available, free of charge, through our website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150"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Axsome Therapeutics, Inc.</w:t>
      </w:r>
    </w:p>
    <w:p>
      <w:pPr>
        <w:spacing w:after="0" w:line="23" w:lineRule="exact"/>
        <w:rPr>
          <w:rFonts w:ascii="Arial" w:cs="Arial" w:eastAsia="Arial" w:hAnsi="Arial"/>
          <w:sz w:val="18"/>
          <w:szCs w:val="18"/>
          <w:color w:val="auto"/>
        </w:rPr>
      </w:pPr>
    </w:p>
    <w:p>
      <w:pPr>
        <w:ind w:left="4700" w:right="4500" w:hanging="152"/>
        <w:spacing w:after="0" w:line="323" w:lineRule="auto"/>
        <w:tabs>
          <w:tab w:leader="none" w:pos="477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Broadway 9th Floor</w:t>
      </w:r>
    </w:p>
    <w:p>
      <w:pPr>
        <w:spacing w:after="0" w:line="139" w:lineRule="exact"/>
        <w:rPr>
          <w:rFonts w:ascii="Arial" w:cs="Arial" w:eastAsia="Arial" w:hAnsi="Arial"/>
          <w:sz w:val="18"/>
          <w:szCs w:val="18"/>
          <w:color w:val="auto"/>
        </w:rPr>
      </w:pPr>
    </w:p>
    <w:p>
      <w:pPr>
        <w:ind w:left="4900" w:hanging="432"/>
        <w:spacing w:after="0" w:line="207" w:lineRule="exact"/>
        <w:tabs>
          <w:tab w:leader="none" w:pos="4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332</w:t>
      </w:r>
      <w:r>
        <w:rPr>
          <w:rFonts w:ascii="MS PGothic" w:cs="MS PGothic" w:eastAsia="MS PGothic" w:hAnsi="MS PGothic"/>
          <w:sz w:val="18"/>
          <w:szCs w:val="18"/>
          <w:color w:val="auto"/>
        </w:rPr>
        <w:t>‑</w:t>
      </w:r>
      <w:r>
        <w:rPr>
          <w:rFonts w:ascii="Arial" w:cs="Arial" w:eastAsia="Arial" w:hAnsi="Arial"/>
          <w:sz w:val="18"/>
          <w:szCs w:val="18"/>
          <w:color w:val="auto"/>
        </w:rPr>
        <w:t>3241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94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5" w:right="95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0"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148590</wp:posOffset>
            </wp:positionV>
            <wp:extent cx="2444115" cy="7543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24441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0"/>
        <w:spacing w:after="0"/>
        <w:rPr>
          <w:sz w:val="20"/>
          <w:szCs w:val="20"/>
          <w:color w:val="auto"/>
        </w:rPr>
      </w:pPr>
      <w:r>
        <w:rPr>
          <w:rFonts w:ascii="Arial" w:cs="Arial" w:eastAsia="Arial" w:hAnsi="Arial"/>
          <w:sz w:val="24"/>
          <w:szCs w:val="24"/>
          <w:b w:val="1"/>
          <w:bCs w:val="1"/>
          <w:color w:val="auto"/>
        </w:rPr>
        <w:t>Axsome Therapeutics, Inc.</w:t>
      </w:r>
    </w:p>
    <w:p>
      <w:pPr>
        <w:spacing w:after="0" w:line="251"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148590</wp:posOffset>
            </wp:positionV>
            <wp:extent cx="14833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142240</wp:posOffset>
            </wp:positionV>
            <wp:extent cx="150876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150876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SVB Leerink</w:t>
      </w:r>
    </w:p>
    <w:p>
      <w:pPr>
        <w:spacing w:after="0" w:line="234"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841375</wp:posOffset>
            </wp:positionV>
            <wp:extent cx="5960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sectPr>
      <w:pgSz w:w="11900" w:h="16838" w:orient="portrait"/>
      <w:cols w:equalWidth="0" w:num="1">
        <w:col w:w="9199"/>
      </w:cols>
      <w:pgMar w:left="126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200"/>
    </w:lvl>
  </w:abstractNum>
  <w:abstractNum w:abstractNumId="1">
    <w:nsid w:val="6B68079A"/>
    <w:multiLevelType w:val="hybridMultilevel"/>
    <w:lvl w:ilvl="0">
      <w:lvlJc w:val="left"/>
      <w:lvlText w:val="(%1)"/>
      <w:numFmt w:val="decimal"/>
      <w:start w:val="212"/>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25"/>
    </w:lvl>
  </w:abstractNum>
  <w:abstractNum w:abstractNumId="29">
    <w:nsid w:val="8138641"/>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jpe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jpe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27" Type="http://schemas.openxmlformats.org/officeDocument/2006/relationships/hyperlink" Target="http://www.sec.gov/Archives/edgar/data/1579428/000155837019002068/axsm-20181231x10k.htm" TargetMode="External"/><Relationship Id="rId28" Type="http://schemas.openxmlformats.org/officeDocument/2006/relationships/hyperlink" Target="http://www.sec.gov/Archives/edgar/data/1579428/000155837019003404/axsm-20190607xdef14a.htm" TargetMode="External"/><Relationship Id="rId29" Type="http://schemas.openxmlformats.org/officeDocument/2006/relationships/hyperlink" Target="http://www.sec.gov/Archives/edgar/data/1579428/000155837019004564/axsm-20190331x10q.htm" TargetMode="External"/><Relationship Id="rId30" Type="http://schemas.openxmlformats.org/officeDocument/2006/relationships/hyperlink" Target="http://www.sec.gov/Archives/edgar/data/1579428/000110465919000962/a19-1343_18k.htm" TargetMode="External"/><Relationship Id="rId31" Type="http://schemas.openxmlformats.org/officeDocument/2006/relationships/hyperlink" Target="http://www.sec.gov/Archives/edgar/data/1579428/000110465919000981/a19-1343_28k.htm" TargetMode="External"/><Relationship Id="rId32" Type="http://schemas.openxmlformats.org/officeDocument/2006/relationships/hyperlink" Target="http://www.sec.gov/Archives/edgar/data/1579428/000110465919001179/a19-2090_18k.htm" TargetMode="External"/><Relationship Id="rId33" Type="http://schemas.openxmlformats.org/officeDocument/2006/relationships/hyperlink" Target="http://www.sec.gov/Archives/edgar/data/1579428/000155837019000275/f8-k.htm" TargetMode="External"/><Relationship Id="rId34" Type="http://schemas.openxmlformats.org/officeDocument/2006/relationships/hyperlink" Target="http://www.sec.gov/Archives/edgar/data/1579428/000110465919028008/a19-9691_28k.htm" TargetMode="External"/><Relationship Id="rId35" Type="http://schemas.openxmlformats.org/officeDocument/2006/relationships/hyperlink" Target="http://www.sec.gov/Archives/edgar/data/1579428/000110465915079272/a15-17626_68a12b.htm" TargetMode="External"/><Relationship Id="rId59" Type="http://schemas.openxmlformats.org/officeDocument/2006/relationships/hyperlink" Target="http://www.sec.gov/Archives/edgar/data/1579428/000155837016004365/axsm-20151231x10k.htm" TargetMode="External"/><Relationship Id="rId60" Type="http://schemas.openxmlformats.org/officeDocument/2006/relationships/hyperlink" Target="http://www.sec.gov/Archives/edgar/data/1579428/000155837016007797/axsm-20151231x10ka.htm" TargetMode="External"/><Relationship Id="rId61" Type="http://schemas.openxmlformats.org/officeDocument/2006/relationships/hyperlink" Target="http://www.sec.gov/Archives/edgar/data/1579428/000110465916114707/a16-9355_1def14a.htm" TargetMode="External"/><Relationship Id="rId62" Type="http://schemas.openxmlformats.org/officeDocument/2006/relationships/hyperlink" Target="http://www.sec.gov/Archives/edgar/data/1579428/000155837016005875/axsm-20160331x10q.htm" TargetMode="External"/><Relationship Id="rId63" Type="http://schemas.openxmlformats.org/officeDocument/2006/relationships/hyperlink" Target="http://www.sec.gov/Archives/edgar/data/1579428/000155837016007810/axsm-20160331x10qa.htm" TargetMode="External"/><Relationship Id="rId64" Type="http://schemas.openxmlformats.org/officeDocument/2006/relationships/hyperlink" Target="http://www.sec.gov/Archives/edgar/data/1579428/000155837016007816/axsm-20160630x10q.htm" TargetMode="External"/><Relationship Id="rId65" Type="http://schemas.openxmlformats.org/officeDocument/2006/relationships/hyperlink" Target="http://www.sec.gov/Archives/edgar/data/1579428/000155837016010043/axsm-20160930x10q.htm" TargetMode="External"/><Relationship Id="rId66" Type="http://schemas.openxmlformats.org/officeDocument/2006/relationships/hyperlink" Target="http://www.sec.gov/Archives/edgar/data/1579428/000110465916106907/a16-7048_18k.htm" TargetMode="External"/><Relationship Id="rId67" Type="http://schemas.openxmlformats.org/officeDocument/2006/relationships/hyperlink" Target="http://www.sec.gov/Archives/edgar/data/1579428/000110465916108292/a16-7418_18k.htm" TargetMode="External"/><Relationship Id="rId68" Type="http://schemas.openxmlformats.org/officeDocument/2006/relationships/hyperlink" Target="http://www.sec.gov/Archives/edgar/data/1579428/000110465916156253/a16-21456_1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2019-12-02T21:56:21Z</dcterms:created>
  <dcterms:modified xsi:type="dcterms:W3CDTF">2019-12-02T21:56:21Z</dcterms:modified>
</cp:coreProperties>
</file>