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8"/>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582295</wp:posOffset>
            </wp:positionH>
            <wp:positionV relativeFrom="page">
              <wp:posOffset>151765</wp:posOffset>
            </wp:positionV>
            <wp:extent cx="63969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6990" cy="31115"/>
                    </a:xfrm>
                    <a:prstGeom prst="rect">
                      <a:avLst/>
                    </a:prstGeom>
                    <a:noFill/>
                  </pic:spPr>
                </pic:pic>
              </a:graphicData>
            </a:graphic>
          </wp:anchor>
        </w:drawing>
        <w:drawing>
          <wp:anchor simplePos="0" relativeHeight="251657728" behindDoc="1" locked="0" layoutInCell="0" allowOverlap="1">
            <wp:simplePos x="0" y="0"/>
            <wp:positionH relativeFrom="page">
              <wp:posOffset>582295</wp:posOffset>
            </wp:positionH>
            <wp:positionV relativeFrom="page">
              <wp:posOffset>190500</wp:posOffset>
            </wp:positionV>
            <wp:extent cx="63969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6990" cy="7620"/>
                    </a:xfrm>
                    <a:prstGeom prst="rect">
                      <a:avLst/>
                    </a:prstGeom>
                    <a:noFill/>
                  </pic:spPr>
                </pic:pic>
              </a:graphicData>
            </a:graphic>
          </wp:anchor>
        </w:drawing>
        <w:t>UNITED STATES</w:t>
      </w:r>
    </w:p>
    <w:p>
      <w:pPr>
        <w:jc w:val="center"/>
        <w:ind w:right="-168"/>
        <w:spacing w:after="0" w:line="210" w:lineRule="auto"/>
        <w:rPr>
          <w:sz w:val="20"/>
          <w:szCs w:val="20"/>
          <w:color w:val="auto"/>
        </w:rPr>
      </w:pPr>
      <w:r>
        <w:rPr>
          <w:rFonts w:ascii="Arial" w:cs="Arial" w:eastAsia="Arial" w:hAnsi="Arial"/>
          <w:sz w:val="30"/>
          <w:szCs w:val="30"/>
          <w:b w:val="1"/>
          <w:bCs w:val="1"/>
          <w:color w:val="auto"/>
        </w:rPr>
        <w:t>SECURITIES AND EXCHANGE COMMISSION</w:t>
      </w:r>
    </w:p>
    <w:p>
      <w:pPr>
        <w:jc w:val="center"/>
        <w:ind w:right="-168"/>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116840</wp:posOffset>
            </wp:positionV>
            <wp:extent cx="160528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5280" cy="15875"/>
                    </a:xfrm>
                    <a:prstGeom prst="rect">
                      <a:avLst/>
                    </a:prstGeom>
                    <a:noFill/>
                  </pic:spPr>
                </pic:pic>
              </a:graphicData>
            </a:graphic>
          </wp:anchor>
        </w:drawing>
      </w:r>
    </w:p>
    <w:p>
      <w:pPr>
        <w:spacing w:after="0" w:line="335" w:lineRule="exact"/>
        <w:rPr>
          <w:sz w:val="24"/>
          <w:szCs w:val="24"/>
          <w:color w:val="auto"/>
        </w:rPr>
      </w:pPr>
    </w:p>
    <w:p>
      <w:pPr>
        <w:jc w:val="center"/>
        <w:ind w:right="-168"/>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126365</wp:posOffset>
            </wp:positionV>
            <wp:extent cx="16052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5280" cy="7620"/>
                    </a:xfrm>
                    <a:prstGeom prst="rect">
                      <a:avLst/>
                    </a:prstGeom>
                    <a:noFill/>
                  </pic:spPr>
                </pic:pic>
              </a:graphicData>
            </a:graphic>
          </wp:anchor>
        </w:drawing>
      </w:r>
    </w:p>
    <w:p>
      <w:pPr>
        <w:spacing w:after="0" w:line="341" w:lineRule="exact"/>
        <w:rPr>
          <w:sz w:val="24"/>
          <w:szCs w:val="24"/>
          <w:color w:val="auto"/>
        </w:rPr>
      </w:pPr>
    </w:p>
    <w:p>
      <w:pPr>
        <w:jc w:val="center"/>
        <w:ind w:right="-168"/>
        <w:spacing w:after="0"/>
        <w:rPr>
          <w:sz w:val="20"/>
          <w:szCs w:val="20"/>
          <w:color w:val="auto"/>
        </w:rPr>
      </w:pPr>
      <w:r>
        <w:rPr>
          <w:rFonts w:ascii="Arial" w:cs="Arial" w:eastAsia="Arial" w:hAnsi="Arial"/>
          <w:sz w:val="20"/>
          <w:szCs w:val="20"/>
          <w:b w:val="1"/>
          <w:bCs w:val="1"/>
          <w:color w:val="auto"/>
        </w:rPr>
        <w:t>CURRENT REPORT</w:t>
      </w:r>
    </w:p>
    <w:p>
      <w:pPr>
        <w:jc w:val="center"/>
        <w:ind w:right="-168"/>
        <w:spacing w:after="0" w:line="205" w:lineRule="auto"/>
        <w:rPr>
          <w:sz w:val="20"/>
          <w:szCs w:val="20"/>
          <w:color w:val="auto"/>
        </w:rPr>
      </w:pPr>
      <w:r>
        <w:rPr>
          <w:rFonts w:ascii="Arial" w:cs="Arial" w:eastAsia="Arial" w:hAnsi="Arial"/>
          <w:sz w:val="20"/>
          <w:szCs w:val="20"/>
          <w:b w:val="1"/>
          <w:bCs w:val="1"/>
          <w:color w:val="auto"/>
        </w:rPr>
        <w:t>Pursuant to Section 13 or 15(D)</w:t>
      </w:r>
    </w:p>
    <w:p>
      <w:pPr>
        <w:spacing w:after="0" w:line="1" w:lineRule="exact"/>
        <w:rPr>
          <w:sz w:val="24"/>
          <w:szCs w:val="24"/>
          <w:color w:val="auto"/>
        </w:rPr>
      </w:pPr>
    </w:p>
    <w:p>
      <w:pPr>
        <w:jc w:val="center"/>
        <w:ind w:right="-168"/>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47" w:lineRule="exact"/>
        <w:rPr>
          <w:sz w:val="24"/>
          <w:szCs w:val="24"/>
          <w:color w:val="auto"/>
        </w:rPr>
      </w:pPr>
    </w:p>
    <w:p>
      <w:pPr>
        <w:jc w:val="center"/>
        <w:ind w:right="-168"/>
        <w:spacing w:after="0"/>
        <w:rPr>
          <w:sz w:val="20"/>
          <w:szCs w:val="20"/>
          <w:color w:val="auto"/>
        </w:rPr>
      </w:pPr>
      <w:r>
        <w:rPr>
          <w:rFonts w:ascii="Arial" w:cs="Arial" w:eastAsia="Arial" w:hAnsi="Arial"/>
          <w:sz w:val="16"/>
          <w:szCs w:val="16"/>
          <w:b w:val="1"/>
          <w:bCs w:val="1"/>
          <w:color w:val="auto"/>
        </w:rPr>
        <w:t>December 30, 2019</w:t>
      </w:r>
    </w:p>
    <w:p>
      <w:pPr>
        <w:jc w:val="center"/>
        <w:ind w:right="-168"/>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116840</wp:posOffset>
            </wp:positionV>
            <wp:extent cx="16052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5280" cy="7620"/>
                    </a:xfrm>
                    <a:prstGeom prst="rect">
                      <a:avLst/>
                    </a:prstGeom>
                    <a:noFill/>
                  </pic:spPr>
                </pic:pic>
              </a:graphicData>
            </a:graphic>
          </wp:anchor>
        </w:drawing>
      </w:r>
    </w:p>
    <w:p>
      <w:pPr>
        <w:spacing w:after="0" w:line="314" w:lineRule="exact"/>
        <w:rPr>
          <w:sz w:val="24"/>
          <w:szCs w:val="24"/>
          <w:color w:val="auto"/>
        </w:rPr>
      </w:pPr>
    </w:p>
    <w:p>
      <w:pPr>
        <w:jc w:val="center"/>
        <w:ind w:right="-168"/>
        <w:spacing w:after="0"/>
        <w:rPr>
          <w:sz w:val="20"/>
          <w:szCs w:val="20"/>
          <w:color w:val="auto"/>
        </w:rPr>
      </w:pPr>
      <w:r>
        <w:rPr>
          <w:rFonts w:ascii="Arial" w:cs="Arial" w:eastAsia="Arial" w:hAnsi="Arial"/>
          <w:sz w:val="30"/>
          <w:szCs w:val="30"/>
          <w:b w:val="1"/>
          <w:bCs w:val="1"/>
          <w:color w:val="auto"/>
        </w:rPr>
        <w:t>Axsome Therapeutics, Inc.</w:t>
      </w:r>
    </w:p>
    <w:p>
      <w:pPr>
        <w:jc w:val="center"/>
        <w:ind w:right="-168"/>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116840</wp:posOffset>
            </wp:positionV>
            <wp:extent cx="16052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5280" cy="15875"/>
                    </a:xfrm>
                    <a:prstGeom prst="rect">
                      <a:avLst/>
                    </a:prstGeom>
                    <a:noFill/>
                  </pic:spPr>
                </pic:pic>
              </a:graphicData>
            </a:graphic>
          </wp:anchor>
        </w:drawing>
      </w:r>
    </w:p>
    <w:p>
      <w:pPr>
        <w:spacing w:after="0" w:line="338" w:lineRule="exact"/>
        <w:rPr>
          <w:sz w:val="24"/>
          <w:szCs w:val="24"/>
          <w:color w:val="auto"/>
        </w:rPr>
      </w:pPr>
    </w:p>
    <w:tbl>
      <w:tblPr>
        <w:tblLayout w:type="fixed"/>
        <w:tblInd w:w="749" w:type="dxa"/>
        <w:tblCellMar>
          <w:top w:w="0" w:type="dxa"/>
          <w:left w:w="0" w:type="dxa"/>
          <w:bottom w:w="0" w:type="dxa"/>
          <w:right w:w="0" w:type="dxa"/>
        </w:tblCellMar>
      </w:tblPr>
      <w:tr>
        <w:trPr>
          <w:trHeight w:val="184"/>
        </w:trPr>
        <w:tc>
          <w:tcPr>
            <w:tcW w:w="3440" w:type="dxa"/>
            <w:vAlign w:val="bottom"/>
          </w:tcPr>
          <w:p>
            <w:pPr>
              <w:jc w:val="center"/>
              <w:ind w:right="1618"/>
              <w:spacing w:after="0"/>
              <w:rPr>
                <w:sz w:val="20"/>
                <w:szCs w:val="20"/>
                <w:color w:val="auto"/>
              </w:rPr>
            </w:pPr>
            <w:r>
              <w:rPr>
                <w:rFonts w:ascii="Arial" w:cs="Arial" w:eastAsia="Arial" w:hAnsi="Arial"/>
                <w:sz w:val="16"/>
                <w:szCs w:val="16"/>
                <w:b w:val="1"/>
                <w:bCs w:val="1"/>
                <w:color w:val="auto"/>
                <w:w w:val="93"/>
              </w:rPr>
              <w:t>Delaware</w:t>
            </w:r>
          </w:p>
        </w:tc>
        <w:tc>
          <w:tcPr>
            <w:tcW w:w="2180" w:type="dxa"/>
            <w:vAlign w:val="bottom"/>
          </w:tcPr>
          <w:p>
            <w:pPr>
              <w:jc w:val="center"/>
              <w:ind w:right="358"/>
              <w:spacing w:after="0"/>
              <w:rPr>
                <w:sz w:val="20"/>
                <w:szCs w:val="20"/>
                <w:color w:val="auto"/>
              </w:rPr>
            </w:pPr>
            <w:r>
              <w:rPr>
                <w:rFonts w:ascii="Arial" w:cs="Arial" w:eastAsia="Arial" w:hAnsi="Arial"/>
                <w:sz w:val="16"/>
                <w:szCs w:val="16"/>
                <w:b w:val="1"/>
                <w:bCs w:val="1"/>
                <w:color w:val="auto"/>
                <w:w w:val="91"/>
              </w:rPr>
              <w:t>001-37635</w:t>
            </w:r>
          </w:p>
        </w:tc>
        <w:tc>
          <w:tcPr>
            <w:tcW w:w="2720" w:type="dxa"/>
            <w:vAlign w:val="bottom"/>
          </w:tcPr>
          <w:p>
            <w:pPr>
              <w:jc w:val="center"/>
              <w:ind w:left="1398"/>
              <w:spacing w:after="0"/>
              <w:rPr>
                <w:sz w:val="20"/>
                <w:szCs w:val="20"/>
                <w:color w:val="auto"/>
              </w:rPr>
            </w:pPr>
            <w:r>
              <w:rPr>
                <w:rFonts w:ascii="Arial" w:cs="Arial" w:eastAsia="Arial" w:hAnsi="Arial"/>
                <w:sz w:val="16"/>
                <w:szCs w:val="16"/>
                <w:b w:val="1"/>
                <w:bCs w:val="1"/>
                <w:color w:val="auto"/>
                <w:w w:val="93"/>
              </w:rPr>
              <w:t>45-4241907</w:t>
            </w:r>
          </w:p>
        </w:tc>
        <w:tc>
          <w:tcPr>
            <w:tcW w:w="0" w:type="dxa"/>
            <w:vAlign w:val="bottom"/>
          </w:tcPr>
          <w:p>
            <w:pPr>
              <w:spacing w:after="0"/>
              <w:rPr>
                <w:sz w:val="1"/>
                <w:szCs w:val="1"/>
                <w:color w:val="auto"/>
              </w:rPr>
            </w:pPr>
          </w:p>
        </w:tc>
      </w:tr>
      <w:tr>
        <w:trPr>
          <w:trHeight w:val="160"/>
        </w:trPr>
        <w:tc>
          <w:tcPr>
            <w:tcW w:w="3440" w:type="dxa"/>
            <w:vAlign w:val="bottom"/>
          </w:tcPr>
          <w:p>
            <w:pPr>
              <w:jc w:val="center"/>
              <w:ind w:right="1618"/>
              <w:spacing w:after="0" w:line="161" w:lineRule="exact"/>
              <w:rPr>
                <w:sz w:val="20"/>
                <w:szCs w:val="20"/>
                <w:color w:val="auto"/>
              </w:rPr>
            </w:pPr>
            <w:r>
              <w:rPr>
                <w:rFonts w:ascii="Arial" w:cs="Arial" w:eastAsia="Arial" w:hAnsi="Arial"/>
                <w:sz w:val="16"/>
                <w:szCs w:val="16"/>
                <w:color w:val="auto"/>
                <w:w w:val="95"/>
              </w:rPr>
              <w:t>(State or other jurisdiction</w:t>
            </w:r>
          </w:p>
        </w:tc>
        <w:tc>
          <w:tcPr>
            <w:tcW w:w="2180" w:type="dxa"/>
            <w:vAlign w:val="bottom"/>
          </w:tcPr>
          <w:p>
            <w:pPr>
              <w:jc w:val="center"/>
              <w:ind w:right="378"/>
              <w:spacing w:after="0" w:line="161" w:lineRule="exact"/>
              <w:rPr>
                <w:sz w:val="20"/>
                <w:szCs w:val="20"/>
                <w:color w:val="auto"/>
              </w:rPr>
            </w:pPr>
            <w:r>
              <w:rPr>
                <w:rFonts w:ascii="Arial" w:cs="Arial" w:eastAsia="Arial" w:hAnsi="Arial"/>
                <w:sz w:val="16"/>
                <w:szCs w:val="16"/>
                <w:color w:val="auto"/>
                <w:w w:val="94"/>
              </w:rPr>
              <w:t>(Commission</w:t>
            </w:r>
          </w:p>
        </w:tc>
        <w:tc>
          <w:tcPr>
            <w:tcW w:w="2720" w:type="dxa"/>
            <w:vAlign w:val="bottom"/>
          </w:tcPr>
          <w:p>
            <w:pPr>
              <w:jc w:val="center"/>
              <w:ind w:left="1398"/>
              <w:spacing w:after="0" w:line="161" w:lineRule="exact"/>
              <w:rPr>
                <w:sz w:val="20"/>
                <w:szCs w:val="20"/>
                <w:color w:val="auto"/>
              </w:rPr>
            </w:pPr>
            <w:r>
              <w:rPr>
                <w:rFonts w:ascii="Arial" w:cs="Arial" w:eastAsia="Arial" w:hAnsi="Arial"/>
                <w:sz w:val="16"/>
                <w:szCs w:val="16"/>
                <w:color w:val="auto"/>
                <w:w w:val="96"/>
              </w:rPr>
              <w:t>(IRS Employer</w:t>
            </w:r>
          </w:p>
        </w:tc>
        <w:tc>
          <w:tcPr>
            <w:tcW w:w="0" w:type="dxa"/>
            <w:vAlign w:val="bottom"/>
          </w:tcPr>
          <w:p>
            <w:pPr>
              <w:spacing w:after="0"/>
              <w:rPr>
                <w:sz w:val="1"/>
                <w:szCs w:val="1"/>
                <w:color w:val="auto"/>
              </w:rPr>
            </w:pPr>
          </w:p>
        </w:tc>
      </w:tr>
      <w:tr>
        <w:trPr>
          <w:trHeight w:val="208"/>
        </w:trPr>
        <w:tc>
          <w:tcPr>
            <w:tcW w:w="3440" w:type="dxa"/>
            <w:vAlign w:val="bottom"/>
          </w:tcPr>
          <w:p>
            <w:pPr>
              <w:jc w:val="center"/>
              <w:ind w:right="1598"/>
              <w:spacing w:after="0"/>
              <w:rPr>
                <w:sz w:val="20"/>
                <w:szCs w:val="20"/>
                <w:color w:val="auto"/>
              </w:rPr>
            </w:pPr>
            <w:r>
              <w:rPr>
                <w:rFonts w:ascii="Arial" w:cs="Arial" w:eastAsia="Arial" w:hAnsi="Arial"/>
                <w:sz w:val="16"/>
                <w:szCs w:val="16"/>
                <w:color w:val="auto"/>
                <w:w w:val="96"/>
              </w:rPr>
              <w:t>of incorporation)</w:t>
            </w:r>
          </w:p>
        </w:tc>
        <w:tc>
          <w:tcPr>
            <w:tcW w:w="2180" w:type="dxa"/>
            <w:vAlign w:val="bottom"/>
          </w:tcPr>
          <w:p>
            <w:pPr>
              <w:jc w:val="center"/>
              <w:ind w:right="358"/>
              <w:spacing w:after="0"/>
              <w:rPr>
                <w:sz w:val="20"/>
                <w:szCs w:val="20"/>
                <w:color w:val="auto"/>
              </w:rPr>
            </w:pPr>
            <w:r>
              <w:rPr>
                <w:rFonts w:ascii="Arial" w:cs="Arial" w:eastAsia="Arial" w:hAnsi="Arial"/>
                <w:sz w:val="16"/>
                <w:szCs w:val="16"/>
                <w:color w:val="auto"/>
                <w:w w:val="97"/>
              </w:rPr>
              <w:t>File Number)</w:t>
            </w:r>
          </w:p>
        </w:tc>
        <w:tc>
          <w:tcPr>
            <w:tcW w:w="2720" w:type="dxa"/>
            <w:vAlign w:val="bottom"/>
          </w:tcPr>
          <w:p>
            <w:pPr>
              <w:jc w:val="center"/>
              <w:ind w:left="1418"/>
              <w:spacing w:after="0"/>
              <w:rPr>
                <w:sz w:val="20"/>
                <w:szCs w:val="20"/>
                <w:color w:val="auto"/>
              </w:rPr>
            </w:pPr>
            <w:r>
              <w:rPr>
                <w:rFonts w:ascii="Arial" w:cs="Arial" w:eastAsia="Arial" w:hAnsi="Arial"/>
                <w:sz w:val="16"/>
                <w:szCs w:val="16"/>
                <w:color w:val="auto"/>
                <w:w w:val="97"/>
              </w:rPr>
              <w:t>Identification No.)</w:t>
            </w:r>
          </w:p>
        </w:tc>
        <w:tc>
          <w:tcPr>
            <w:tcW w:w="0" w:type="dxa"/>
            <w:vAlign w:val="bottom"/>
          </w:tcPr>
          <w:p>
            <w:pPr>
              <w:spacing w:after="0"/>
              <w:rPr>
                <w:sz w:val="1"/>
                <w:szCs w:val="1"/>
                <w:color w:val="auto"/>
              </w:rPr>
            </w:pPr>
          </w:p>
        </w:tc>
      </w:tr>
      <w:tr>
        <w:trPr>
          <w:trHeight w:val="223"/>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3"/>
              </w:rPr>
              <w:t>200 Broadway, 3rd Floor</w:t>
            </w:r>
          </w:p>
        </w:tc>
        <w:tc>
          <w:tcPr>
            <w:tcW w:w="2180" w:type="dxa"/>
            <w:vAlign w:val="bottom"/>
          </w:tcPr>
          <w:p>
            <w:pPr>
              <w:spacing w:after="0"/>
              <w:rPr>
                <w:sz w:val="19"/>
                <w:szCs w:val="19"/>
                <w:color w:val="auto"/>
              </w:rPr>
            </w:pPr>
          </w:p>
        </w:tc>
        <w:tc>
          <w:tcPr>
            <w:tcW w:w="2720" w:type="dxa"/>
            <w:vAlign w:val="bottom"/>
            <w:vMerge w:val="restart"/>
          </w:tcPr>
          <w:p>
            <w:pPr>
              <w:jc w:val="right"/>
              <w:ind w:right="1178"/>
              <w:spacing w:after="0"/>
              <w:rPr>
                <w:sz w:val="20"/>
                <w:szCs w:val="20"/>
                <w:color w:val="auto"/>
              </w:rPr>
            </w:pPr>
            <w:r>
              <w:rPr>
                <w:rFonts w:ascii="Arial" w:cs="Arial" w:eastAsia="Arial" w:hAnsi="Arial"/>
                <w:sz w:val="16"/>
                <w:szCs w:val="16"/>
                <w:b w:val="1"/>
                <w:bCs w:val="1"/>
                <w:color w:val="auto"/>
              </w:rPr>
              <w:t>10038</w:t>
            </w:r>
          </w:p>
        </w:tc>
        <w:tc>
          <w:tcPr>
            <w:tcW w:w="0" w:type="dxa"/>
            <w:vAlign w:val="bottom"/>
          </w:tcPr>
          <w:p>
            <w:pPr>
              <w:spacing w:after="0"/>
              <w:rPr>
                <w:sz w:val="1"/>
                <w:szCs w:val="1"/>
                <w:color w:val="auto"/>
              </w:rPr>
            </w:pPr>
          </w:p>
        </w:tc>
      </w:tr>
      <w:tr>
        <w:trPr>
          <w:trHeight w:val="160"/>
        </w:trPr>
        <w:tc>
          <w:tcPr>
            <w:tcW w:w="34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5"/>
              </w:rPr>
              <w:t>New York, New York</w:t>
            </w:r>
          </w:p>
        </w:tc>
        <w:tc>
          <w:tcPr>
            <w:tcW w:w="218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440" w:type="dxa"/>
            <w:vAlign w:val="bottom"/>
          </w:tcPr>
          <w:p>
            <w:pPr>
              <w:jc w:val="center"/>
              <w:spacing w:after="0"/>
              <w:rPr>
                <w:sz w:val="20"/>
                <w:szCs w:val="20"/>
                <w:color w:val="auto"/>
              </w:rPr>
            </w:pPr>
            <w:r>
              <w:rPr>
                <w:rFonts w:ascii="Arial" w:cs="Arial" w:eastAsia="Arial" w:hAnsi="Arial"/>
                <w:sz w:val="16"/>
                <w:szCs w:val="16"/>
                <w:color w:val="auto"/>
                <w:w w:val="95"/>
              </w:rPr>
              <w:t>(Address of principal executive offices)</w:t>
            </w:r>
          </w:p>
        </w:tc>
        <w:tc>
          <w:tcPr>
            <w:tcW w:w="2180" w:type="dxa"/>
            <w:vAlign w:val="bottom"/>
          </w:tcPr>
          <w:p>
            <w:pPr>
              <w:spacing w:after="0"/>
              <w:rPr>
                <w:sz w:val="18"/>
                <w:szCs w:val="18"/>
                <w:color w:val="auto"/>
              </w:rPr>
            </w:pPr>
          </w:p>
        </w:tc>
        <w:tc>
          <w:tcPr>
            <w:tcW w:w="2720" w:type="dxa"/>
            <w:vAlign w:val="bottom"/>
          </w:tcPr>
          <w:p>
            <w:pPr>
              <w:jc w:val="center"/>
              <w:ind w:right="158"/>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ind w:right="-168"/>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332-3241</w:t>
      </w:r>
    </w:p>
    <w:p>
      <w:pPr>
        <w:spacing w:after="0" w:line="79" w:lineRule="exact"/>
        <w:rPr>
          <w:sz w:val="24"/>
          <w:szCs w:val="24"/>
          <w:color w:val="auto"/>
        </w:rPr>
      </w:pPr>
    </w:p>
    <w:p>
      <w:pPr>
        <w:jc w:val="center"/>
        <w:ind w:right="-168"/>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71" w:lineRule="exact"/>
        <w:rPr>
          <w:sz w:val="24"/>
          <w:szCs w:val="24"/>
          <w:color w:val="auto"/>
        </w:rPr>
      </w:pPr>
    </w:p>
    <w:p>
      <w:pPr>
        <w:jc w:val="center"/>
        <w:ind w:right="-168"/>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4"/>
          <w:szCs w:val="24"/>
          <w:color w:val="auto"/>
        </w:rPr>
      </w:pPr>
    </w:p>
    <w:tbl>
      <w:tblPr>
        <w:tblLayout w:type="fixed"/>
        <w:tblInd w:w="1049" w:type="dxa"/>
        <w:tblCellMar>
          <w:top w:w="0" w:type="dxa"/>
          <w:left w:w="0" w:type="dxa"/>
          <w:bottom w:w="0" w:type="dxa"/>
          <w:right w:w="0" w:type="dxa"/>
        </w:tblCellMar>
      </w:tblPr>
      <w:tr>
        <w:trPr>
          <w:trHeight w:val="156"/>
        </w:trPr>
        <w:tc>
          <w:tcPr>
            <w:tcW w:w="2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Trading Symbol(s)</w:t>
            </w:r>
          </w:p>
        </w:tc>
        <w:tc>
          <w:tcPr>
            <w:tcW w:w="264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57"/>
        </w:trPr>
        <w:tc>
          <w:tcPr>
            <w:tcW w:w="25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Common Stock, Par Value $0.0001 Per Share</w:t>
            </w:r>
          </w:p>
        </w:tc>
        <w:tc>
          <w:tcPr>
            <w:tcW w:w="120" w:type="dxa"/>
            <w:vAlign w:val="bottom"/>
          </w:tcPr>
          <w:p>
            <w:pPr>
              <w:spacing w:after="0"/>
              <w:rPr>
                <w:sz w:val="13"/>
                <w:szCs w:val="13"/>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AXSM</w:t>
            </w:r>
          </w:p>
        </w:tc>
        <w:tc>
          <w:tcPr>
            <w:tcW w:w="100" w:type="dxa"/>
            <w:vAlign w:val="bottom"/>
          </w:tcPr>
          <w:p>
            <w:pPr>
              <w:spacing w:after="0"/>
              <w:rPr>
                <w:sz w:val="13"/>
                <w:szCs w:val="13"/>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2399665</wp:posOffset>
            </wp:positionH>
            <wp:positionV relativeFrom="paragraph">
              <wp:posOffset>98425</wp:posOffset>
            </wp:positionV>
            <wp:extent cx="16052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5280" cy="7620"/>
                    </a:xfrm>
                    <a:prstGeom prst="rect">
                      <a:avLst/>
                    </a:prstGeom>
                    <a:noFill/>
                  </pic:spPr>
                </pic:pic>
              </a:graphicData>
            </a:graphic>
          </wp:anchor>
        </w:drawing>
      </w:r>
    </w:p>
    <w:p>
      <w:pPr>
        <w:spacing w:after="0" w:line="320" w:lineRule="exact"/>
        <w:rPr>
          <w:sz w:val="24"/>
          <w:szCs w:val="24"/>
          <w:color w:val="auto"/>
        </w:rPr>
      </w:pPr>
    </w:p>
    <w:p>
      <w:pPr>
        <w:ind w:left="9"/>
        <w:spacing w:after="0" w:line="241"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749" w:hanging="749"/>
        <w:spacing w:after="0"/>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4" w:lineRule="exact"/>
        <w:rPr>
          <w:rFonts w:ascii="MS PGothic" w:cs="MS PGothic" w:eastAsia="MS PGothic" w:hAnsi="MS PGothic"/>
          <w:sz w:val="16"/>
          <w:szCs w:val="16"/>
          <w:color w:val="auto"/>
        </w:rPr>
      </w:pPr>
    </w:p>
    <w:p>
      <w:pPr>
        <w:ind w:left="749" w:hanging="749"/>
        <w:spacing w:after="0"/>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4" w:lineRule="exact"/>
        <w:rPr>
          <w:rFonts w:ascii="MS PGothic" w:cs="MS PGothic" w:eastAsia="MS PGothic" w:hAnsi="MS PGothic"/>
          <w:sz w:val="16"/>
          <w:szCs w:val="16"/>
          <w:color w:val="auto"/>
        </w:rPr>
      </w:pPr>
    </w:p>
    <w:p>
      <w:pPr>
        <w:ind w:left="749" w:hanging="749"/>
        <w:spacing w:after="0"/>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4" w:lineRule="exact"/>
        <w:rPr>
          <w:rFonts w:ascii="MS PGothic" w:cs="MS PGothic" w:eastAsia="MS PGothic" w:hAnsi="MS PGothic"/>
          <w:sz w:val="16"/>
          <w:szCs w:val="16"/>
          <w:color w:val="auto"/>
        </w:rPr>
      </w:pPr>
    </w:p>
    <w:p>
      <w:pPr>
        <w:ind w:left="749" w:hanging="749"/>
        <w:spacing w:after="0"/>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37" w:lineRule="exact"/>
        <w:rPr>
          <w:sz w:val="24"/>
          <w:szCs w:val="24"/>
          <w:color w:val="auto"/>
        </w:rPr>
      </w:pPr>
    </w:p>
    <w:p>
      <w:pPr>
        <w:ind w:left="9" w:right="120"/>
        <w:spacing w:after="0" w:line="24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ind w:left="9"/>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5" w:lineRule="exact"/>
        <w:rPr>
          <w:sz w:val="24"/>
          <w:szCs w:val="24"/>
          <w:color w:val="auto"/>
        </w:rPr>
      </w:pPr>
    </w:p>
    <w:p>
      <w:pPr>
        <w:ind w:left="9" w:right="12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63969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69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90170</wp:posOffset>
            </wp:positionV>
            <wp:extent cx="639699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6990" cy="31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434975</wp:posOffset>
            </wp:positionV>
            <wp:extent cx="639699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6990" cy="23495"/>
                    </a:xfrm>
                    <a:prstGeom prst="rect">
                      <a:avLst/>
                    </a:prstGeom>
                    <a:noFill/>
                  </pic:spPr>
                </pic:pic>
              </a:graphicData>
            </a:graphic>
          </wp:anchor>
        </w:drawing>
      </w:r>
    </w:p>
    <w:p>
      <w:pPr>
        <w:sectPr>
          <w:pgSz w:w="11900" w:h="16838" w:orient="portrait"/>
          <w:cols w:equalWidth="0" w:num="1">
            <w:col w:w="9909"/>
          </w:cols>
          <w:pgMar w:left="911" w:top="345" w:right="1079" w:bottom="1440" w:gutter="0" w:footer="0" w:header="0"/>
        </w:sectPr>
      </w:pPr>
    </w:p>
    <w:bookmarkStart w:id="1" w:name="page2"/>
    <w:bookmarkEnd w:id="1"/>
    <w:p>
      <w:pPr>
        <w:ind w:left="9"/>
        <w:spacing w:after="0"/>
        <w:rPr>
          <w:sz w:val="20"/>
          <w:szCs w:val="20"/>
          <w:color w:val="auto"/>
        </w:rPr>
      </w:pPr>
      <w:r>
        <w:rPr>
          <w:rFonts w:ascii="Arial" w:cs="Arial" w:eastAsia="Arial" w:hAnsi="Arial"/>
          <w:sz w:val="16"/>
          <w:szCs w:val="16"/>
          <w:b w:val="1"/>
          <w:bCs w:val="1"/>
          <w:color w:val="auto"/>
        </w:rPr>
        <w:t>Item 8.01. Other Events.</w:t>
      </w:r>
    </w:p>
    <w:p>
      <w:pPr>
        <w:spacing w:after="0" w:line="142" w:lineRule="exact"/>
        <w:rPr>
          <w:sz w:val="20"/>
          <w:szCs w:val="20"/>
          <w:color w:val="auto"/>
        </w:rPr>
      </w:pPr>
    </w:p>
    <w:p>
      <w:pPr>
        <w:ind w:left="9" w:right="180" w:firstLine="592"/>
        <w:spacing w:after="0" w:line="248" w:lineRule="auto"/>
        <w:rPr>
          <w:sz w:val="20"/>
          <w:szCs w:val="20"/>
          <w:color w:val="auto"/>
        </w:rPr>
      </w:pPr>
      <w:r>
        <w:rPr>
          <w:rFonts w:ascii="Arial" w:cs="Arial" w:eastAsia="Arial" w:hAnsi="Arial"/>
          <w:sz w:val="15"/>
          <w:szCs w:val="15"/>
          <w:color w:val="auto"/>
        </w:rPr>
        <w:t>On December 30, 2019, Axsome Therapeutics, Inc. (the “Company”) issued a press release announcing that AXS-07 met the prespecified co-primary endpoints in the Company’s MOMENTUM Phase 3 trial in migraine patients with a history of inadequate response to prior acute treatments. The Company will host a conference call at 8:00 a.m. ET on December 30, 2019 to discuss the topline results of the MOMENTUM trial.</w:t>
      </w:r>
    </w:p>
    <w:p>
      <w:pPr>
        <w:spacing w:after="0" w:line="107" w:lineRule="exact"/>
        <w:rPr>
          <w:sz w:val="20"/>
          <w:szCs w:val="20"/>
          <w:color w:val="auto"/>
        </w:rPr>
      </w:pPr>
    </w:p>
    <w:p>
      <w:pPr>
        <w:ind w:left="9" w:right="440" w:firstLine="592"/>
        <w:spacing w:after="0" w:line="273" w:lineRule="auto"/>
        <w:rPr>
          <w:sz w:val="20"/>
          <w:szCs w:val="20"/>
          <w:color w:val="auto"/>
        </w:rPr>
      </w:pPr>
      <w:r>
        <w:rPr>
          <w:rFonts w:ascii="Arial" w:cs="Arial" w:eastAsia="Arial" w:hAnsi="Arial"/>
          <w:sz w:val="15"/>
          <w:szCs w:val="15"/>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8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37" w:lineRule="exact"/>
        <w:rPr>
          <w:sz w:val="20"/>
          <w:szCs w:val="20"/>
          <w:color w:val="auto"/>
        </w:rPr>
      </w:pPr>
    </w:p>
    <w:p>
      <w:pPr>
        <w:ind w:left="789" w:hanging="789"/>
        <w:spacing w:after="0"/>
        <w:tabs>
          <w:tab w:leader="none" w:pos="78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58" w:lineRule="exact"/>
        <w:rPr>
          <w:sz w:val="20"/>
          <w:szCs w:val="20"/>
          <w:color w:val="auto"/>
        </w:rPr>
      </w:pPr>
    </w:p>
    <w:tbl>
      <w:tblPr>
        <w:tblLayout w:type="fixed"/>
        <w:tblInd w:w="289"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tcPr>
          <w:p>
            <w:pPr>
              <w:ind w:left="124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r>
      <w:tr>
        <w:trPr>
          <w:trHeight w:val="301"/>
        </w:trPr>
        <w:tc>
          <w:tcPr>
            <w:tcW w:w="1040" w:type="dxa"/>
            <w:vAlign w:val="bottom"/>
            <w:gridSpan w:val="2"/>
          </w:tcPr>
          <w:p>
            <w:pPr>
              <w:spacing w:after="0"/>
              <w:rPr>
                <w:sz w:val="20"/>
                <w:szCs w:val="20"/>
                <w:color w:val="auto"/>
              </w:rPr>
            </w:pPr>
            <w:r>
              <w:rPr>
                <w:rFonts w:ascii="Arial" w:cs="Arial" w:eastAsia="Arial" w:hAnsi="Arial"/>
                <w:sz w:val="16"/>
                <w:szCs w:val="16"/>
                <w:color w:val="auto"/>
              </w:rPr>
              <w:t>99.1</w:t>
            </w:r>
          </w:p>
        </w:tc>
        <w:tc>
          <w:tcPr>
            <w:tcW w:w="280" w:type="dxa"/>
            <w:vAlign w:val="bottom"/>
          </w:tcPr>
          <w:p>
            <w:pPr>
              <w:spacing w:after="0"/>
              <w:rPr>
                <w:sz w:val="24"/>
                <w:szCs w:val="24"/>
                <w:color w:val="auto"/>
              </w:rPr>
            </w:pPr>
          </w:p>
        </w:tc>
        <w:tc>
          <w:tcPr>
            <w:tcW w:w="848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Press Release dated December 30, 2019.</w:t>
              </w:r>
            </w:hyperlink>
          </w:p>
        </w:tc>
      </w:tr>
      <w:tr>
        <w:trPr>
          <w:trHeight w:val="165"/>
        </w:trPr>
        <w:tc>
          <w:tcPr>
            <w:tcW w:w="1040" w:type="dxa"/>
            <w:vAlign w:val="bottom"/>
            <w:gridSpan w:val="2"/>
          </w:tcPr>
          <w:p>
            <w:pPr>
              <w:spacing w:after="0" w:line="165" w:lineRule="exact"/>
              <w:rPr>
                <w:sz w:val="20"/>
                <w:szCs w:val="20"/>
                <w:color w:val="auto"/>
              </w:rPr>
            </w:pPr>
            <w:r>
              <w:rPr>
                <w:rFonts w:ascii="Arial" w:cs="Arial" w:eastAsia="Arial" w:hAnsi="Arial"/>
                <w:sz w:val="16"/>
                <w:szCs w:val="16"/>
                <w:color w:val="auto"/>
              </w:rPr>
              <w:t>99.2</w:t>
            </w:r>
          </w:p>
        </w:tc>
        <w:tc>
          <w:tcPr>
            <w:tcW w:w="280" w:type="dxa"/>
            <w:vAlign w:val="bottom"/>
          </w:tcPr>
          <w:p>
            <w:pPr>
              <w:spacing w:after="0"/>
              <w:rPr>
                <w:sz w:val="14"/>
                <w:szCs w:val="14"/>
                <w:color w:val="auto"/>
              </w:rPr>
            </w:pPr>
          </w:p>
        </w:tc>
        <w:tc>
          <w:tcPr>
            <w:tcW w:w="2660" w:type="dxa"/>
            <w:vAlign w:val="bottom"/>
            <w:tcBorders>
              <w:top w:val="single" w:sz="8" w:color="0000EE"/>
            </w:tcBorders>
            <w:gridSpan w:val="2"/>
          </w:tcPr>
          <w:p>
            <w:pPr>
              <w:spacing w:after="0" w:line="165" w:lineRule="exact"/>
              <w:rPr>
                <w:rFonts w:ascii="Arial" w:cs="Arial" w:eastAsia="Arial" w:hAnsi="Arial"/>
                <w:sz w:val="16"/>
                <w:szCs w:val="16"/>
                <w:color w:val="0000EE"/>
              </w:rPr>
            </w:pPr>
            <w:hyperlink w:anchor="page10">
              <w:r>
                <w:rPr>
                  <w:rFonts w:ascii="Arial" w:cs="Arial" w:eastAsia="Arial" w:hAnsi="Arial"/>
                  <w:sz w:val="16"/>
                  <w:szCs w:val="16"/>
                  <w:color w:val="0000EE"/>
                </w:rPr>
                <w:t>MOMENTUM Presentation.</w:t>
              </w:r>
            </w:hyperlink>
          </w:p>
        </w:tc>
        <w:tc>
          <w:tcPr>
            <w:tcW w:w="58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416560</wp:posOffset>
            </wp:positionV>
            <wp:extent cx="639699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96990" cy="23495"/>
                    </a:xfrm>
                    <a:prstGeom prst="rect">
                      <a:avLst/>
                    </a:prstGeom>
                    <a:noFill/>
                  </pic:spPr>
                </pic:pic>
              </a:graphicData>
            </a:graphic>
          </wp:anchor>
        </w:drawing>
      </w:r>
    </w:p>
    <w:p>
      <w:pPr>
        <w:sectPr>
          <w:pgSz w:w="11900" w:h="16838" w:orient="portrait"/>
          <w:cols w:equalWidth="0" w:num="1">
            <w:col w:w="10089"/>
          </w:cols>
          <w:pgMar w:left="911" w:top="11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42" w:lineRule="exact"/>
        <w:rPr>
          <w:sz w:val="20"/>
          <w:szCs w:val="20"/>
          <w:color w:val="auto"/>
        </w:rPr>
      </w:pPr>
    </w:p>
    <w:p>
      <w:pPr>
        <w:ind w:right="120" w:firstLine="592"/>
        <w:spacing w:after="0" w:line="24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6700" w:type="dxa"/>
            <w:vAlign w:val="bottom"/>
            <w:gridSpan w:val="3"/>
          </w:tcPr>
          <w:p>
            <w:pPr>
              <w:ind w:left="1660"/>
              <w:spacing w:after="0"/>
              <w:rPr>
                <w:sz w:val="20"/>
                <w:szCs w:val="20"/>
                <w:color w:val="auto"/>
              </w:rPr>
            </w:pPr>
            <w:r>
              <w:rPr>
                <w:rFonts w:ascii="Arial" w:cs="Arial" w:eastAsia="Arial" w:hAnsi="Arial"/>
                <w:sz w:val="16"/>
                <w:szCs w:val="16"/>
                <w:b w:val="1"/>
                <w:bCs w:val="1"/>
                <w:color w:val="auto"/>
              </w:rPr>
              <w:t>Axsome Therapeutics, Inc.</w:t>
            </w:r>
          </w:p>
        </w:tc>
        <w:tc>
          <w:tcPr>
            <w:tcW w:w="0" w:type="dxa"/>
            <w:vAlign w:val="bottom"/>
          </w:tcPr>
          <w:p>
            <w:pPr>
              <w:spacing w:after="0"/>
              <w:rPr>
                <w:sz w:val="1"/>
                <w:szCs w:val="1"/>
                <w:color w:val="auto"/>
              </w:rPr>
            </w:pPr>
          </w:p>
        </w:tc>
      </w:tr>
      <w:tr>
        <w:trPr>
          <w:trHeight w:val="433"/>
        </w:trPr>
        <w:tc>
          <w:tcPr>
            <w:tcW w:w="3380" w:type="dxa"/>
            <w:vAlign w:val="bottom"/>
          </w:tcPr>
          <w:p>
            <w:pPr>
              <w:spacing w:after="0"/>
              <w:rPr>
                <w:sz w:val="20"/>
                <w:szCs w:val="20"/>
                <w:color w:val="auto"/>
              </w:rPr>
            </w:pPr>
            <w:r>
              <w:rPr>
                <w:rFonts w:ascii="Arial" w:cs="Arial" w:eastAsia="Arial" w:hAnsi="Arial"/>
                <w:sz w:val="16"/>
                <w:szCs w:val="16"/>
                <w:color w:val="auto"/>
              </w:rPr>
              <w:t>Dated: December 30, 2019</w:t>
            </w:r>
          </w:p>
        </w:tc>
        <w:tc>
          <w:tcPr>
            <w:tcW w:w="2100" w:type="dxa"/>
            <w:vAlign w:val="bottom"/>
            <w:gridSpan w:val="2"/>
          </w:tcPr>
          <w:p>
            <w:pPr>
              <w:ind w:left="1660"/>
              <w:spacing w:after="0"/>
              <w:rPr>
                <w:sz w:val="20"/>
                <w:szCs w:val="20"/>
                <w:color w:val="auto"/>
              </w:rPr>
            </w:pPr>
            <w:r>
              <w:rPr>
                <w:rFonts w:ascii="Arial" w:cs="Arial" w:eastAsia="Arial" w:hAnsi="Arial"/>
                <w:sz w:val="16"/>
                <w:szCs w:val="16"/>
                <w:color w:val="auto"/>
              </w:rPr>
              <w:t>By:</w:t>
            </w:r>
          </w:p>
        </w:tc>
        <w:tc>
          <w:tcPr>
            <w:tcW w:w="4600" w:type="dxa"/>
            <w:vAlign w:val="bottom"/>
          </w:tcPr>
          <w:p>
            <w:pPr>
              <w:spacing w:after="0"/>
              <w:rPr>
                <w:sz w:val="20"/>
                <w:szCs w:val="20"/>
                <w:color w:val="auto"/>
              </w:rPr>
            </w:pPr>
            <w:r>
              <w:rPr>
                <w:rFonts w:ascii="Arial" w:cs="Arial" w:eastAsia="Arial" w:hAnsi="Arial"/>
                <w:sz w:val="16"/>
                <w:szCs w:val="16"/>
                <w:color w:val="auto"/>
              </w:rPr>
              <w:t>/s/ Herriot Tabuteau, M.D.</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060" w:type="dxa"/>
            <w:vAlign w:val="bottom"/>
            <w:vMerge w:val="restart"/>
          </w:tcPr>
          <w:p>
            <w:pPr>
              <w:ind w:left="1660"/>
              <w:spacing w:after="0" w:line="173" w:lineRule="exact"/>
              <w:rPr>
                <w:sz w:val="20"/>
                <w:szCs w:val="20"/>
                <w:color w:val="auto"/>
              </w:rPr>
            </w:pPr>
            <w:r>
              <w:rPr>
                <w:rFonts w:ascii="Arial" w:cs="Arial" w:eastAsia="Arial" w:hAnsi="Arial"/>
                <w:sz w:val="16"/>
                <w:szCs w:val="16"/>
                <w:color w:val="auto"/>
                <w:w w:val="80"/>
              </w:rPr>
              <w:t>Name:</w:t>
            </w:r>
          </w:p>
        </w:tc>
        <w:tc>
          <w:tcPr>
            <w:tcW w:w="4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600" w:type="dxa"/>
            <w:vAlign w:val="bottom"/>
          </w:tcPr>
          <w:p>
            <w:pPr>
              <w:ind w:left="180"/>
              <w:spacing w:after="0" w:line="128" w:lineRule="exact"/>
              <w:rPr>
                <w:sz w:val="20"/>
                <w:szCs w:val="20"/>
                <w:color w:val="auto"/>
              </w:rPr>
            </w:pPr>
            <w:r>
              <w:rPr>
                <w:rFonts w:ascii="Arial" w:cs="Arial" w:eastAsia="Arial" w:hAnsi="Arial"/>
                <w:sz w:val="14"/>
                <w:szCs w:val="14"/>
                <w:color w:val="auto"/>
              </w:rPr>
              <w:t>Herriot Tabuteau, M.D.</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2100" w:type="dxa"/>
            <w:vAlign w:val="bottom"/>
            <w:gridSpan w:val="2"/>
          </w:tcPr>
          <w:p>
            <w:pPr>
              <w:ind w:left="1660"/>
              <w:spacing w:after="0"/>
              <w:rPr>
                <w:sz w:val="20"/>
                <w:szCs w:val="20"/>
                <w:color w:val="auto"/>
              </w:rPr>
            </w:pPr>
            <w:r>
              <w:rPr>
                <w:rFonts w:ascii="Arial" w:cs="Arial" w:eastAsia="Arial" w:hAnsi="Arial"/>
                <w:sz w:val="16"/>
                <w:szCs w:val="16"/>
                <w:color w:val="auto"/>
              </w:rPr>
              <w:t>Title:</w:t>
            </w:r>
          </w:p>
        </w:tc>
        <w:tc>
          <w:tcPr>
            <w:tcW w:w="4600" w:type="dxa"/>
            <w:vAlign w:val="bottom"/>
          </w:tcPr>
          <w:p>
            <w:pPr>
              <w:ind w:left="18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73"/>
        </w:trPr>
        <w:tc>
          <w:tcPr>
            <w:tcW w:w="3380" w:type="dxa"/>
            <w:vAlign w:val="bottom"/>
          </w:tcPr>
          <w:p>
            <w:pPr>
              <w:spacing w:after="0"/>
              <w:rPr>
                <w:sz w:val="23"/>
                <w:szCs w:val="23"/>
                <w:color w:val="auto"/>
              </w:rPr>
            </w:pPr>
          </w:p>
        </w:tc>
        <w:tc>
          <w:tcPr>
            <w:tcW w:w="2060" w:type="dxa"/>
            <w:vAlign w:val="bottom"/>
          </w:tcPr>
          <w:p>
            <w:pPr>
              <w:ind w:left="162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10"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307465" cy="438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7465" cy="43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line="284" w:lineRule="auto"/>
        <w:rPr>
          <w:sz w:val="20"/>
          <w:szCs w:val="20"/>
          <w:color w:val="auto"/>
        </w:rPr>
      </w:pPr>
      <w:r>
        <w:rPr>
          <w:rFonts w:ascii="Arial" w:cs="Arial" w:eastAsia="Arial" w:hAnsi="Arial"/>
          <w:sz w:val="16"/>
          <w:szCs w:val="16"/>
          <w:b w:val="1"/>
          <w:bCs w:val="1"/>
          <w:color w:val="auto"/>
        </w:rPr>
        <w:t>Axsome Therapeutics Announces AXS-07 Achieves Co-Primary and Key Secondary Endpoints in MOMENTUM Phase 3 Migraine Trial in Patients with History of Inadequate Response</w:t>
      </w:r>
    </w:p>
    <w:p>
      <w:pPr>
        <w:spacing w:after="0" w:line="99" w:lineRule="exact"/>
        <w:rPr>
          <w:sz w:val="20"/>
          <w:szCs w:val="20"/>
          <w:color w:val="auto"/>
        </w:rPr>
      </w:pPr>
    </w:p>
    <w:p>
      <w:pPr>
        <w:jc w:val="center"/>
        <w:spacing w:after="0" w:line="278" w:lineRule="auto"/>
        <w:rPr>
          <w:sz w:val="20"/>
          <w:szCs w:val="20"/>
          <w:color w:val="auto"/>
        </w:rPr>
      </w:pPr>
      <w:r>
        <w:rPr>
          <w:rFonts w:ascii="Arial" w:cs="Arial" w:eastAsia="Arial" w:hAnsi="Arial"/>
          <w:sz w:val="16"/>
          <w:szCs w:val="16"/>
          <w:i w:val="1"/>
          <w:iCs w:val="1"/>
          <w:color w:val="auto"/>
        </w:rPr>
        <w:t>Demonstrated statistical significance on regulatory co-primary endpoints of pain freedom (p&lt;0.001) and freedom from most bothersome symptom (p=0.002) at 2 hours, compared to placebo</w:t>
      </w:r>
    </w:p>
    <w:p>
      <w:pPr>
        <w:spacing w:after="0" w:line="116" w:lineRule="exact"/>
        <w:rPr>
          <w:sz w:val="20"/>
          <w:szCs w:val="20"/>
          <w:color w:val="auto"/>
        </w:rPr>
      </w:pPr>
    </w:p>
    <w:p>
      <w:pPr>
        <w:jc w:val="center"/>
        <w:ind w:right="20"/>
        <w:spacing w:after="0" w:line="278" w:lineRule="auto"/>
        <w:rPr>
          <w:sz w:val="20"/>
          <w:szCs w:val="20"/>
          <w:color w:val="auto"/>
        </w:rPr>
      </w:pPr>
      <w:r>
        <w:rPr>
          <w:rFonts w:ascii="Arial" w:cs="Arial" w:eastAsia="Arial" w:hAnsi="Arial"/>
          <w:sz w:val="16"/>
          <w:szCs w:val="16"/>
          <w:i w:val="1"/>
          <w:iCs w:val="1"/>
          <w:color w:val="auto"/>
        </w:rPr>
        <w:t>Demonstrated superiority to rizatriptan active comparator on key secondary endpoint of sustained pain freedom 2-24 hours after dosing (p=0.038)</w:t>
      </w:r>
    </w:p>
    <w:p>
      <w:pPr>
        <w:spacing w:after="0" w:line="104" w:lineRule="exact"/>
        <w:rPr>
          <w:sz w:val="20"/>
          <w:szCs w:val="20"/>
          <w:color w:val="auto"/>
        </w:rPr>
      </w:pPr>
    </w:p>
    <w:p>
      <w:pPr>
        <w:jc w:val="center"/>
        <w:ind w:right="20"/>
        <w:spacing w:after="0" w:line="459" w:lineRule="auto"/>
        <w:rPr>
          <w:sz w:val="20"/>
          <w:szCs w:val="20"/>
          <w:color w:val="auto"/>
        </w:rPr>
      </w:pPr>
      <w:r>
        <w:rPr>
          <w:rFonts w:ascii="Arial" w:cs="Arial" w:eastAsia="Arial" w:hAnsi="Arial"/>
          <w:sz w:val="16"/>
          <w:szCs w:val="16"/>
          <w:i w:val="1"/>
          <w:iCs w:val="1"/>
          <w:color w:val="auto"/>
        </w:rPr>
        <w:t>Demonstrated greater and more sustained migraine pain relief than rizatriptan (p=0.006) Rapidly relieved migraine pain; significantly reduced use of rescue medication compared to rizatriptan (p&lt;0.001) Positive results support NDA filing of AXS-07 in the acute treatment of migraine, anticipated in 2H 2020 Company to host conference call today at 8:00 AM ET</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NEW YORK, December 30, 2019 (Globe Newswire) – Axsome Therapeutics, Inc. (NASDAQ: AXSM), a clinical-stage biopharmaceutical company developing novel therapies for the management of central nervous system (CNS) disorders, today announced that AXS-07, Axsome’s novel, oral, multi-mechanistic investigational medicine for the acute treatment of migraine, met the two regulatory co-primary endpoints and significantly improved migraine pain and most bothersome symptoms as compared to placebo in the MOMENTUM Phase 3 trial. AXS-07 also met the key secondary endpoint, demonstrating statistically significant superiority to the active comparator rizatriptan on sustained freedom from migraine pain.</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MOMENTUM was a randomized, double-blind, placebo- and active-controlled trial which enrolled only patients with a history of inadequate response to prior acute migraine treatments, assessed using the Migraine Treatment Optimization Questionnaire (mTOQ-4). A total of 1,594 patients were randomized in a 2:2:2:1 ratio to AXS-07 (20 mg MoSEIC™ meloxicam/10 mg rizatriptan), rizatriptan (10 mg), MoSEIC™ meloxicam (20 mg), or placebo, to treat a single migraine attack of moderate or severe intensity. In addition to a history of inadequate response, enrolled patients exhibited a high rate of characteristics that are strongly associated with poor treatment outcomes including cutaneous allodynia (75.4%), severe migraine pain intensity (41.2%), obesity (43.7%), and morning migraine (36.6%). The study was conducted pursuant to a U.S. Food and Drug Administration (FDA) Special Protocol Assessment (SPA). Rizatriptan, an active comparator in the trial, is considered to be the fastest acting oral triptan and one of the most effective medications currently available for the acute treatment of migraine [1].</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AXS-07 met the two regulatory co-primary endpoints by demonstrating, with high statistical significance, a greater percentage of patients as compared to placebo achieving pain freedom (19.9% versus 6.7%, p&lt;0.001) and absence of most bothersome symptom (36.9% versus 24.4%, p=0.002), 2 hours after dosing. Superiority of AXS-07 to rizatriptan and MoSEIC™ meloxicam (component contribution) was established as specified in the SPA, by demonstration of a greater percentage of AXS-07 patients achieving sustained pain freedom from 2 to 24 hours after dosing, compared to rizatriptan and MoSEIC™ meloxicam, as well as to placebo (16.1%, 11.2%, 8.8% and 5.3%, respectively; p=0.038, p=0.001, and p&lt;0.001, respectively versus AXS-07). The positive results on both co-primary endpoints along with the demonstration of component contribution support the filing of an NDA for AXS-07 in the acute treatment of migraine.</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AXS-07 provided substantially greater and more sustained migraine pain relief compared to placebo and rizatriptan, which translated to a significant reduction in rescue medication use for AXS-07 compared to placebo and rizatriptan. The percentage of patients experiencing sustained pain relief from 2 to 24 hours after dosing was 53.3% for AXS-07, compared to 33.5% for placebo and 43.9% for rizatriptan (p&lt;0.001, p=0.006, respectively versus AXS-07). Sustained pain relief from 2 to 48 hours was also experienced by a statistically significantly greater proportion of AXS-07 patients (46.5%), compared to placebo (31.1%) and rizatriptan (36.5%) patients (p&lt;0.001, p=0.003, respectively versus AXS-07). Rescue medication was used by 23.0% of AXS-07 patients, compared to 43.5% of placebo and 34.7% of rizatriptan patients (p&lt;0.001 for each group versus AXS-07).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327025</wp:posOffset>
            </wp:positionV>
            <wp:extent cx="639699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6990" cy="15875"/>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16"/>
          <w:szCs w:val="16"/>
          <w:color w:val="auto"/>
        </w:rPr>
        <w:t>AXS-07 provided rapid relief of migraine pain with the percentage of patients achieving pain relief with AXS-07 being numerically greater than with rizatriptan at every time point measured starting at 15 minutes, and statistically significantly greater than with rizatriptan by 60 minutes (p=0.04). The proportions of patients experiencing pain relief 1.5 hours after dosing were 60.5% for AXS-07 compared to 52.5% for rizatriptan and 48.3% for placebo (p=0.019, p=0.004, respectively versus AXS-07). AXS-07 was statistically significantly superior to rizatriptan on several other secondary endpoints including Patient Global Impression of Change (PGI-C) (p=0.022), and return to normal functioning at 24 hours (p=0.027).</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MOMENTUM trial, AXS-07 provided greater and more lasting migraine pain relief than rizatriptan. Given that rizatriptan is one of the most effective triptans and that the study enrolled patients with difficult-to-treat migraine, this finding is impressive” said Richard B. Lipton, M.D., Professor and Vice Chair of Neurology, and Director of the Montefiore Headache Center, at the Albert Einstein College of Medicine. “Many patients experience a suboptimal response to their current acute migraine treatments, placing them at increased risk of headache related disability and progression to chronic migraine, factors associated with increased healthcare costs. The results of this study suggest that AXS-07 may provide an important treatment option for people with difficult-to-treat migraine.”</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AXS-07 was safe and well tolerated in the trial. The most commonly reported adverse events with AXS-07 were nausea, dizziness and somnolence, none of which occurred at a rate greater than placebo or greater than 3%. There was one serious adverse event in the AXS-07 arm which was deemed by the investigator not to be related to study drug.</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results of MOMENTUM demonstrate the ability of AXS-07 to provide unique benefits to migraine patients, with fast, strong, and durable relief of migraine pain as compared to a potent active comparator in a stringently designed trial enriched with patients with difficult-to-treat migraine,” said Herriot Tabuteau, MD, Chief Executive Officer of Axsome. “These data have potentially important implications for patient care based on the high rate of inadequate response to and patient dissatisfaction with current treatments. With these positive results, we look forward to filing an NDA for AXS-07 in the acute treatment of migraine in 2020.”</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MOMENTUM study was conducted pursuant to an SPA with the FDA. The SPA provides agreement that the overall MOMENTUM trial design (e.g., entry criteria, dose selection, endpoints) and planned analysis adequately address objectives that, if met, will support the regulatory submission for approval of AXS-07 for the indication of acute treatment of migraine in adults with or without aura. Based on FDA feedback, Axsome believes that MOMENTUM will be the only efficacy trial required to support an NDA filing for AXS-07 for the acute treatment of migraine. Axsome plans to file the NDA in the second half of 2020.</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World Health Organization categorizes the disability from severe migraine attacks on the same level as that from quadriplegia, dementia, and acute psychosis. The debilitating pain of migraine damages family life, social life and employment,” said Cedric O’Gorman, MD, Senior Vice President of Clinical Development and Medical Affairs of Axsome. “AXS-07 incorporates multiple mechanisms of action to address various migraine processes with the goal of providing enhanced effectiveness. The results of the MOMENTUM trial validate this approach, demonstrating that AXS-07 can provide significant benefit that is greater than that of currently available treatment, even in patients with difficult-to-treat migraine.”</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AXS-07 is a novel, oral, rapidly absorbed, multi-mechanistic investigational medicine for the acute treatment of migraine, consisting of MoSEIC™ meloxicam and rizatriptan. AXS-07 is thought to act by inhibiting CGRP release, reversing CGRP-mediated vasodilation, and inhibiting neuro-inflammation, pain signal transmission, and central sensitization. Axsome’s MoSEIC™ technology significantly increases the speed of absorption of the meloxicam component after oral administration while maintaining a long plasma half-life. AXS-07 is covered by 21 issued U.S. and international patents providing protection out to 2036, and Axsome maintains worldwide rights.</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Detailed study results, including additional secondary endpoints, will be submitted for presentation at upcoming medical meetings and for publication. AXS-07 is also being evaluated in the INTERCEPT Phase 3 trial which is a randomized, double-blind, placebo-controlled study evaluating the early treatment of migraine with AXS-07. In contrast to the ongoing MOMENTUM trial in which patients with a history of inadequate response treated migraine attacks once they have become of moderate or severe intensity, in the INTERCEPT trial, patients are to administer AXS-07 at the earliest sign of migraine pain.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327025</wp:posOffset>
            </wp:positionV>
            <wp:extent cx="639699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6990" cy="23495"/>
                    </a:xfrm>
                    <a:prstGeom prst="rect">
                      <a:avLst/>
                    </a:prstGeom>
                    <a:noFill/>
                  </pic:spPr>
                </pic:pic>
              </a:graphicData>
            </a:graphic>
          </wp:anchor>
        </w:drawing>
      </w:r>
    </w:p>
    <w:p>
      <w:pPr>
        <w:sectPr>
          <w:pgSz w:w="11900" w:h="16838" w:orient="portrait"/>
          <w:cols w:equalWidth="0" w:num="1">
            <w:col w:w="10080"/>
          </w:cols>
          <w:pgMar w:left="920" w:top="324" w:right="8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Summary of Topline Results of the MOMENTUM Trial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 Population</w:t>
      </w:r>
    </w:p>
    <w:p>
      <w:pPr>
        <w:spacing w:after="0" w:line="190" w:lineRule="exact"/>
        <w:rPr>
          <w:sz w:val="20"/>
          <w:szCs w:val="20"/>
          <w:color w:val="auto"/>
        </w:rPr>
      </w:pPr>
    </w:p>
    <w:p>
      <w:pPr>
        <w:jc w:val="both"/>
        <w:ind w:left="280" w:right="20" w:firstLine="46"/>
        <w:spacing w:after="0" w:line="274" w:lineRule="auto"/>
        <w:rPr>
          <w:sz w:val="20"/>
          <w:szCs w:val="20"/>
          <w:color w:val="auto"/>
        </w:rPr>
      </w:pPr>
      <w:r>
        <w:rPr>
          <w:rFonts w:ascii="Arial" w:cs="Arial" w:eastAsia="Arial" w:hAnsi="Arial"/>
          <w:sz w:val="16"/>
          <w:szCs w:val="16"/>
          <w:color w:val="auto"/>
        </w:rPr>
        <w:t>All enrolled patients had a history of inadequate response to prior acute migraine treatments, assessed using the Migraine Treatment Optimization Questionnaire (mTOQ-4), with an average score of 3.6, corresponding to poor response to prior acute treatments.</w:t>
      </w:r>
    </w:p>
    <w:p>
      <w:pPr>
        <w:spacing w:after="0" w:line="122" w:lineRule="exact"/>
        <w:rPr>
          <w:sz w:val="20"/>
          <w:szCs w:val="20"/>
          <w:color w:val="auto"/>
        </w:rPr>
      </w:pPr>
    </w:p>
    <w:p>
      <w:pPr>
        <w:jc w:val="both"/>
        <w:ind w:left="280" w:firstLine="109"/>
        <w:spacing w:after="0" w:line="257" w:lineRule="auto"/>
        <w:rPr>
          <w:sz w:val="20"/>
          <w:szCs w:val="20"/>
          <w:color w:val="auto"/>
        </w:rPr>
      </w:pPr>
      <w:r>
        <w:rPr>
          <w:rFonts w:ascii="Arial" w:cs="Arial" w:eastAsia="Arial" w:hAnsi="Arial"/>
          <w:sz w:val="16"/>
          <w:szCs w:val="16"/>
          <w:color w:val="auto"/>
        </w:rPr>
        <w:t>Enrolled patients exhibited a high rate of characteristics that are strongly associated with poor treatment outcomes including [2-4]: presence of cutaneous allodynia (pain from normally non-painful stimuli such as brushing hair, wearing glasses, taking a shower) in 75.4%, severe migraine pain intensity in 41.2%, obesity in 43.7%, and morning migraine in 36.6%.</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Regulatory Endpoints</w:t>
      </w:r>
    </w:p>
    <w:p>
      <w:pPr>
        <w:spacing w:after="0" w:line="190" w:lineRule="exact"/>
        <w:rPr>
          <w:sz w:val="20"/>
          <w:szCs w:val="20"/>
          <w:color w:val="auto"/>
        </w:rPr>
      </w:pPr>
    </w:p>
    <w:p>
      <w:pPr>
        <w:jc w:val="both"/>
        <w:ind w:left="280" w:firstLine="180"/>
        <w:spacing w:after="0" w:line="257" w:lineRule="auto"/>
        <w:rPr>
          <w:sz w:val="20"/>
          <w:szCs w:val="20"/>
          <w:color w:val="auto"/>
        </w:rPr>
      </w:pPr>
      <w:r>
        <w:rPr>
          <w:rFonts w:ascii="Arial" w:cs="Arial" w:eastAsia="Arial" w:hAnsi="Arial"/>
          <w:sz w:val="16"/>
          <w:szCs w:val="16"/>
          <w:color w:val="auto"/>
        </w:rPr>
        <w:t>AXS-07 demonstrated a greater percentage of patients as compared to placebo achieving pain freedom (19.9% versus 6.7%, p&lt;0.001) and absence of most bothersome symptom (36.9% versus 24.4%, p=0.002), 2 hours after dosing, the two regulatory co-primary endpoints.</w:t>
      </w:r>
    </w:p>
    <w:p>
      <w:pPr>
        <w:spacing w:after="0" w:line="136" w:lineRule="exact"/>
        <w:rPr>
          <w:sz w:val="20"/>
          <w:szCs w:val="20"/>
          <w:color w:val="auto"/>
        </w:rPr>
      </w:pPr>
    </w:p>
    <w:p>
      <w:pPr>
        <w:jc w:val="both"/>
        <w:ind w:left="280" w:right="20" w:firstLine="121"/>
        <w:spacing w:after="0" w:line="257" w:lineRule="auto"/>
        <w:rPr>
          <w:sz w:val="20"/>
          <w:szCs w:val="20"/>
          <w:color w:val="auto"/>
        </w:rPr>
      </w:pPr>
      <w:r>
        <w:rPr>
          <w:rFonts w:ascii="Arial" w:cs="Arial" w:eastAsia="Arial" w:hAnsi="Arial"/>
          <w:sz w:val="16"/>
          <w:szCs w:val="16"/>
          <w:color w:val="auto"/>
        </w:rPr>
        <w:t>AXS-07 demonstrated superiority to rizatriptan and MoSEIC™ meloxicam on the percentage of patients achieving sustained pain freedom from 2 to 24 hours after dosing (16.1%, 11.2%, and 8.8%, respectively; p=0.038, p=0.001, respectively versus AXS-07), the pre-specified key secondary endpoint to demonstrate component contribution.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Relief of Migraine Pain and Rescue Medication Use</w:t>
      </w:r>
    </w:p>
    <w:p>
      <w:pPr>
        <w:spacing w:after="0" w:line="190" w:lineRule="exact"/>
        <w:rPr>
          <w:sz w:val="20"/>
          <w:szCs w:val="20"/>
          <w:color w:val="auto"/>
        </w:rPr>
      </w:pPr>
    </w:p>
    <w:p>
      <w:pPr>
        <w:jc w:val="both"/>
        <w:ind w:left="280" w:firstLine="59"/>
        <w:spacing w:after="0" w:line="274" w:lineRule="auto"/>
        <w:rPr>
          <w:sz w:val="20"/>
          <w:szCs w:val="20"/>
          <w:color w:val="auto"/>
        </w:rPr>
      </w:pPr>
      <w:r>
        <w:rPr>
          <w:rFonts w:ascii="Arial" w:cs="Arial" w:eastAsia="Arial" w:hAnsi="Arial"/>
          <w:sz w:val="16"/>
          <w:szCs w:val="16"/>
          <w:color w:val="auto"/>
        </w:rPr>
        <w:t>Sustained pain relief from 2 to 24 hours after dosing was experienced by 53.3% of patients treated with AXS-07, compared to 33.5% with placebo and 43.9% with rizatriptan (p&lt;0.001, p=0.006, respectively versus AXS-07).</w:t>
      </w:r>
    </w:p>
    <w:p>
      <w:pPr>
        <w:spacing w:after="0" w:line="122" w:lineRule="exact"/>
        <w:rPr>
          <w:sz w:val="20"/>
          <w:szCs w:val="20"/>
          <w:color w:val="auto"/>
        </w:rPr>
      </w:pPr>
    </w:p>
    <w:p>
      <w:pPr>
        <w:jc w:val="both"/>
        <w:ind w:left="280" w:firstLine="59"/>
        <w:spacing w:after="0" w:line="274" w:lineRule="auto"/>
        <w:rPr>
          <w:sz w:val="20"/>
          <w:szCs w:val="20"/>
          <w:color w:val="auto"/>
        </w:rPr>
      </w:pPr>
      <w:r>
        <w:rPr>
          <w:rFonts w:ascii="Arial" w:cs="Arial" w:eastAsia="Arial" w:hAnsi="Arial"/>
          <w:sz w:val="16"/>
          <w:szCs w:val="16"/>
          <w:color w:val="auto"/>
        </w:rPr>
        <w:t>Sustained pain relief from 2 to 48 hours after dosing was experienced by 46.5% of patients treated with AXS-07, compared to 31.1% with placebo and 36.5% with rizatriptan (p&lt;0.001, p=0.003, respectively versus AXS-07).</w:t>
      </w:r>
    </w:p>
    <w:p>
      <w:pPr>
        <w:spacing w:after="0" w:line="122" w:lineRule="exact"/>
        <w:rPr>
          <w:sz w:val="20"/>
          <w:szCs w:val="20"/>
          <w:color w:val="auto"/>
        </w:rPr>
      </w:pPr>
    </w:p>
    <w:p>
      <w:pPr>
        <w:jc w:val="both"/>
        <w:ind w:left="280" w:firstLine="41"/>
        <w:spacing w:after="0" w:line="274" w:lineRule="auto"/>
        <w:rPr>
          <w:sz w:val="20"/>
          <w:szCs w:val="20"/>
          <w:color w:val="auto"/>
        </w:rPr>
      </w:pPr>
      <w:r>
        <w:rPr>
          <w:rFonts w:ascii="Arial" w:cs="Arial" w:eastAsia="Arial" w:hAnsi="Arial"/>
          <w:sz w:val="16"/>
          <w:szCs w:val="16"/>
          <w:color w:val="auto"/>
        </w:rPr>
        <w:t>Rescue medication was used by 23.0% of AXS-07 patients, compared to 43.5% of placebo and 34.7% of rizatriptan patients (p&lt;0.001 for each group versus AXS-07).</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Effects of AXS-07 versus Rizatriptan</w:t>
      </w:r>
    </w:p>
    <w:p>
      <w:pPr>
        <w:spacing w:after="0" w:line="177" w:lineRule="exact"/>
        <w:rPr>
          <w:sz w:val="20"/>
          <w:szCs w:val="20"/>
          <w:color w:val="auto"/>
        </w:rPr>
      </w:pPr>
    </w:p>
    <w:p>
      <w:pPr>
        <w:jc w:val="both"/>
        <w:ind w:left="280" w:firstLine="27"/>
        <w:spacing w:after="0" w:line="257" w:lineRule="auto"/>
        <w:rPr>
          <w:sz w:val="20"/>
          <w:szCs w:val="20"/>
          <w:color w:val="auto"/>
        </w:rPr>
      </w:pPr>
      <w:r>
        <w:rPr>
          <w:rFonts w:ascii="Arial" w:cs="Arial" w:eastAsia="Arial" w:hAnsi="Arial"/>
          <w:sz w:val="16"/>
          <w:szCs w:val="16"/>
          <w:color w:val="auto"/>
        </w:rPr>
        <w:t>AXS-07 rapidly relieved migraine pain with the percentage of patients achieving pain relief with AXS-07 being numerically greater than with rizatriptan at every time point measured starting at 15 minutes, and statistically significantly greater than with rizatriptan by 60 minutes (p=0.04).</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AXS-07 was statistically superior to rizatriptan on sustained pain relief from 2 to 24 hours (p=0.006) and from 2 to 48 hours (p=0.003).</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AXS-07 resulted in significantly less rescue medication use than rizatriptan (p&lt;0.001).</w:t>
      </w:r>
    </w:p>
    <w:p>
      <w:pPr>
        <w:spacing w:after="0" w:line="174" w:lineRule="exact"/>
        <w:rPr>
          <w:sz w:val="20"/>
          <w:szCs w:val="20"/>
          <w:color w:val="auto"/>
        </w:rPr>
      </w:pPr>
    </w:p>
    <w:p>
      <w:pPr>
        <w:jc w:val="both"/>
        <w:ind w:left="280" w:firstLine="177"/>
        <w:spacing w:after="0" w:line="274" w:lineRule="auto"/>
        <w:rPr>
          <w:sz w:val="20"/>
          <w:szCs w:val="20"/>
          <w:color w:val="auto"/>
        </w:rPr>
      </w:pPr>
      <w:r>
        <w:rPr>
          <w:rFonts w:ascii="Arial" w:cs="Arial" w:eastAsia="Arial" w:hAnsi="Arial"/>
          <w:sz w:val="16"/>
          <w:szCs w:val="16"/>
          <w:color w:val="auto"/>
        </w:rPr>
        <w:t>AXS-07 was superior to rizatriptan on the Patient Global Impression of Change (PGI-C) scale (p=0.022) and return to normal functioning at 24 hours (p=0.027).</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Safety and Tolerability</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AXS-07 was safe and well tolerated in the trial.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327025</wp:posOffset>
            </wp:positionV>
            <wp:extent cx="639699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6990" cy="15875"/>
                    </a:xfrm>
                    <a:prstGeom prst="rect">
                      <a:avLst/>
                    </a:prstGeom>
                    <a:noFill/>
                  </pic:spPr>
                </pic:pic>
              </a:graphicData>
            </a:graphic>
          </wp:anchor>
        </w:drawing>
      </w:r>
    </w:p>
    <w:p>
      <w:pPr>
        <w:sectPr>
          <w:pgSz w:w="11900" w:h="16838" w:orient="portrait"/>
          <w:cols w:equalWidth="0" w:num="1">
            <w:col w:w="10080"/>
          </w:cols>
          <w:pgMar w:left="920" w:top="304" w:right="899" w:bottom="1440" w:gutter="0" w:footer="0" w:header="0"/>
        </w:sectPr>
      </w:pPr>
    </w:p>
    <w:bookmarkStart w:id="6" w:name="page7"/>
    <w:bookmarkEnd w:id="6"/>
    <w:p>
      <w:pPr>
        <w:jc w:val="both"/>
        <w:ind w:left="280" w:firstLine="41"/>
        <w:spacing w:after="0" w:line="257" w:lineRule="auto"/>
        <w:rPr>
          <w:sz w:val="20"/>
          <w:szCs w:val="20"/>
          <w:color w:val="auto"/>
        </w:rPr>
      </w:pPr>
      <w:r>
        <w:rPr>
          <w:rFonts w:ascii="Arial" w:cs="Arial" w:eastAsia="Arial" w:hAnsi="Arial"/>
          <w:sz w:val="16"/>
          <w:szCs w:val="16"/>
          <w:color w:val="auto"/>
        </w:rPr>
        <w:t>The most commonly reported adverse events with AXS-07 were nausea, dizziness and somnolence, none of which occurred at a rate greater than placebo or greater than 3%. There was one serious adverse event in the AXS-07 arm which was deemed by the investigator not to be related to study drug.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Axsome will host a conference call and webcast with slides today at 8:00 AM Eastern to discuss the topline results of the MOMENTUM trial of AXS-07 in the acute treatment of migraine. To participate in the live conference call, please dial (844) 698-4029 (toll-free domestic) or (647) 253-8660 (international), and use the passcode </w:t>
      </w:r>
      <w:r>
        <w:rPr>
          <w:rFonts w:ascii="Arial" w:cs="Arial" w:eastAsia="Arial" w:hAnsi="Arial"/>
          <w:sz w:val="16"/>
          <w:szCs w:val="16"/>
          <w:color w:val="263238"/>
        </w:rPr>
        <w:t>3483715</w:t>
      </w:r>
      <w:r>
        <w:rPr>
          <w:rFonts w:ascii="Arial" w:cs="Arial" w:eastAsia="Arial" w:hAnsi="Arial"/>
          <w:sz w:val="16"/>
          <w:szCs w:val="16"/>
          <w:color w:val="auto"/>
        </w:rPr>
        <w:t>. The live webcast can be accessed on the “Webcasts &amp; Presentations” page of the “Investors” section of the Company’s website at axsome.com. A replay of the webcast will be available for approximately 30 days following the live event.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MOMENTUM Trial</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MOMENTUM (Maximizing Outcomes in Treating Acute Migraine) was a Phase 3, randomized, double-blind, multicenter, controlled trial to assess the efficacy and safety of AXS-07 in the acute treatment of moderate and severe migraine. Eligible patients must have had a history of inadequate response to prior acute migraine treatments, assessed using the Migraine Treatment Optimization Questionnaire (mTOQ-4). A total of 1,594 patients were randomized in a 2:2:2:1 ratio to treatment with AXS-07, rizatriptan, MoSEIC™ meloxicam, or placebo. The two co-primary endpoints of the trial were the proportion of patients who are free from headache pain two hours after dosing, and the proportion of patients who no longer suffered from their most bothersome migraine-associated symptom (nausea, photophobia, or phonophobia) two hours after dosing, for AXS-07 as compared to placebo. Superiority of AXS-07 to the rizatriptan and MoSEIC™ meloxicam arms (component contribution) was to be established based on sustained freedom from headache pain from two to 24 hours after dosing (key secondary endpoint). The MOMENTUM study was conducted pursuant to an FDA Special Protocol Assessment (SPA).</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Migraine</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[5]. Published surveys of migraine sufferers indicate that more than 70% are not fully satisfied with their current treatment, that nearly 80% would try a new therapy, and that they desire treatments that work faster, more consistently, and result in less symptom recurrence [6,7].</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AXS-07</w:t>
      </w:r>
    </w:p>
    <w:p>
      <w:pPr>
        <w:spacing w:after="0" w:line="120"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27"/>
          <w:szCs w:val="27"/>
          <w:color w:val="auto"/>
          <w:vertAlign w:val="subscript"/>
        </w:rPr>
        <w:t>1B/1D</w:t>
      </w:r>
      <w:r>
        <w:rPr>
          <w:rFonts w:ascii="Arial" w:cs="Arial" w:eastAsia="Arial" w:hAnsi="Arial"/>
          <w:sz w:val="16"/>
          <w:szCs w:val="16"/>
          <w:color w:val="auto"/>
        </w:rPr>
        <w:t xml:space="preserve"> agonist. AXS-07 is designed to provide rapid, enhanced and consistent relief of migraine, with reduced symptom recurrence.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AXS-07 is not approved by the FDA.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 Inc.</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two Phase 3 trials for the acute treatment of migraine. AXS-12 is being developed for the treatment of narcolepsy. AXS-05, AXS-07, AXS-09, and AXS-12 are investigational drug products not approved by the FDA. For more information, please visit the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327025</wp:posOffset>
            </wp:positionV>
            <wp:extent cx="639699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96990" cy="15875"/>
                    </a:xfrm>
                    <a:prstGeom prst="rect">
                      <a:avLst/>
                    </a:prstGeom>
                    <a:noFill/>
                  </pic:spPr>
                </pic:pic>
              </a:graphicData>
            </a:graphic>
          </wp:anchor>
        </w:drawing>
      </w:r>
    </w:p>
    <w:p>
      <w:pPr>
        <w:sectPr>
          <w:pgSz w:w="11900" w:h="16838" w:orient="portrait"/>
          <w:cols w:equalWidth="0" w:num="1">
            <w:col w:w="10080"/>
          </w:cols>
          <w:pgMar w:left="920" w:top="324" w:right="899" w:bottom="1440" w:gutter="0" w:footer="0" w:header="0"/>
        </w:sectPr>
      </w:pPr>
    </w:p>
    <w:bookmarkStart w:id="7" w:name="page8"/>
    <w:bookmarkEnd w:id="7"/>
    <w:p>
      <w:pPr>
        <w:ind w:left="9"/>
        <w:spacing w:after="0" w:line="458" w:lineRule="auto"/>
        <w:rPr>
          <w:sz w:val="20"/>
          <w:szCs w:val="20"/>
          <w:color w:val="auto"/>
        </w:rPr>
      </w:pPr>
      <w:r>
        <w:rPr>
          <w:rFonts w:ascii="Arial" w:cs="Arial" w:eastAsia="Arial" w:hAnsi="Arial"/>
          <w:sz w:val="16"/>
          <w:szCs w:val="16"/>
          <w:color w:val="auto"/>
        </w:rPr>
        <w:t xml:space="preserve">Company’s website at axsome.com. The Company may occasionally disseminate material, nonpublic information on the company website. </w:t>
      </w:r>
      <w:r>
        <w:rPr>
          <w:rFonts w:ascii="Arial" w:cs="Arial" w:eastAsia="Arial" w:hAnsi="Arial"/>
          <w:sz w:val="16"/>
          <w:szCs w:val="16"/>
          <w:b w:val="1"/>
          <w:bCs w:val="1"/>
          <w:color w:val="auto"/>
        </w:rPr>
        <w:t>References</w:t>
      </w:r>
    </w:p>
    <w:p>
      <w:pPr>
        <w:spacing w:after="0" w:line="1" w:lineRule="exact"/>
        <w:rPr>
          <w:sz w:val="20"/>
          <w:szCs w:val="20"/>
          <w:color w:val="auto"/>
        </w:rPr>
      </w:pPr>
    </w:p>
    <w:p>
      <w:pPr>
        <w:ind w:left="429" w:right="20" w:hanging="429"/>
        <w:spacing w:after="0" w:line="257" w:lineRule="auto"/>
        <w:tabs>
          <w:tab w:leader="none" w:pos="519" w:val="left"/>
        </w:tabs>
        <w:numPr>
          <w:ilvl w:val="0"/>
          <w:numId w:val="3"/>
        </w:numPr>
        <w:rPr>
          <w:rFonts w:ascii="Arial" w:cs="Arial" w:eastAsia="Arial" w:hAnsi="Arial"/>
          <w:sz w:val="16"/>
          <w:szCs w:val="16"/>
          <w:color w:val="auto"/>
        </w:rPr>
      </w:pPr>
      <w:r>
        <w:rPr>
          <w:rFonts w:ascii="Arial" w:cs="Arial" w:eastAsia="Arial" w:hAnsi="Arial"/>
          <w:sz w:val="16"/>
          <w:szCs w:val="16"/>
          <w:color w:val="auto"/>
        </w:rPr>
        <w:t>Ferrari MD, Roon KI, Lipton RB, Goadsby PJ. Oral triptans (serotonin 5-HT(1B/1D) agonists) in acute migraine treatment: a meta-analysis of 53 trials. Lancet. 2001 Nov 17;358(9294):1668-75.</w:t>
      </w:r>
    </w:p>
    <w:p>
      <w:pPr>
        <w:spacing w:after="0" w:line="74" w:lineRule="exact"/>
        <w:rPr>
          <w:rFonts w:ascii="Arial" w:cs="Arial" w:eastAsia="Arial" w:hAnsi="Arial"/>
          <w:sz w:val="16"/>
          <w:szCs w:val="16"/>
          <w:color w:val="auto"/>
        </w:rPr>
      </w:pPr>
    </w:p>
    <w:p>
      <w:pPr>
        <w:ind w:left="429" w:hanging="429"/>
        <w:spacing w:after="0" w:line="257" w:lineRule="auto"/>
        <w:tabs>
          <w:tab w:leader="none" w:pos="479" w:val="left"/>
        </w:tabs>
        <w:numPr>
          <w:ilvl w:val="0"/>
          <w:numId w:val="3"/>
        </w:numPr>
        <w:rPr>
          <w:rFonts w:ascii="Arial" w:cs="Arial" w:eastAsia="Arial" w:hAnsi="Arial"/>
          <w:sz w:val="16"/>
          <w:szCs w:val="16"/>
          <w:color w:val="auto"/>
        </w:rPr>
      </w:pPr>
      <w:r>
        <w:rPr>
          <w:rFonts w:ascii="Arial" w:cs="Arial" w:eastAsia="Arial" w:hAnsi="Arial"/>
          <w:sz w:val="16"/>
          <w:szCs w:val="16"/>
          <w:color w:val="auto"/>
        </w:rPr>
        <w:t>Lipton RB, Fanning KM, Serrano D, Reed ML, Cady R, Buse DC. Ineffective acute treatment of episodic migraine is associated with new-onset chronic migraine. Neurology. 2015 Feb 17;84(7):688-95.</w:t>
      </w:r>
    </w:p>
    <w:p>
      <w:pPr>
        <w:spacing w:after="0" w:line="74" w:lineRule="exact"/>
        <w:rPr>
          <w:rFonts w:ascii="Arial" w:cs="Arial" w:eastAsia="Arial" w:hAnsi="Arial"/>
          <w:sz w:val="16"/>
          <w:szCs w:val="16"/>
          <w:color w:val="auto"/>
        </w:rPr>
      </w:pPr>
    </w:p>
    <w:p>
      <w:pPr>
        <w:jc w:val="both"/>
        <w:ind w:left="429" w:hanging="429"/>
        <w:spacing w:after="0" w:line="249" w:lineRule="auto"/>
        <w:tabs>
          <w:tab w:leader="none" w:pos="546" w:val="left"/>
        </w:tabs>
        <w:numPr>
          <w:ilvl w:val="0"/>
          <w:numId w:val="3"/>
        </w:numPr>
        <w:rPr>
          <w:rFonts w:ascii="Arial" w:cs="Arial" w:eastAsia="Arial" w:hAnsi="Arial"/>
          <w:sz w:val="16"/>
          <w:szCs w:val="16"/>
          <w:color w:val="auto"/>
        </w:rPr>
      </w:pPr>
      <w:r>
        <w:rPr>
          <w:rFonts w:ascii="Arial" w:cs="Arial" w:eastAsia="Arial" w:hAnsi="Arial"/>
          <w:sz w:val="16"/>
          <w:szCs w:val="16"/>
          <w:color w:val="auto"/>
        </w:rPr>
        <w:t>Lipton RB, Munjal S, Buse DC, Bennett A, Fanning KM, Burstein R, Reed ML. Allodynia Is Associated With Initial and Sustained Response to Acute Migraine Treatment: Results from the American Migraine Prevalence and Prevention Study. Headache. 2017 Jul;57(7):1026-1040.</w:t>
      </w:r>
    </w:p>
    <w:p>
      <w:pPr>
        <w:spacing w:after="0" w:line="80" w:lineRule="exact"/>
        <w:rPr>
          <w:rFonts w:ascii="Arial" w:cs="Arial" w:eastAsia="Arial" w:hAnsi="Arial"/>
          <w:sz w:val="16"/>
          <w:szCs w:val="16"/>
          <w:color w:val="auto"/>
        </w:rPr>
      </w:pPr>
    </w:p>
    <w:p>
      <w:pPr>
        <w:ind w:left="429" w:right="20" w:hanging="429"/>
        <w:spacing w:after="0" w:line="257" w:lineRule="auto"/>
        <w:tabs>
          <w:tab w:leader="none" w:pos="512" w:val="left"/>
        </w:tabs>
        <w:numPr>
          <w:ilvl w:val="0"/>
          <w:numId w:val="3"/>
        </w:numPr>
        <w:rPr>
          <w:rFonts w:ascii="Arial" w:cs="Arial" w:eastAsia="Arial" w:hAnsi="Arial"/>
          <w:sz w:val="16"/>
          <w:szCs w:val="16"/>
          <w:color w:val="auto"/>
        </w:rPr>
      </w:pPr>
      <w:r>
        <w:rPr>
          <w:rFonts w:ascii="Arial" w:cs="Arial" w:eastAsia="Arial" w:hAnsi="Arial"/>
          <w:sz w:val="16"/>
          <w:szCs w:val="16"/>
          <w:color w:val="auto"/>
        </w:rPr>
        <w:t>Lipton RB, Munjal S, Buse DC, Fanning KM, Bennett A, Reed ML. Predicting Inadequate Response to Acute Migraine Medication: Results from the American Migraine Prevalence and Prevention (AMPP) Study. Headache. 2016 Nov;56(10):1635-1648.</w:t>
      </w:r>
    </w:p>
    <w:p>
      <w:pPr>
        <w:spacing w:after="0" w:line="74" w:lineRule="exact"/>
        <w:rPr>
          <w:rFonts w:ascii="Arial" w:cs="Arial" w:eastAsia="Arial" w:hAnsi="Arial"/>
          <w:sz w:val="16"/>
          <w:szCs w:val="16"/>
          <w:color w:val="auto"/>
        </w:rPr>
      </w:pPr>
    </w:p>
    <w:p>
      <w:pPr>
        <w:ind w:left="429" w:right="20" w:hanging="429"/>
        <w:spacing w:after="0" w:line="257" w:lineRule="auto"/>
        <w:tabs>
          <w:tab w:leader="none" w:pos="497"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Gooch CL, Pracht E, Borenstein AR. The burden of neurological disease in the United States: A summary report and call to action. Ann Neurol. 2017 Apr; 81(4):479-484.</w:t>
      </w:r>
    </w:p>
    <w:p>
      <w:pPr>
        <w:spacing w:after="0" w:line="74" w:lineRule="exact"/>
        <w:rPr>
          <w:rFonts w:ascii="Arial" w:cs="Arial" w:eastAsia="Arial" w:hAnsi="Arial"/>
          <w:sz w:val="16"/>
          <w:szCs w:val="16"/>
          <w:color w:val="auto"/>
        </w:rPr>
      </w:pPr>
    </w:p>
    <w:p>
      <w:pPr>
        <w:jc w:val="both"/>
        <w:ind w:left="429" w:right="20" w:hanging="429"/>
        <w:spacing w:after="0" w:line="249" w:lineRule="auto"/>
        <w:tabs>
          <w:tab w:leader="none" w:pos="588" w:val="left"/>
        </w:tabs>
        <w:numPr>
          <w:ilvl w:val="0"/>
          <w:numId w:val="3"/>
        </w:numPr>
        <w:rPr>
          <w:rFonts w:ascii="Arial" w:cs="Arial" w:eastAsia="Arial" w:hAnsi="Arial"/>
          <w:sz w:val="16"/>
          <w:szCs w:val="16"/>
          <w:color w:val="auto"/>
        </w:rPr>
      </w:pPr>
      <w:r>
        <w:rPr>
          <w:rFonts w:ascii="Arial" w:cs="Arial" w:eastAsia="Arial" w:hAnsi="Arial"/>
          <w:sz w:val="16"/>
          <w:szCs w:val="16"/>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80" w:lineRule="exact"/>
        <w:rPr>
          <w:rFonts w:ascii="Arial" w:cs="Arial" w:eastAsia="Arial" w:hAnsi="Arial"/>
          <w:sz w:val="16"/>
          <w:szCs w:val="16"/>
          <w:color w:val="auto"/>
        </w:rPr>
      </w:pPr>
    </w:p>
    <w:p>
      <w:pPr>
        <w:ind w:left="429" w:right="20" w:hanging="429"/>
        <w:spacing w:after="0" w:line="257"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Lipton RB, Stewart WF. Acute migraine therapy: do doctors understand what patients with migraine want from therapy? Headache. 1999;39(suppl 2):S20-S26.</w:t>
      </w:r>
    </w:p>
    <w:p>
      <w:pPr>
        <w:spacing w:after="0" w:line="11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Forward Looking Statements</w:t>
      </w:r>
    </w:p>
    <w:p>
      <w:pPr>
        <w:spacing w:after="0" w:line="120" w:lineRule="exact"/>
        <w:rPr>
          <w:sz w:val="20"/>
          <w:szCs w:val="20"/>
          <w:color w:val="auto"/>
        </w:rPr>
      </w:pPr>
    </w:p>
    <w:p>
      <w:pPr>
        <w:jc w:val="both"/>
        <w:ind w:left="9"/>
        <w:spacing w:after="0" w:line="242"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w:t>
      </w:r>
    </w:p>
    <w:p>
      <w:pPr>
        <w:spacing w:after="0" w:line="200" w:lineRule="exact"/>
        <w:rPr>
          <w:sz w:val="20"/>
          <w:szCs w:val="20"/>
          <w:color w:val="auto"/>
        </w:rPr>
      </w:pPr>
    </w:p>
    <w:p>
      <w:pPr>
        <w:spacing w:after="0" w:line="347"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639699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96990" cy="23495"/>
                    </a:xfrm>
                    <a:prstGeom prst="rect">
                      <a:avLst/>
                    </a:prstGeom>
                    <a:noFill/>
                  </pic:spPr>
                </pic:pic>
              </a:graphicData>
            </a:graphic>
          </wp:anchor>
        </w:drawing>
      </w:r>
    </w:p>
    <w:p>
      <w:pPr>
        <w:sectPr>
          <w:pgSz w:w="11900" w:h="16838" w:orient="portrait"/>
          <w:cols w:equalWidth="0" w:num="1">
            <w:col w:w="10089"/>
          </w:cols>
          <w:pgMar w:left="911" w:top="324" w:right="899" w:bottom="1440" w:gutter="0" w:footer="0" w:header="0"/>
        </w:sectPr>
      </w:pPr>
    </w:p>
    <w:bookmarkStart w:id="8" w:name="page9"/>
    <w:bookmarkEnd w:id="8"/>
    <w:p>
      <w:pPr>
        <w:jc w:val="both"/>
        <w:ind w:left="9"/>
        <w:spacing w:after="0" w:line="249" w:lineRule="auto"/>
        <w:rPr>
          <w:sz w:val="20"/>
          <w:szCs w:val="20"/>
          <w:color w:val="auto"/>
        </w:rPr>
      </w:pPr>
      <w:r>
        <w:rPr>
          <w:rFonts w:ascii="Arial" w:cs="Arial" w:eastAsia="Arial" w:hAnsi="Arial"/>
          <w:sz w:val="16"/>
          <w:szCs w:val="16"/>
          <w:color w:val="auto"/>
        </w:rPr>
        <w:t>press release and the Company undertakes no obligation to publicly update such forward-looking statements to reflect subsequent events or circumstance. The data disclosed in this press release are considered topline data and subject to further statistical review and the final results may vary.</w:t>
      </w:r>
    </w:p>
    <w:p>
      <w:pPr>
        <w:spacing w:after="0" w:line="12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Axsome Contact:</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color w:val="auto"/>
        </w:rPr>
        <w:t>Mark Jacobson</w:t>
      </w:r>
    </w:p>
    <w:p>
      <w:pPr>
        <w:spacing w:after="0" w:line="1" w:lineRule="exact"/>
        <w:rPr>
          <w:sz w:val="20"/>
          <w:szCs w:val="20"/>
          <w:color w:val="auto"/>
        </w:rPr>
      </w:pPr>
    </w:p>
    <w:p>
      <w:pPr>
        <w:ind w:left="9"/>
        <w:spacing w:after="0"/>
        <w:rPr>
          <w:sz w:val="20"/>
          <w:szCs w:val="20"/>
          <w:color w:val="auto"/>
        </w:rPr>
      </w:pPr>
      <w:r>
        <w:rPr>
          <w:rFonts w:ascii="Arial" w:cs="Arial" w:eastAsia="Arial" w:hAnsi="Arial"/>
          <w:sz w:val="16"/>
          <w:szCs w:val="16"/>
          <w:color w:val="auto"/>
        </w:rPr>
        <w:t>Senior Vice President, Operations</w:t>
      </w:r>
    </w:p>
    <w:p>
      <w:pPr>
        <w:spacing w:after="0" w:line="1" w:lineRule="exact"/>
        <w:rPr>
          <w:sz w:val="20"/>
          <w:szCs w:val="20"/>
          <w:color w:val="auto"/>
        </w:rPr>
      </w:pPr>
    </w:p>
    <w:p>
      <w:pPr>
        <w:ind w:left="9"/>
        <w:spacing w:after="0"/>
        <w:rPr>
          <w:sz w:val="20"/>
          <w:szCs w:val="20"/>
          <w:color w:val="auto"/>
        </w:rPr>
      </w:pPr>
      <w:r>
        <w:rPr>
          <w:rFonts w:ascii="Arial" w:cs="Arial" w:eastAsia="Arial" w:hAnsi="Arial"/>
          <w:sz w:val="16"/>
          <w:szCs w:val="16"/>
          <w:color w:val="auto"/>
        </w:rPr>
        <w:t>Axsome Therapeutics, Inc.</w:t>
      </w:r>
    </w:p>
    <w:p>
      <w:pPr>
        <w:spacing w:after="0" w:line="1" w:lineRule="exact"/>
        <w:rPr>
          <w:sz w:val="20"/>
          <w:szCs w:val="20"/>
          <w:color w:val="auto"/>
        </w:rPr>
      </w:pPr>
    </w:p>
    <w:p>
      <w:pPr>
        <w:ind w:left="9" w:right="8380" w:hanging="9"/>
        <w:spacing w:after="0" w:line="257" w:lineRule="auto"/>
        <w:tabs>
          <w:tab w:leader="none" w:pos="329" w:val="left"/>
        </w:tabs>
        <w:numPr>
          <w:ilvl w:val="0"/>
          <w:numId w:val="4"/>
        </w:numPr>
        <w:rPr>
          <w:rFonts w:ascii="Arial" w:cs="Arial" w:eastAsia="Arial" w:hAnsi="Arial"/>
          <w:sz w:val="15"/>
          <w:szCs w:val="15"/>
          <w:color w:val="auto"/>
        </w:rPr>
      </w:pPr>
      <w:r>
        <w:rPr>
          <w:rFonts w:ascii="Arial" w:cs="Arial" w:eastAsia="Arial" w:hAnsi="Arial"/>
          <w:sz w:val="15"/>
          <w:szCs w:val="15"/>
          <w:color w:val="auto"/>
        </w:rPr>
        <w:t>Broadway, 3</w:t>
      </w:r>
      <w:r>
        <w:rPr>
          <w:rFonts w:ascii="Arial" w:cs="Arial" w:eastAsia="Arial" w:hAnsi="Arial"/>
          <w:sz w:val="8"/>
          <w:szCs w:val="8"/>
          <w:color w:val="auto"/>
        </w:rPr>
        <w:t>rd</w:t>
      </w:r>
      <w:r>
        <w:rPr>
          <w:rFonts w:ascii="Arial" w:cs="Arial" w:eastAsia="Arial" w:hAnsi="Arial"/>
          <w:sz w:val="15"/>
          <w:szCs w:val="15"/>
          <w:color w:val="auto"/>
        </w:rPr>
        <w:t xml:space="preserve"> Floor New York, NY 10038 Tel: 212-332-3243</w:t>
      </w:r>
    </w:p>
    <w:p>
      <w:pPr>
        <w:ind w:left="9" w:right="7680"/>
        <w:spacing w:after="0" w:line="274" w:lineRule="auto"/>
        <w:rPr>
          <w:rFonts w:ascii="Arial" w:cs="Arial" w:eastAsia="Arial" w:hAnsi="Arial"/>
          <w:sz w:val="15"/>
          <w:szCs w:val="15"/>
          <w:color w:val="auto"/>
        </w:rPr>
      </w:pPr>
      <w:r>
        <w:rPr>
          <w:rFonts w:ascii="Arial" w:cs="Arial" w:eastAsia="Arial" w:hAnsi="Arial"/>
          <w:sz w:val="16"/>
          <w:szCs w:val="16"/>
          <w:color w:val="auto"/>
        </w:rPr>
        <w:t>Email: mjacobson@axsome.com www.axsome.com</w:t>
      </w:r>
    </w:p>
    <w:p>
      <w:pPr>
        <w:spacing w:after="0" w:line="337"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639699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96990" cy="15875"/>
                    </a:xfrm>
                    <a:prstGeom prst="rect">
                      <a:avLst/>
                    </a:prstGeom>
                    <a:noFill/>
                  </pic:spPr>
                </pic:pic>
              </a:graphicData>
            </a:graphic>
          </wp:anchor>
        </w:drawing>
      </w:r>
    </w:p>
    <w:p>
      <w:pPr>
        <w:sectPr>
          <w:pgSz w:w="11900" w:h="16838" w:orient="portrait"/>
          <w:cols w:equalWidth="0" w:num="1">
            <w:col w:w="10069"/>
          </w:cols>
          <w:pgMar w:left="911" w:top="324" w:right="919" w:bottom="1440" w:gutter="0" w:footer="0" w:header="0"/>
        </w:sectPr>
      </w:pPr>
    </w:p>
    <w:bookmarkStart w:id="9" w:name="page10"/>
    <w:bookmarkEnd w:id="9"/>
    <w:p>
      <w:pPr>
        <w:ind w:left="88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5687695</wp:posOffset>
            </wp:positionV>
            <wp:extent cx="660082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151765</wp:posOffset>
            </wp:positionV>
            <wp:extent cx="6663690" cy="4972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4972050"/>
                    </a:xfrm>
                    <a:prstGeom prst="rect">
                      <a:avLst/>
                    </a:prstGeom>
                    <a:noFill/>
                  </pic:spPr>
                </pic:pic>
              </a:graphicData>
            </a:graphic>
          </wp:anchor>
        </w:drawing>
      </w:r>
    </w:p>
    <w:p>
      <w:pPr>
        <w:sectPr>
          <w:pgSz w:w="11900" w:h="16838" w:orient="portrait"/>
          <w:cols w:equalWidth="0" w:num="1">
            <w:col w:w="9720"/>
          </w:cols>
          <w:pgMar w:left="1440" w:top="123" w:right="7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5648325</wp:posOffset>
            </wp:positionV>
            <wp:extent cx="660082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112395</wp:posOffset>
            </wp:positionV>
            <wp:extent cx="6631940" cy="4972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5624830</wp:posOffset>
            </wp:positionV>
            <wp:extent cx="660082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00825" cy="234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88900</wp:posOffset>
            </wp:positionV>
            <wp:extent cx="6631940" cy="4972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631940" cy="497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2425" cy="5434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2425" cy="5434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0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2019-12-30T09:06:25Z</dcterms:created>
  <dcterms:modified xsi:type="dcterms:W3CDTF">2019-12-30T09:06:25Z</dcterms:modified>
</cp:coreProperties>
</file>