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October 08,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Axsome Therapeutics,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3400" w:type="dxa"/>
            <w:vAlign w:val="bottom"/>
          </w:tcPr>
          <w:p>
            <w:pPr>
              <w:jc w:val="center"/>
              <w:ind w:right="481"/>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jc w:val="right"/>
              <w:ind w:right="1321"/>
              <w:spacing w:after="0"/>
              <w:rPr>
                <w:sz w:val="20"/>
                <w:szCs w:val="20"/>
                <w:color w:val="auto"/>
              </w:rPr>
            </w:pPr>
            <w:r>
              <w:rPr>
                <w:rFonts w:ascii="Arial" w:cs="Arial" w:eastAsia="Arial" w:hAnsi="Arial"/>
                <w:sz w:val="18"/>
                <w:szCs w:val="18"/>
                <w:b w:val="1"/>
                <w:bCs w:val="1"/>
                <w:color w:val="auto"/>
              </w:rPr>
              <w:t>001-37635</w:t>
            </w:r>
          </w:p>
        </w:tc>
        <w:tc>
          <w:tcPr>
            <w:tcW w:w="2040" w:type="dxa"/>
            <w:vAlign w:val="bottom"/>
          </w:tcPr>
          <w:p>
            <w:pPr>
              <w:jc w:val="right"/>
              <w:ind w:right="4"/>
              <w:spacing w:after="0"/>
              <w:rPr>
                <w:sz w:val="20"/>
                <w:szCs w:val="20"/>
                <w:color w:val="auto"/>
              </w:rPr>
            </w:pPr>
            <w:r>
              <w:rPr>
                <w:rFonts w:ascii="Arial" w:cs="Arial" w:eastAsia="Arial" w:hAnsi="Arial"/>
                <w:sz w:val="18"/>
                <w:szCs w:val="18"/>
                <w:b w:val="1"/>
                <w:bCs w:val="1"/>
                <w:color w:val="auto"/>
              </w:rPr>
              <w:t>45-4241907</w:t>
            </w:r>
          </w:p>
        </w:tc>
      </w:tr>
      <w:tr>
        <w:trPr>
          <w:trHeight w:val="149"/>
        </w:trPr>
        <w:tc>
          <w:tcPr>
            <w:tcW w:w="3400" w:type="dxa"/>
            <w:vAlign w:val="bottom"/>
          </w:tcPr>
          <w:p>
            <w:pPr>
              <w:jc w:val="center"/>
              <w:ind w:right="481"/>
              <w:spacing w:after="0"/>
              <w:rPr>
                <w:sz w:val="20"/>
                <w:szCs w:val="20"/>
                <w:color w:val="auto"/>
              </w:rPr>
            </w:pPr>
            <w:r>
              <w:rPr>
                <w:rFonts w:ascii="Arial" w:cs="Arial" w:eastAsia="Arial" w:hAnsi="Arial"/>
                <w:sz w:val="13"/>
                <w:szCs w:val="13"/>
                <w:b w:val="1"/>
                <w:bCs w:val="1"/>
                <w:color w:val="auto"/>
                <w:w w:val="95"/>
              </w:rPr>
              <w:t>(State or Other Jurisdiction</w:t>
            </w:r>
          </w:p>
        </w:tc>
        <w:tc>
          <w:tcPr>
            <w:tcW w:w="3120" w:type="dxa"/>
            <w:vAlign w:val="bottom"/>
          </w:tcPr>
          <w:p>
            <w:pPr>
              <w:jc w:val="center"/>
              <w:ind w:right="381"/>
              <w:spacing w:after="0"/>
              <w:rPr>
                <w:sz w:val="20"/>
                <w:szCs w:val="20"/>
                <w:color w:val="auto"/>
              </w:rPr>
            </w:pPr>
            <w:r>
              <w:rPr>
                <w:rFonts w:ascii="Arial" w:cs="Arial" w:eastAsia="Arial" w:hAnsi="Arial"/>
                <w:sz w:val="13"/>
                <w:szCs w:val="13"/>
                <w:b w:val="1"/>
                <w:bCs w:val="1"/>
                <w:color w:val="auto"/>
                <w:w w:val="95"/>
              </w:rPr>
              <w:t>(Commission File Number)</w:t>
            </w: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400" w:type="dxa"/>
            <w:vAlign w:val="bottom"/>
          </w:tcPr>
          <w:p>
            <w:pPr>
              <w:jc w:val="center"/>
              <w:ind w:right="481"/>
              <w:spacing w:after="0"/>
              <w:rPr>
                <w:sz w:val="20"/>
                <w:szCs w:val="20"/>
                <w:color w:val="auto"/>
              </w:rPr>
            </w:pPr>
            <w:r>
              <w:rPr>
                <w:rFonts w:ascii="Arial" w:cs="Arial" w:eastAsia="Arial" w:hAnsi="Arial"/>
                <w:sz w:val="13"/>
                <w:szCs w:val="13"/>
                <w:b w:val="1"/>
                <w:bCs w:val="1"/>
                <w:color w:val="auto"/>
                <w:w w:val="96"/>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Arial" w:cs="Arial" w:eastAsia="Arial" w:hAnsi="Arial"/>
                <w:sz w:val="13"/>
                <w:szCs w:val="13"/>
                <w:b w:val="1"/>
                <w:bCs w:val="1"/>
                <w:color w:val="auto"/>
                <w:w w:val="96"/>
              </w:rPr>
              <w:t>Identification No.)</w:t>
            </w:r>
          </w:p>
        </w:tc>
      </w:tr>
      <w:tr>
        <w:trPr>
          <w:trHeight w:val="441"/>
        </w:trPr>
        <w:tc>
          <w:tcPr>
            <w:tcW w:w="3400" w:type="dxa"/>
            <w:vAlign w:val="bottom"/>
          </w:tcPr>
          <w:p>
            <w:pPr>
              <w:jc w:val="center"/>
              <w:ind w:right="481"/>
              <w:spacing w:after="0"/>
              <w:rPr>
                <w:sz w:val="20"/>
                <w:szCs w:val="20"/>
                <w:color w:val="auto"/>
              </w:rPr>
            </w:pPr>
            <w:r>
              <w:rPr>
                <w:rFonts w:ascii="Arial" w:cs="Arial" w:eastAsia="Arial" w:hAnsi="Arial"/>
                <w:sz w:val="18"/>
                <w:szCs w:val="18"/>
                <w:b w:val="1"/>
                <w:bCs w:val="1"/>
                <w:color w:val="auto"/>
                <w:w w:val="91"/>
              </w:rPr>
              <w:t>One World Trade Center, 22nd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3400" w:type="dxa"/>
            <w:vAlign w:val="bottom"/>
          </w:tcPr>
          <w:p>
            <w:pPr>
              <w:jc w:val="center"/>
              <w:ind w:right="501"/>
              <w:spacing w:after="0"/>
              <w:rPr>
                <w:sz w:val="20"/>
                <w:szCs w:val="20"/>
                <w:color w:val="auto"/>
              </w:rPr>
            </w:pPr>
            <w:r>
              <w:rPr>
                <w:rFonts w:ascii="Arial" w:cs="Arial" w:eastAsia="Arial" w:hAnsi="Arial"/>
                <w:sz w:val="18"/>
                <w:szCs w:val="18"/>
                <w:b w:val="1"/>
                <w:bCs w:val="1"/>
                <w:color w:val="auto"/>
                <w:w w:val="93"/>
              </w:rPr>
              <w:t>New York, New York</w:t>
            </w:r>
          </w:p>
        </w:tc>
        <w:tc>
          <w:tcPr>
            <w:tcW w:w="312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Arial" w:cs="Arial" w:eastAsia="Arial" w:hAnsi="Arial"/>
                <w:sz w:val="18"/>
                <w:szCs w:val="18"/>
                <w:b w:val="1"/>
                <w:bCs w:val="1"/>
                <w:color w:val="auto"/>
              </w:rPr>
              <w:t>10007</w:t>
            </w:r>
          </w:p>
        </w:tc>
      </w:tr>
      <w:tr>
        <w:trPr>
          <w:trHeight w:val="175"/>
        </w:trPr>
        <w:tc>
          <w:tcPr>
            <w:tcW w:w="3400" w:type="dxa"/>
            <w:vAlign w:val="bottom"/>
          </w:tcPr>
          <w:p>
            <w:pPr>
              <w:jc w:val="center"/>
              <w:ind w:right="48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9"/>
              </w:rPr>
              <w:t>(Zip Code)</w:t>
            </w:r>
          </w:p>
        </w:tc>
      </w:tr>
    </w:tbl>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255905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AXSM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0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ind w:right="3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40" w:firstLine="749"/>
        <w:spacing w:after="0" w:line="308" w:lineRule="auto"/>
        <w:rPr>
          <w:sz w:val="20"/>
          <w:szCs w:val="20"/>
          <w:color w:val="auto"/>
        </w:rPr>
      </w:pPr>
      <w:r>
        <w:rPr>
          <w:rFonts w:ascii="Arial" w:cs="Arial" w:eastAsia="Arial" w:hAnsi="Arial"/>
          <w:sz w:val="17"/>
          <w:szCs w:val="17"/>
          <w:color w:val="auto"/>
        </w:rPr>
        <w:t>The Board of Directors (the “Board”) of Axsome Therapeutics, Inc. (the “Company”), increased the size of the Board from four to five directors, and on October 8, 2023 appointed Dr. Susan Mahony as a director to be effective as of October 10, 2023 (the “Effective Date”).</w:t>
      </w:r>
    </w:p>
    <w:p>
      <w:pPr>
        <w:spacing w:after="0" w:line="146" w:lineRule="exact"/>
        <w:rPr>
          <w:sz w:val="20"/>
          <w:szCs w:val="20"/>
          <w:color w:val="auto"/>
        </w:rPr>
      </w:pPr>
    </w:p>
    <w:p>
      <w:pPr>
        <w:ind w:right="80" w:firstLine="749"/>
        <w:spacing w:after="0" w:line="270" w:lineRule="auto"/>
        <w:rPr>
          <w:sz w:val="20"/>
          <w:szCs w:val="20"/>
          <w:color w:val="auto"/>
        </w:rPr>
      </w:pPr>
      <w:r>
        <w:rPr>
          <w:rFonts w:ascii="Arial" w:cs="Arial" w:eastAsia="Arial" w:hAnsi="Arial"/>
          <w:sz w:val="17"/>
          <w:szCs w:val="17"/>
          <w:color w:val="auto"/>
        </w:rPr>
        <w:t>Dr. Mahony most recently served on the board of directors of Horizon Therapeutics from 2019 until its acquisition by Amgen in October 2023. She was formerly Senior Vice President of Eli Lilly and Company and President of Lilly Oncology, where under her leadership, the business unit evolved from one to five marketed medicines. At Lilly, she held leadership positions and led organizations in Europe, the United States, Canada, Japan and China. Prior to Lilly, Dr. Mahony led commercial activities for Bristol Myers Squibb’s cardiovascular business and worked in sales and marketing at Amgen and Schering Plough. Dr. Mahony earned her Bachelor of Science in Pharmacy, and her Doctor of Philosophy in Oncology from the University of Aston, UK. She also earned her Master of Business Administration from the London School of Business. Dr. Mahony served on the board of directors of Vifor Pharma from 2019 until its acquisition by CSL Limited in 2022. Dr. Mahony currently serves on the board of directors of Zymeworks Inc. and Assembly Biosciences, Inc. Dr. Mahony also serves on the board of directors of the Chordoma Foundation, a nonprofit dedicated to improving the lives of people affected by chordoma.</w:t>
      </w:r>
    </w:p>
    <w:p>
      <w:pPr>
        <w:spacing w:after="0" w:line="181" w:lineRule="exact"/>
        <w:rPr>
          <w:sz w:val="20"/>
          <w:szCs w:val="20"/>
          <w:color w:val="auto"/>
        </w:rPr>
      </w:pPr>
    </w:p>
    <w:p>
      <w:pPr>
        <w:ind w:right="40" w:firstLine="749"/>
        <w:spacing w:after="0" w:line="273" w:lineRule="auto"/>
        <w:rPr>
          <w:sz w:val="20"/>
          <w:szCs w:val="20"/>
          <w:color w:val="auto"/>
        </w:rPr>
      </w:pPr>
      <w:r>
        <w:rPr>
          <w:rFonts w:ascii="Arial" w:cs="Arial" w:eastAsia="Arial" w:hAnsi="Arial"/>
          <w:sz w:val="17"/>
          <w:szCs w:val="17"/>
          <w:color w:val="auto"/>
        </w:rPr>
        <w:t>Dr. Mahony will receive the standard compensation amounts payable to non-employee directors of the Company, as described in the Company’s proxy statement for the 2023 annual meeting of stockholders filed with the Securities and Exchange Commission on April 21, 2023. Her annual cash retainer will be pro-rated for 2023 to reflect her expected term of service during the calendar year. Also pursuant to these arrangements, on the Effective Date, Dr. Mahony received an initial grant of nonqualified stock options equivalent to $325,000 (the “Initial Option Grant”) for the right to purchase shares of the Company’s common stock with an exercise price equal to the closing price of the Company’s common stock on the date of grant. The Initial Option Grant vests in three equal annual installments, subject to her continued service on the Board through each vesting date.</w:t>
      </w:r>
    </w:p>
    <w:p>
      <w:pPr>
        <w:spacing w:after="0" w:line="178" w:lineRule="exact"/>
        <w:rPr>
          <w:sz w:val="20"/>
          <w:szCs w:val="20"/>
          <w:color w:val="auto"/>
        </w:rPr>
      </w:pPr>
    </w:p>
    <w:p>
      <w:pPr>
        <w:jc w:val="both"/>
        <w:ind w:right="100" w:firstLine="749"/>
        <w:spacing w:after="0" w:line="311" w:lineRule="auto"/>
        <w:rPr>
          <w:sz w:val="20"/>
          <w:szCs w:val="20"/>
          <w:color w:val="auto"/>
        </w:rPr>
      </w:pPr>
      <w:r>
        <w:rPr>
          <w:rFonts w:ascii="Arial" w:cs="Arial" w:eastAsia="Arial" w:hAnsi="Arial"/>
          <w:sz w:val="16"/>
          <w:szCs w:val="16"/>
          <w:color w:val="auto"/>
        </w:rPr>
        <w:t>Also on the Effective Date, Dr. Mahony received a grant of nonqualified stock options equivalent to $81,250 for the right to purchase shares of the Company’s common stock with an exercise price equal to the closing price of the Company’s common stock on the date of grant (the “Prorated Option Grant”). The Prorated Option Grant vests one year from the date of grant, subject to her continued service on the Board through the vesting date.</w:t>
      </w:r>
    </w:p>
    <w:p>
      <w:pPr>
        <w:spacing w:after="0" w:line="149"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There is no arrangement or understanding between Dr. Mahony and any other person pursuant to which Dr. Mahony was appointed as a director. There are no family relationships between Dr. Mahony and any of the Company’s directors, executive officers, or persons nominated or chosen by the Company to become a director or executive officer. Dr. Mahony is not a party to any current or proposed transaction with the Company for which disclosure is required under Item 404(a) of Regulation S-K.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560" w:firstLine="749"/>
        <w:spacing w:after="0" w:line="277" w:lineRule="auto"/>
        <w:rPr>
          <w:sz w:val="20"/>
          <w:szCs w:val="20"/>
          <w:color w:val="auto"/>
        </w:rPr>
      </w:pPr>
      <w:r>
        <w:rPr>
          <w:rFonts w:ascii="Arial" w:cs="Arial" w:eastAsia="Arial" w:hAnsi="Arial"/>
          <w:sz w:val="18"/>
          <w:szCs w:val="18"/>
          <w:color w:val="auto"/>
        </w:rPr>
        <w:t>On October 11, 2023, the Company issued a press release announcing that Dr. Mahony had been appointed to the Board. The Company is furnishing a copy of the press release, which is attached hereto as Exhibit 99.1.</w:t>
      </w:r>
    </w:p>
    <w:p>
      <w:pPr>
        <w:spacing w:after="0" w:line="170" w:lineRule="exact"/>
        <w:rPr>
          <w:sz w:val="20"/>
          <w:szCs w:val="20"/>
          <w:color w:val="auto"/>
        </w:rPr>
      </w:pPr>
    </w:p>
    <w:p>
      <w:pPr>
        <w:jc w:val="both"/>
        <w:ind w:right="280" w:firstLine="749"/>
        <w:spacing w:after="0" w:line="301" w:lineRule="auto"/>
        <w:rPr>
          <w:sz w:val="20"/>
          <w:szCs w:val="20"/>
          <w:color w:val="auto"/>
        </w:rPr>
      </w:pPr>
      <w:r>
        <w:rPr>
          <w:rFonts w:ascii="Arial" w:cs="Arial" w:eastAsia="Arial" w:hAnsi="Arial"/>
          <w:sz w:val="16"/>
          <w:szCs w:val="16"/>
          <w:color w:val="auto"/>
        </w:rPr>
        <w:t>In accordance with General Instructions B.2 and B.6 of Form 8-K, the information included in Item 7.01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a filing.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 Exhibits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0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Description</w:t>
            </w: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20" w:type="dxa"/>
            <w:vAlign w:val="bottom"/>
            <w:tcBorders>
              <w:bottom w:val="single" w:sz="8" w:color="0000EE"/>
            </w:tcBorders>
          </w:tcPr>
          <w:p>
            <w:pPr>
              <w:spacing w:after="0"/>
              <w:rPr>
                <w:sz w:val="21"/>
                <w:szCs w:val="21"/>
                <w:color w:val="auto"/>
              </w:rPr>
            </w:pPr>
          </w:p>
        </w:tc>
        <w:tc>
          <w:tcPr>
            <w:tcW w:w="27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6"/>
              </w:rPr>
              <w:t>Press Release dated October 11, 2023.</w:t>
            </w:r>
          </w:p>
        </w:tc>
        <w:tc>
          <w:tcPr>
            <w:tcW w:w="20" w:type="dxa"/>
            <w:vAlign w:val="bottom"/>
            <w:tcBorders>
              <w:bottom w:val="single" w:sz="8" w:color="0000EE"/>
            </w:tcBorders>
          </w:tcPr>
          <w:p>
            <w:pPr>
              <w:spacing w:after="0"/>
              <w:rPr>
                <w:sz w:val="21"/>
                <w:szCs w:val="21"/>
                <w:color w:val="auto"/>
              </w:rPr>
            </w:pPr>
          </w:p>
        </w:tc>
        <w:tc>
          <w:tcPr>
            <w:tcW w:w="7200" w:type="dxa"/>
            <w:vAlign w:val="bottom"/>
          </w:tcPr>
          <w:p>
            <w:pPr>
              <w:spacing w:after="0"/>
              <w:rPr>
                <w:sz w:val="21"/>
                <w:szCs w:val="21"/>
                <w:color w:val="auto"/>
              </w:rPr>
            </w:pPr>
          </w:p>
        </w:tc>
      </w:tr>
      <w:tr>
        <w:trPr>
          <w:trHeight w:val="264"/>
        </w:trPr>
        <w:tc>
          <w:tcPr>
            <w:tcW w:w="11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60"/>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Axsome Therapeutics, Inc.</w:t>
            </w:r>
          </w:p>
        </w:tc>
      </w:tr>
      <w:tr>
        <w:trPr>
          <w:trHeight w:val="614"/>
        </w:trPr>
        <w:tc>
          <w:tcPr>
            <w:tcW w:w="3740" w:type="dxa"/>
            <w:vAlign w:val="bottom"/>
          </w:tcPr>
          <w:p>
            <w:pPr>
              <w:ind w:left="20"/>
              <w:spacing w:after="0"/>
              <w:rPr>
                <w:sz w:val="20"/>
                <w:szCs w:val="20"/>
                <w:color w:val="auto"/>
              </w:rPr>
            </w:pPr>
            <w:r>
              <w:rPr>
                <w:rFonts w:ascii="Arial" w:cs="Arial" w:eastAsia="Arial" w:hAnsi="Arial"/>
                <w:sz w:val="18"/>
                <w:szCs w:val="18"/>
                <w:color w:val="auto"/>
              </w:rPr>
              <w:t>Date:  October 11, 2023</w:t>
            </w:r>
          </w:p>
        </w:tc>
        <w:tc>
          <w:tcPr>
            <w:tcW w:w="2680" w:type="dxa"/>
            <w:vAlign w:val="bottom"/>
          </w:tcPr>
          <w:p>
            <w:pPr>
              <w:ind w:left="192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Herriot Tabuteau, M.D.</w:t>
            </w:r>
          </w:p>
        </w:tc>
      </w:tr>
      <w:tr>
        <w:trPr>
          <w:trHeight w:val="202"/>
        </w:trPr>
        <w:tc>
          <w:tcPr>
            <w:tcW w:w="3740" w:type="dxa"/>
            <w:vAlign w:val="bottom"/>
          </w:tcPr>
          <w:p>
            <w:pPr>
              <w:spacing w:after="0"/>
              <w:rPr>
                <w:sz w:val="17"/>
                <w:szCs w:val="17"/>
                <w:color w:val="auto"/>
              </w:rPr>
            </w:pPr>
          </w:p>
        </w:tc>
        <w:tc>
          <w:tcPr>
            <w:tcW w:w="2680" w:type="dxa"/>
            <w:vAlign w:val="bottom"/>
          </w:tcPr>
          <w:p>
            <w:pPr>
              <w:ind w:left="1920"/>
              <w:spacing w:after="0" w:line="201" w:lineRule="exact"/>
              <w:rPr>
                <w:sz w:val="20"/>
                <w:szCs w:val="20"/>
                <w:color w:val="auto"/>
              </w:rPr>
            </w:pPr>
            <w:r>
              <w:rPr>
                <w:rFonts w:ascii="Arial" w:cs="Arial" w:eastAsia="Arial" w:hAnsi="Arial"/>
                <w:sz w:val="18"/>
                <w:szCs w:val="18"/>
                <w:color w:val="auto"/>
              </w:rPr>
              <w:t>Name:</w:t>
            </w:r>
          </w:p>
        </w:tc>
        <w:tc>
          <w:tcPr>
            <w:tcW w:w="4820" w:type="dxa"/>
            <w:vAlign w:val="bottom"/>
          </w:tcPr>
          <w:p>
            <w:pPr>
              <w:ind w:left="20"/>
              <w:spacing w:after="0" w:line="201" w:lineRule="exact"/>
              <w:rPr>
                <w:sz w:val="20"/>
                <w:szCs w:val="20"/>
                <w:color w:val="auto"/>
              </w:rPr>
            </w:pPr>
            <w:r>
              <w:rPr>
                <w:rFonts w:ascii="Arial" w:cs="Arial" w:eastAsia="Arial" w:hAnsi="Arial"/>
                <w:sz w:val="18"/>
                <w:szCs w:val="18"/>
                <w:color w:val="auto"/>
              </w:rPr>
              <w:t>Herriot Tabuteau, M.D.</w:t>
            </w:r>
          </w:p>
        </w:tc>
      </w:tr>
      <w:tr>
        <w:trPr>
          <w:trHeight w:val="244"/>
        </w:trPr>
        <w:tc>
          <w:tcPr>
            <w:tcW w:w="3740" w:type="dxa"/>
            <w:vAlign w:val="bottom"/>
          </w:tcPr>
          <w:p>
            <w:pPr>
              <w:spacing w:after="0"/>
              <w:rPr>
                <w:sz w:val="21"/>
                <w:szCs w:val="21"/>
                <w:color w:val="auto"/>
              </w:rPr>
            </w:pPr>
          </w:p>
        </w:tc>
        <w:tc>
          <w:tcPr>
            <w:tcW w:w="2680" w:type="dxa"/>
            <w:vAlign w:val="bottom"/>
          </w:tcPr>
          <w:p>
            <w:pPr>
              <w:ind w:left="1920"/>
              <w:spacing w:after="0"/>
              <w:rPr>
                <w:sz w:val="20"/>
                <w:szCs w:val="20"/>
                <w:color w:val="auto"/>
              </w:rPr>
            </w:pPr>
            <w:r>
              <w:rPr>
                <w:rFonts w:ascii="Arial" w:cs="Arial" w:eastAsia="Arial" w:hAnsi="Arial"/>
                <w:sz w:val="18"/>
                <w:szCs w:val="18"/>
                <w:color w:val="auto"/>
              </w:rPr>
              <w:t>Title:</w:t>
            </w:r>
          </w:p>
        </w:tc>
        <w:tc>
          <w:tcPr>
            <w:tcW w:w="48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507"/>
        </w:trPr>
        <w:tc>
          <w:tcPr>
            <w:tcW w:w="37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865505"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865505" cy="488315"/>
                    </a:xfrm>
                    <a:prstGeom prst="rect">
                      <a:avLst/>
                    </a:prstGeom>
                    <a:noFill/>
                  </pic:spPr>
                </pic:pic>
              </a:graphicData>
            </a:graphic>
          </wp:anchor>
        </w:drawing>
        <w:t>Axsome Therapeutics Appoints Dr. Sue Mahony to its Board of Directors</w:t>
      </w:r>
    </w:p>
    <w:p>
      <w:pPr>
        <w:spacing w:after="0" w:line="2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NEW YORK, Oct. 11, 2023 (GLOBE NEWSWIRE) -- Axsome Therapeutics, Inc. (NASDAQ: AXSM), a biopharmaceutical company developing and delivering novel therapies for the management of central nervous system (CNS) disorders, today announced that Susan Mahony, PhD, has been appointed to Axsome’s board of directors, effective immediately.</w:t>
      </w:r>
    </w:p>
    <w:p>
      <w:pPr>
        <w:spacing w:after="0" w:line="14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Dr. Mahony most recently served on the board of directors of Horizon Therapeutics from 2019 until its acquisition by Amgen in October 2023. She was formerly Senior Vice President of Eli Lilly and Company and President of Lilly Oncology, where under her leadership, the business unit evolved from one to five marketed medicines. At Lilly, she held leadership positions and led organizations in Europe, the United States, Canada, Japan, and China. Prior to Lilly, Dr. Mahony led commercial activities for Bristol Myers Squibb’s cardiovascular business and worked in sales and marketing at Amgen and Schering Plough.</w:t>
      </w:r>
    </w:p>
    <w:p>
      <w:pPr>
        <w:spacing w:after="0" w:line="14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are pleased to welcome Dr. Mahony, who has extensive leadership experience in global drug development and commercialization, to our board of directors,” said Herriot Tabuteau, MD, Chief Executive Officer of Axsome. “Dr. Mahony is an excellent complement to the rest of our board, expanding its perspectives and expertise, as we work to create significant value for shareholders. Dr. Mahony’s lifetime commitment to helping patients with serious conditions will advance our mission of developing and delivering innovative treatment options for critical areas of unmet patient need in the CNS space.”</w:t>
      </w:r>
    </w:p>
    <w:p>
      <w:pPr>
        <w:spacing w:after="0" w:line="16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Dr. Mahony added, “I am excited to join the Axsome board and work with the other directors and members of the leadership team to help advance the Company’s commercial portfolio and robust product candidate pipeline. Axsome has an enviable track record of focused, productive, and efficient drug development. With two differentiated commercial products in early launch phases, and the potential to have up to six marketed products by 2025, now is a time of potentially important inflection for the Company. I look forward to contributing to Axsome’s continued transformation into a premier CNS-focused biopharmaceutical company.”</w:t>
      </w:r>
    </w:p>
    <w:p>
      <w:pPr>
        <w:spacing w:after="0" w:line="14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Dr. Mahony earned her Bachelor of Science in Pharmacy, and her Doctor of Philosophy in Oncology from the University of Aston, UK. She also earned her Master of Business Administration from the London School of Business. Dr. Mahony served on the board of directors of Vifor Pharma from 2019 until its acquisition by CSL Limited in 2022. Dr. Mahony currently serves on the board of directors of Zymeworks Inc. and Assembly Biosciences. Dr. Mahony also serves on the board of directors of the Chordoma Foundation, a nonprofit dedicated to improving the lives of people affected by chordoma.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1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348615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 Looking Statements</w:t>
      </w:r>
    </w:p>
    <w:p>
      <w:pPr>
        <w:spacing w:after="0" w:line="1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 and Auvelity® products and the success of our efforts to obtain any additional indication(s) with respect to solriamfetol and/or AXS-05;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revenues or expenses), futility analyses and receipt of interim results, which are not necessarily indicative of the final results of our ongoing clinical trials, and/or data readouts,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statements regarding the timing of any NDA submission;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if approved,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235" w:lineRule="auto"/>
        <w:rPr>
          <w:sz w:val="20"/>
          <w:szCs w:val="20"/>
          <w:color w:val="auto"/>
        </w:rPr>
      </w:pPr>
      <w:r>
        <w:rPr>
          <w:rFonts w:ascii="Arial" w:cs="Arial" w:eastAsia="Arial" w:hAnsi="Arial"/>
          <w:sz w:val="18"/>
          <w:szCs w:val="18"/>
          <w:color w:val="auto"/>
        </w:rPr>
        <w:t>One World Trade Center, 22nd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212-332-3243</w:t>
      </w:r>
    </w:p>
    <w:p>
      <w:pPr>
        <w:spacing w:after="0"/>
        <w:rPr>
          <w:sz w:val="20"/>
          <w:szCs w:val="20"/>
          <w:color w:val="auto"/>
        </w:rPr>
      </w:pPr>
      <w:r>
        <w:rPr>
          <w:rFonts w:ascii="Arial" w:cs="Arial" w:eastAsia="Arial" w:hAnsi="Arial"/>
          <w:sz w:val="18"/>
          <w:szCs w:val="18"/>
          <w:color w:val="auto"/>
        </w:rPr>
        <w:t>Email: mjacobson@axsome.com</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4" w:lineRule="auto"/>
        <w:rPr>
          <w:sz w:val="20"/>
          <w:szCs w:val="20"/>
          <w:color w:val="auto"/>
        </w:rPr>
      </w:pPr>
      <w:r>
        <w:rPr>
          <w:rFonts w:ascii="Arial" w:cs="Arial" w:eastAsia="Arial" w:hAnsi="Arial"/>
          <w:sz w:val="18"/>
          <w:szCs w:val="18"/>
          <w:color w:val="auto"/>
        </w:rPr>
        <w:t>Director, Corporate Communications</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235" w:lineRule="auto"/>
        <w:rPr>
          <w:sz w:val="20"/>
          <w:szCs w:val="20"/>
          <w:color w:val="auto"/>
        </w:rPr>
      </w:pPr>
      <w:r>
        <w:rPr>
          <w:rFonts w:ascii="Arial" w:cs="Arial" w:eastAsia="Arial" w:hAnsi="Arial"/>
          <w:sz w:val="18"/>
          <w:szCs w:val="18"/>
          <w:color w:val="auto"/>
        </w:rPr>
        <w:t>One World Trade Center, 22nd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929-837-1065</w:t>
      </w:r>
    </w:p>
    <w:p>
      <w:pPr>
        <w:spacing w:after="0"/>
        <w:rPr>
          <w:sz w:val="20"/>
          <w:szCs w:val="20"/>
          <w:color w:val="auto"/>
        </w:rPr>
      </w:pPr>
      <w:r>
        <w:rPr>
          <w:rFonts w:ascii="Arial" w:cs="Arial" w:eastAsia="Arial" w:hAnsi="Arial"/>
          <w:sz w:val="18"/>
          <w:szCs w:val="18"/>
          <w:color w:val="auto"/>
        </w:rPr>
        <w:t>Email: dopland@axsome.com</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2023-10-11T16:13:05Z</dcterms:created>
  <dcterms:modified xsi:type="dcterms:W3CDTF">2023-10-11T16:13:05Z</dcterms:modified>
</cp:coreProperties>
</file>