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26,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001-37635</w:t>
            </w:r>
          </w:p>
        </w:tc>
        <w:tc>
          <w:tcPr>
            <w:tcW w:w="2460" w:type="dxa"/>
            <w:vAlign w:val="bottom"/>
          </w:tcPr>
          <w:p>
            <w:pPr>
              <w:jc w:val="right"/>
              <w:ind w:right="150"/>
              <w:spacing w:after="0"/>
              <w:rPr>
                <w:sz w:val="20"/>
                <w:szCs w:val="20"/>
                <w:color w:val="auto"/>
              </w:rPr>
            </w:pPr>
            <w:r>
              <w:rPr>
                <w:rFonts w:ascii="Arial" w:cs="Arial" w:eastAsia="Arial" w:hAnsi="Arial"/>
                <w:sz w:val="18"/>
                <w:szCs w:val="18"/>
                <w:b w:val="1"/>
                <w:bCs w:val="1"/>
                <w:color w:val="auto"/>
              </w:rPr>
              <w:t>45-4241907</w:t>
            </w:r>
          </w:p>
        </w:tc>
      </w:tr>
      <w:tr>
        <w:trPr>
          <w:trHeight w:val="216"/>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1"/>
              </w:rPr>
              <w:t>(State or other jurisdiction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1"/>
              </w:rPr>
              <w:t>(Commission</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5"/>
              </w:rPr>
              <w:t>of incorporation)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2"/>
              </w:rPr>
              <w:t>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r>
      <w:tr>
        <w:trPr>
          <w:trHeight w:val="427"/>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22 Cortlandt Street, 16</w:t>
            </w:r>
            <w:r>
              <w:rPr>
                <w:rFonts w:ascii="Arial" w:cs="Arial" w:eastAsia="Arial" w:hAnsi="Arial"/>
                <w:sz w:val="15"/>
                <w:szCs w:val="15"/>
                <w:b w:val="1"/>
                <w:bCs w:val="1"/>
                <w:color w:val="auto"/>
                <w:w w:val="92"/>
              </w:rPr>
              <w:t>th</w:t>
            </w:r>
            <w:r>
              <w:rPr>
                <w:rFonts w:ascii="Arial" w:cs="Arial" w:eastAsia="Arial" w:hAnsi="Arial"/>
                <w:sz w:val="18"/>
                <w:szCs w:val="18"/>
                <w:b w:val="1"/>
                <w:bCs w:val="1"/>
                <w:color w:val="auto"/>
                <w:w w:val="92"/>
              </w:rPr>
              <w:t xml:space="preserve"> Floor</w:t>
            </w:r>
          </w:p>
        </w:tc>
        <w:tc>
          <w:tcPr>
            <w:tcW w:w="28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0"/>
        </w:trPr>
        <w:tc>
          <w:tcPr>
            <w:tcW w:w="3600" w:type="dxa"/>
            <w:vAlign w:val="bottom"/>
          </w:tcPr>
          <w:p>
            <w:pPr>
              <w:jc w:val="center"/>
              <w:ind w:right="650"/>
              <w:spacing w:after="0"/>
              <w:rPr>
                <w:sz w:val="20"/>
                <w:szCs w:val="20"/>
                <w:color w:val="auto"/>
              </w:rPr>
            </w:pPr>
            <w:r>
              <w:rPr>
                <w:rFonts w:ascii="Arial" w:cs="Arial" w:eastAsia="Arial" w:hAnsi="Arial"/>
                <w:sz w:val="18"/>
                <w:szCs w:val="18"/>
                <w:b w:val="1"/>
                <w:bCs w:val="1"/>
                <w:color w:val="auto"/>
                <w:w w:val="93"/>
              </w:rPr>
              <w:t>New York, New York</w:t>
            </w:r>
          </w:p>
        </w:tc>
        <w:tc>
          <w:tcPr>
            <w:tcW w:w="2880" w:type="dxa"/>
            <w:vAlign w:val="bottom"/>
          </w:tcPr>
          <w:p>
            <w:pPr>
              <w:spacing w:after="0"/>
              <w:rPr>
                <w:sz w:val="19"/>
                <w:szCs w:val="19"/>
                <w:color w:val="auto"/>
              </w:rPr>
            </w:pPr>
          </w:p>
        </w:tc>
        <w:tc>
          <w:tcPr>
            <w:tcW w:w="24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10007</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246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3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0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89" w:lineRule="exact"/>
        <w:rPr>
          <w:sz w:val="20"/>
          <w:szCs w:val="20"/>
          <w:color w:val="auto"/>
        </w:rPr>
      </w:pPr>
    </w:p>
    <w:p>
      <w:pPr>
        <w:jc w:val="both"/>
        <w:ind w:right="160" w:firstLine="749"/>
        <w:spacing w:after="0" w:line="263" w:lineRule="auto"/>
        <w:rPr>
          <w:sz w:val="20"/>
          <w:szCs w:val="20"/>
          <w:color w:val="auto"/>
        </w:rPr>
      </w:pPr>
      <w:r>
        <w:rPr>
          <w:rFonts w:ascii="Arial" w:cs="Arial" w:eastAsia="Arial" w:hAnsi="Arial"/>
          <w:sz w:val="18"/>
          <w:szCs w:val="18"/>
          <w:color w:val="auto"/>
        </w:rPr>
        <w:t>On April 26, 2021, Axsome Therapeutics, Inc. (the “Company”) issued a press release announcing that the U.S. Food and Drug Administration has accepted for filing the Company's New Drug Application for AXS-05 for the treatment of major depressive disorder, and has granted the application Priority Review.</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580" w:type="dxa"/>
            <w:vAlign w:val="bottom"/>
          </w:tcPr>
          <w:p>
            <w:pPr>
              <w:spacing w:after="0"/>
              <w:rPr>
                <w:sz w:val="14"/>
                <w:szCs w:val="14"/>
                <w:color w:val="auto"/>
              </w:rPr>
            </w:pPr>
          </w:p>
        </w:tc>
        <w:tc>
          <w:tcPr>
            <w:tcW w:w="7420" w:type="dxa"/>
            <w:vAlign w:val="bottom"/>
          </w:tcPr>
          <w:p>
            <w:pPr>
              <w:ind w:left="2060"/>
              <w:spacing w:after="0"/>
              <w:rPr>
                <w:sz w:val="20"/>
                <w:szCs w:val="20"/>
                <w:color w:val="auto"/>
              </w:rPr>
            </w:pPr>
            <w:r>
              <w:rPr>
                <w:rFonts w:ascii="Arial" w:cs="Arial" w:eastAsia="Arial" w:hAnsi="Arial"/>
                <w:sz w:val="14"/>
                <w:szCs w:val="14"/>
                <w:b w:val="1"/>
                <w:bCs w:val="1"/>
                <w:color w:val="auto"/>
              </w:rPr>
              <w:t>Description</w:t>
            </w:r>
          </w:p>
        </w:tc>
      </w:tr>
      <w:tr>
        <w:trPr>
          <w:trHeight w:val="210"/>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2580" w:type="dxa"/>
            <w:vAlign w:val="bottom"/>
            <w:tcBorders>
              <w:top w:val="single" w:sz="8" w:color="auto"/>
              <w:bottom w:val="single" w:sz="8" w:color="0000EE"/>
            </w:tcBorders>
          </w:tcPr>
          <w:p>
            <w:pPr>
              <w:ind w:left="20"/>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dated April 26, 2021.</w:t>
              </w:r>
            </w:hyperlink>
          </w:p>
        </w:tc>
        <w:tc>
          <w:tcPr>
            <w:tcW w:w="7420" w:type="dxa"/>
            <w:vAlign w:val="bottom"/>
            <w:tcBorders>
              <w:top w:val="single" w:sz="8" w:color="auto"/>
            </w:tcBorders>
          </w:tcPr>
          <w:p>
            <w:pPr>
              <w:spacing w:after="0"/>
              <w:rPr>
                <w:sz w:val="18"/>
                <w:szCs w:val="18"/>
                <w:color w:val="auto"/>
              </w:rPr>
            </w:pPr>
          </w:p>
        </w:tc>
      </w:tr>
    </w:tbl>
    <w:p>
      <w:pPr>
        <w:spacing w:after="0" w:line="13" w:lineRule="exact"/>
        <w:rPr>
          <w:sz w:val="20"/>
          <w:szCs w:val="20"/>
          <w:color w:val="auto"/>
        </w:rPr>
      </w:pPr>
    </w:p>
    <w:p>
      <w:pPr>
        <w:ind w:left="5580" w:right="4160" w:hanging="5572"/>
        <w:spacing w:after="0" w:line="809" w:lineRule="auto"/>
        <w:tabs>
          <w:tab w:leader="none" w:pos="1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Axsome Therapeutics, Inc.</w:t>
            </w:r>
          </w:p>
        </w:tc>
      </w:tr>
      <w:tr>
        <w:trPr>
          <w:trHeight w:val="466"/>
        </w:trPr>
        <w:tc>
          <w:tcPr>
            <w:tcW w:w="3580" w:type="dxa"/>
            <w:vAlign w:val="bottom"/>
          </w:tcPr>
          <w:p>
            <w:pPr>
              <w:spacing w:after="0"/>
              <w:rPr>
                <w:sz w:val="20"/>
                <w:szCs w:val="20"/>
                <w:color w:val="auto"/>
              </w:rPr>
            </w:pPr>
            <w:r>
              <w:rPr>
                <w:rFonts w:ascii="Arial" w:cs="Arial" w:eastAsia="Arial" w:hAnsi="Arial"/>
                <w:sz w:val="18"/>
                <w:szCs w:val="18"/>
                <w:color w:val="auto"/>
              </w:rPr>
              <w:t>Dated: April 26, 2021</w:t>
            </w:r>
          </w:p>
        </w:tc>
        <w:tc>
          <w:tcPr>
            <w:tcW w:w="2940" w:type="dxa"/>
            <w:vAlign w:val="bottom"/>
          </w:tcPr>
          <w:p>
            <w:pPr>
              <w:ind w:left="206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215"/>
        </w:trPr>
        <w:tc>
          <w:tcPr>
            <w:tcW w:w="3580" w:type="dxa"/>
            <w:vAlign w:val="bottom"/>
          </w:tcPr>
          <w:p>
            <w:pPr>
              <w:spacing w:after="0"/>
              <w:rPr>
                <w:sz w:val="18"/>
                <w:szCs w:val="18"/>
                <w:color w:val="auto"/>
              </w:rPr>
            </w:pPr>
          </w:p>
        </w:tc>
        <w:tc>
          <w:tcPr>
            <w:tcW w:w="2940" w:type="dxa"/>
            <w:vAlign w:val="bottom"/>
          </w:tcPr>
          <w:p>
            <w:pPr>
              <w:ind w:left="206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Herriot Tabuteau, M.D.</w:t>
            </w:r>
          </w:p>
        </w:tc>
      </w:tr>
      <w:tr>
        <w:trPr>
          <w:trHeight w:val="230"/>
        </w:trPr>
        <w:tc>
          <w:tcPr>
            <w:tcW w:w="3580" w:type="dxa"/>
            <w:vAlign w:val="bottom"/>
          </w:tcPr>
          <w:p>
            <w:pPr>
              <w:spacing w:after="0"/>
              <w:rPr>
                <w:sz w:val="20"/>
                <w:szCs w:val="20"/>
                <w:color w:val="auto"/>
              </w:rPr>
            </w:pPr>
          </w:p>
        </w:tc>
        <w:tc>
          <w:tcPr>
            <w:tcW w:w="2940" w:type="dxa"/>
            <w:vAlign w:val="bottom"/>
          </w:tcPr>
          <w:p>
            <w:pPr>
              <w:ind w:left="206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580" w:type="dxa"/>
            <w:vAlign w:val="bottom"/>
          </w:tcPr>
          <w:p>
            <w:pPr>
              <w:spacing w:after="0"/>
              <w:rPr>
                <w:sz w:val="24"/>
                <w:szCs w:val="24"/>
                <w:color w:val="auto"/>
              </w:rPr>
            </w:pPr>
          </w:p>
        </w:tc>
        <w:tc>
          <w:tcPr>
            <w:tcW w:w="2940" w:type="dxa"/>
            <w:vAlign w:val="bottom"/>
          </w:tcPr>
          <w:p>
            <w:pPr>
              <w:ind w:left="2000"/>
              <w:spacing w:after="0"/>
              <w:rPr>
                <w:sz w:val="20"/>
                <w:szCs w:val="20"/>
                <w:color w:val="auto"/>
              </w:rPr>
            </w:pPr>
            <w:r>
              <w:rPr>
                <w:rFonts w:ascii="Arial" w:cs="Arial" w:eastAsia="Arial" w:hAnsi="Arial"/>
                <w:sz w:val="18"/>
                <w:szCs w:val="18"/>
                <w:color w:val="auto"/>
              </w:rPr>
              <w:t>2</w:t>
            </w:r>
          </w:p>
        </w:tc>
        <w:tc>
          <w:tcPr>
            <w:tcW w:w="472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44018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Axsome Therapeutics Announces FDA Acceptance and Priority Review of New Drug Application for AXS-05 for Treatment of Major Depressive Disorder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FDA grants Priority Review and sets PDUFA action goal date of August 22, 2021</w:t>
      </w:r>
    </w:p>
    <w:p>
      <w:pPr>
        <w:spacing w:after="0" w:line="20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NEW YORK, April 26, 2021 (Globe Newswire) – Axsome Therapeutics, Inc. (NASDAQ: AXSM), a biopharmaceutical company developing novel therapies for the management of central nervous system (CNS) disorders, today announced that the U.S. Food and Drug Administration (FDA) has accepted for filing the Company’s New Drug Application (NDA) for AXS-05 for the treatment of major depressive disorder (MDD), and has granted the application Priority Review. AXS-05 (dextromethorphan-bupropion) is a novel, oral, investigational NMDA receptor antagonist with multimodal activity.</w:t>
      </w:r>
    </w:p>
    <w:p>
      <w:pPr>
        <w:spacing w:after="0" w:line="16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Priority Review is granted by the FDA to applications for medicines that, if approved, would provide significant improvements in the effectiveness or safety of the treatment, diagnosis, or prevention of serious conditions when compared to standard applications. In general, the FDA’s Priority Review designation accelerates the review time from 10 months to a goal of six months from the date of acceptance of the filing. The FDA has set a Prescription Drug User Fee Act (PDUFA) target action date for the AXS-05 NDA of August 22, 2021.</w:t>
      </w:r>
    </w:p>
    <w:p>
      <w:pPr>
        <w:spacing w:after="0" w:line="16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FDA previously granted Breakthrough Therapy Designation for AXS-05 for the treatment of MDD in March 2019. The FDA also granted Breakthrough Therapy Designation for AXS-05, for a second indication, Alzheimer’s disease agitation in June 2020.</w:t>
      </w:r>
    </w:p>
    <w:p>
      <w:pPr>
        <w:spacing w:after="0" w:line="17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are pleased with the FDA’s acceptance and Priority Review designation of our NDA for AXS-05 in major depressive disorder, and we look forward to continuing to work closely with the FDA throughout the review process,” said Herriot Tabuteau, MD, Chief Executive Officer of Axsome. “If approved, AXS-05 would be an important new treatment option for the many Americans living with depression.”</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NDA is supported by results from two randomized, double-blind, controlled trials of AXS-05 in patients with a confirmed diagnosis of moderate to severe MDD, the GEMINI and ASCEND trials, which demonstrated statistically significant improvements in depressive symptoms with AXS-05 compared to placebo and active controls,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 (MDD)</w:t>
      </w:r>
    </w:p>
    <w:p>
      <w:pPr>
        <w:spacing w:after="0" w:line="2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7% of U.S. adults, or approximately 19 million, experience MDD each year</w:t>
      </w:r>
      <w:r>
        <w:rPr>
          <w:rFonts w:ascii="Arial" w:cs="Arial" w:eastAsia="Arial" w:hAnsi="Arial"/>
          <w:sz w:val="15"/>
          <w:szCs w:val="15"/>
          <w:color w:val="auto"/>
        </w:rPr>
        <w:t>1</w:t>
      </w:r>
      <w:r>
        <w:rPr>
          <w:rFonts w:ascii="Arial" w:cs="Arial" w:eastAsia="Arial" w:hAnsi="Arial"/>
          <w:sz w:val="18"/>
          <w:szCs w:val="18"/>
          <w:color w:val="auto"/>
        </w:rPr>
        <w:t>. According to the World Health Organization (WHO), depression is the leading cause of disability worldwide, and is a major contributor to the overall global burden of disease</w:t>
      </w:r>
      <w:r>
        <w:rPr>
          <w:rFonts w:ascii="Arial" w:cs="Arial" w:eastAsia="Arial" w:hAnsi="Arial"/>
          <w:sz w:val="15"/>
          <w:szCs w:val="15"/>
          <w:color w:val="auto"/>
        </w:rPr>
        <w:t>2</w:t>
      </w:r>
      <w:r>
        <w:rPr>
          <w:rFonts w:ascii="Arial" w:cs="Arial" w:eastAsia="Arial" w:hAnsi="Arial"/>
          <w:sz w:val="18"/>
          <w:szCs w:val="18"/>
          <w:color w:val="auto"/>
        </w:rPr>
        <w:t>. Nearly two-thirds of diagnosed and treated patients do not experience adequate treatment response with currently available first-line therapy</w:t>
      </w:r>
      <w:r>
        <w:rPr>
          <w:rFonts w:ascii="Arial" w:cs="Arial" w:eastAsia="Arial" w:hAnsi="Arial"/>
          <w:sz w:val="15"/>
          <w:szCs w:val="15"/>
          <w:color w:val="auto"/>
        </w:rPr>
        <w:t>3</w:t>
      </w:r>
      <w:r>
        <w:rPr>
          <w:rFonts w:ascii="Arial" w:cs="Arial" w:eastAsia="Arial" w:hAnsi="Arial"/>
          <w:sz w:val="18"/>
          <w:szCs w:val="18"/>
          <w:color w:val="auto"/>
        </w:rPr>
        <w:t>, highlighting the need for additional therapies with new mechanisms of action.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AXS-05</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AXS-05 (dextromethorphan-bupropion) is a novel, oral, patent-protected, investigational NMDA receptor antagonist with multimodal activity under development for the treatment of major depressive disorder and other central nervous system (CNS) disorders. AXS-05 utilizes a proprietary formulation and dose of dextromethorphan and bupropion, and Axsome’s metabolic inhibition technology, to modulate the delivery of the components. The dextromethorphan component of AXS-05 is an uncompetitive N-methyl -D-aspartate (NMDA) receptor antagonist, also known as a glutamate receptor modulator, which is a novel mechanism of action, meaning it works differently than currently approved therapies for major depressive disorder. The dextromethorphan component of AXS-05 is also a sigma-1 receptor agonist. The bupropion component of AXS-05 serves to increase the bioavailability of dextromethorphan, and is a norepinephrine and dopamine reuptake inhibitor. AXS-05 is currently covered by more than 100 issued U.S. and international patents, with expiration dates out to 2040. AXS-05 has been granted U.S. Food and Drug Administration (FDA) Breakthrough Therapy designations for the treatment of MDD and for treatment of Alzheimer’s disease agitation. AXS-05 is not approved by the FDA.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Alzheimer’s disease (AD) agitation, and as a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261" w:lineRule="exact"/>
        <w:rPr>
          <w:sz w:val="20"/>
          <w:szCs w:val="20"/>
          <w:color w:val="auto"/>
        </w:rPr>
      </w:pPr>
    </w:p>
    <w:p>
      <w:pPr>
        <w:ind w:left="800" w:right="380" w:hanging="401"/>
        <w:spacing w:after="0" w:line="246"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404040"/>
        </w:rPr>
        <w:t xml:space="preserve">Substance Abuse and Mental Health Services Administration. (2020). Results from the 2019 National Survey on Drug Use and Health. Retrieved from </w:t>
      </w:r>
      <w:r>
        <w:rPr>
          <w:rFonts w:ascii="Arial" w:cs="Arial" w:eastAsia="Arial" w:hAnsi="Arial"/>
          <w:sz w:val="18"/>
          <w:szCs w:val="18"/>
          <w:u w:val="single" w:color="auto"/>
          <w:color w:val="009EC2"/>
        </w:rPr>
        <w:t>https://www.samhsa.gov/data/</w:t>
      </w:r>
      <w:r>
        <w:rPr>
          <w:rFonts w:ascii="Arial" w:cs="Arial" w:eastAsia="Arial" w:hAnsi="Arial"/>
          <w:sz w:val="18"/>
          <w:szCs w:val="18"/>
          <w:color w:val="404040"/>
        </w:rPr>
        <w:t>.</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World Health Organization. Fact Sheets: Depression.</w:t>
      </w:r>
    </w:p>
    <w:p>
      <w:pPr>
        <w:spacing w:after="0" w:line="333"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Rush AJ, et al. (2007) Am J. Psychiatry 163:11, pp. 1905-1917 (STAR*D Study).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and whether the FDA will agree with the Company’s discontinuation of the bupropion treatment arm of the ADVANCE study in accordance with the independent data monitoring committee’s recommendations); the successful submission of and approval by the FDA of an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as well as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22 Cortlandt Street, 16th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4"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220"/>
      </w:cols>
      <w:pgMar w:left="320" w:top="6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2021-04-26T06:06:57Z</dcterms:created>
  <dcterms:modified xsi:type="dcterms:W3CDTF">2021-04-26T06:06:57Z</dcterms:modified>
</cp:coreProperties>
</file>