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624840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40" w:type="dxa"/>
            <w:vAlign w:val="bottom"/>
            <w:gridSpan w:val="3"/>
          </w:tcPr>
          <w:p>
            <w:pPr>
              <w:jc w:val="center"/>
              <w:ind w:right="2560"/>
              <w:spacing w:after="0"/>
              <w:rPr>
                <w:sz w:val="20"/>
                <w:szCs w:val="20"/>
                <w:color w:val="auto"/>
              </w:rPr>
            </w:pPr>
            <w:r>
              <w:rPr>
                <w:rFonts w:ascii="Times New Roman" w:cs="Times New Roman" w:eastAsia="Times New Roman" w:hAnsi="Times New Roman"/>
                <w:sz w:val="22"/>
                <w:szCs w:val="22"/>
                <w:b w:val="1"/>
                <w:bCs w:val="1"/>
                <w:color w:val="auto"/>
                <w:w w:val="98"/>
              </w:rPr>
              <w:t>UNITED STATES</w:t>
            </w:r>
          </w:p>
        </w:tc>
        <w:tc>
          <w:tcPr>
            <w:tcW w:w="0" w:type="dxa"/>
            <w:vAlign w:val="bottom"/>
          </w:tcPr>
          <w:p>
            <w:pPr>
              <w:spacing w:after="0"/>
              <w:rPr>
                <w:sz w:val="1"/>
                <w:szCs w:val="1"/>
                <w:color w:val="auto"/>
              </w:rPr>
            </w:pPr>
          </w:p>
        </w:tc>
      </w:tr>
      <w:tr>
        <w:trPr>
          <w:trHeight w:val="252"/>
        </w:trPr>
        <w:tc>
          <w:tcPr>
            <w:tcW w:w="1140" w:type="dxa"/>
            <w:vAlign w:val="bottom"/>
          </w:tcPr>
          <w:p>
            <w:pPr>
              <w:spacing w:after="0"/>
              <w:rPr>
                <w:sz w:val="21"/>
                <w:szCs w:val="21"/>
                <w:color w:val="auto"/>
              </w:rPr>
            </w:pPr>
          </w:p>
        </w:tc>
        <w:tc>
          <w:tcPr>
            <w:tcW w:w="8360" w:type="dxa"/>
            <w:vAlign w:val="bottom"/>
            <w:gridSpan w:val="5"/>
          </w:tcPr>
          <w:p>
            <w:pPr>
              <w:jc w:val="center"/>
              <w:ind w:left="481"/>
              <w:spacing w:after="0"/>
              <w:rPr>
                <w:sz w:val="20"/>
                <w:szCs w:val="20"/>
                <w:color w:val="auto"/>
              </w:rPr>
            </w:pPr>
            <w:r>
              <w:rPr>
                <w:rFonts w:ascii="Times New Roman" w:cs="Times New Roman" w:eastAsia="Times New Roman" w:hAnsi="Times New Roman"/>
                <w:sz w:val="22"/>
                <w:szCs w:val="22"/>
                <w:b w:val="1"/>
                <w:bCs w:val="1"/>
                <w:color w:val="auto"/>
                <w:w w:val="97"/>
              </w:rPr>
              <w:t>SECURITIES AND EXCHANGE COMMISSION</w:t>
            </w: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40" w:type="dxa"/>
            <w:vAlign w:val="bottom"/>
            <w:gridSpan w:val="3"/>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2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7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14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highlight w:val="black"/>
              </w:rPr>
              <w:t>☒</w:t>
            </w:r>
          </w:p>
        </w:tc>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40" w:type="dxa"/>
            <w:vAlign w:val="bottom"/>
            <w:gridSpan w:val="3"/>
          </w:tcPr>
          <w:p>
            <w:pPr>
              <w:jc w:val="center"/>
              <w:ind w:right="2560"/>
              <w:spacing w:after="0"/>
              <w:rPr>
                <w:sz w:val="20"/>
                <w:szCs w:val="20"/>
                <w:color w:val="auto"/>
              </w:rPr>
            </w:pPr>
            <w:r>
              <w:rPr>
                <w:rFonts w:ascii="Times New Roman" w:cs="Times New Roman" w:eastAsia="Times New Roman" w:hAnsi="Times New Roman"/>
                <w:sz w:val="22"/>
                <w:szCs w:val="22"/>
                <w:b w:val="1"/>
                <w:bCs w:val="1"/>
                <w:color w:val="auto"/>
                <w:w w:val="97"/>
              </w:rPr>
              <w:t>FORM 10-K</w:t>
            </w:r>
          </w:p>
        </w:tc>
        <w:tc>
          <w:tcPr>
            <w:tcW w:w="0" w:type="dxa"/>
            <w:vAlign w:val="bottom"/>
          </w:tcPr>
          <w:p>
            <w:pPr>
              <w:spacing w:after="0"/>
              <w:rPr>
                <w:sz w:val="1"/>
                <w:szCs w:val="1"/>
                <w:color w:val="auto"/>
              </w:rPr>
            </w:pPr>
          </w:p>
        </w:tc>
      </w:tr>
      <w:tr>
        <w:trPr>
          <w:trHeight w:val="189"/>
        </w:trPr>
        <w:tc>
          <w:tcPr>
            <w:tcW w:w="1140" w:type="dxa"/>
            <w:vAlign w:val="bottom"/>
            <w:vMerge w:val="continue"/>
          </w:tcPr>
          <w:p>
            <w:pPr>
              <w:spacing w:after="0"/>
              <w:rPr>
                <w:sz w:val="16"/>
                <w:szCs w:val="16"/>
                <w:color w:val="auto"/>
              </w:rPr>
            </w:pPr>
          </w:p>
        </w:tc>
        <w:tc>
          <w:tcPr>
            <w:tcW w:w="8360" w:type="dxa"/>
            <w:vAlign w:val="bottom"/>
            <w:gridSpan w:val="5"/>
          </w:tcPr>
          <w:p>
            <w:pPr>
              <w:jc w:val="center"/>
              <w:ind w:left="961"/>
              <w:spacing w:after="0"/>
              <w:rPr>
                <w:sz w:val="20"/>
                <w:szCs w:val="20"/>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5440" w:type="dxa"/>
            <w:vAlign w:val="bottom"/>
            <w:gridSpan w:val="4"/>
          </w:tcPr>
          <w:p>
            <w:pPr>
              <w:jc w:val="center"/>
              <w:ind w:right="236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tc>
        <w:tc>
          <w:tcPr>
            <w:tcW w:w="0" w:type="dxa"/>
            <w:vAlign w:val="bottom"/>
          </w:tcPr>
          <w:p>
            <w:pPr>
              <w:spacing w:after="0"/>
              <w:rPr>
                <w:sz w:val="1"/>
                <w:szCs w:val="1"/>
                <w:color w:val="auto"/>
              </w:rPr>
            </w:pPr>
          </w:p>
        </w:tc>
      </w:tr>
      <w:tr>
        <w:trPr>
          <w:trHeight w:val="190"/>
        </w:trPr>
        <w:tc>
          <w:tcPr>
            <w:tcW w:w="114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highlight w:val="black"/>
              </w:rPr>
              <w:t>☐</w:t>
            </w:r>
          </w:p>
        </w:tc>
        <w:tc>
          <w:tcPr>
            <w:tcW w:w="2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40" w:type="dxa"/>
            <w:vAlign w:val="bottom"/>
            <w:gridSpan w:val="3"/>
          </w:tcPr>
          <w:p>
            <w:pPr>
              <w:jc w:val="center"/>
              <w:ind w:right="2540"/>
              <w:spacing w:after="0"/>
              <w:rPr>
                <w:sz w:val="20"/>
                <w:szCs w:val="20"/>
                <w:color w:val="auto"/>
              </w:rPr>
            </w:pPr>
            <w:r>
              <w:rPr>
                <w:rFonts w:ascii="Times New Roman" w:cs="Times New Roman" w:eastAsia="Times New Roman" w:hAnsi="Times New Roman"/>
                <w:sz w:val="14"/>
                <w:szCs w:val="14"/>
                <w:b w:val="1"/>
                <w:bCs w:val="1"/>
                <w:color w:val="auto"/>
              </w:rPr>
              <w:t>OR</w:t>
            </w:r>
          </w:p>
        </w:tc>
        <w:tc>
          <w:tcPr>
            <w:tcW w:w="0" w:type="dxa"/>
            <w:vAlign w:val="bottom"/>
          </w:tcPr>
          <w:p>
            <w:pPr>
              <w:spacing w:after="0"/>
              <w:rPr>
                <w:sz w:val="1"/>
                <w:szCs w:val="1"/>
                <w:color w:val="auto"/>
              </w:rPr>
            </w:pPr>
          </w:p>
        </w:tc>
      </w:tr>
      <w:tr>
        <w:trPr>
          <w:trHeight w:val="224"/>
        </w:trPr>
        <w:tc>
          <w:tcPr>
            <w:tcW w:w="1140" w:type="dxa"/>
            <w:vAlign w:val="bottom"/>
            <w:vMerge w:val="continue"/>
          </w:tcPr>
          <w:p>
            <w:pPr>
              <w:spacing w:after="0"/>
              <w:rPr>
                <w:sz w:val="19"/>
                <w:szCs w:val="19"/>
                <w:color w:val="auto"/>
              </w:rPr>
            </w:pPr>
          </w:p>
        </w:tc>
        <w:tc>
          <w:tcPr>
            <w:tcW w:w="8360" w:type="dxa"/>
            <w:vAlign w:val="bottom"/>
            <w:gridSpan w:val="5"/>
          </w:tcPr>
          <w:p>
            <w:pPr>
              <w:jc w:val="center"/>
              <w:ind w:left="941"/>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35"/>
        </w:trPr>
        <w:tc>
          <w:tcPr>
            <w:tcW w:w="1140" w:type="dxa"/>
            <w:vAlign w:val="bottom"/>
          </w:tcPr>
          <w:p>
            <w:pPr>
              <w:spacing w:after="0"/>
              <w:rPr>
                <w:sz w:val="20"/>
                <w:szCs w:val="20"/>
                <w:color w:val="auto"/>
              </w:rPr>
            </w:pPr>
          </w:p>
        </w:tc>
        <w:tc>
          <w:tcPr>
            <w:tcW w:w="8360" w:type="dxa"/>
            <w:vAlign w:val="bottom"/>
            <w:gridSpan w:val="5"/>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 to ________</w:t>
            </w: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440" w:type="dxa"/>
            <w:vAlign w:val="bottom"/>
            <w:gridSpan w:val="4"/>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Commission File Number 001-37635</w:t>
            </w: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2920" w:type="dxa"/>
            <w:vAlign w:val="bottom"/>
          </w:tcPr>
          <w:p>
            <w:pPr>
              <w:spacing w:after="0"/>
              <w:rPr>
                <w:sz w:val="4"/>
                <w:szCs w:val="4"/>
                <w:color w:val="auto"/>
              </w:rPr>
            </w:pPr>
          </w:p>
        </w:tc>
        <w:tc>
          <w:tcPr>
            <w:tcW w:w="3080" w:type="dxa"/>
            <w:vAlign w:val="bottom"/>
            <w:tcBorders>
              <w:bottom w:val="single" w:sz="8" w:color="auto"/>
            </w:tcBorders>
            <w:gridSpan w:val="3"/>
          </w:tcPr>
          <w:p>
            <w:pPr>
              <w:spacing w:after="0"/>
              <w:rPr>
                <w:sz w:val="4"/>
                <w:szCs w:val="4"/>
                <w:color w:val="auto"/>
              </w:rPr>
            </w:pPr>
          </w:p>
        </w:tc>
        <w:tc>
          <w:tcPr>
            <w:tcW w:w="2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5440" w:type="dxa"/>
            <w:vAlign w:val="bottom"/>
            <w:gridSpan w:val="4"/>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AXSOME THERAPEUTICS, INC.</w:t>
            </w: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8360" w:type="dxa"/>
            <w:vAlign w:val="bottom"/>
            <w:gridSpan w:val="5"/>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0" w:type="dxa"/>
            <w:vAlign w:val="bottom"/>
          </w:tcPr>
          <w:p>
            <w:pPr>
              <w:spacing w:after="0"/>
              <w:rPr>
                <w:sz w:val="1"/>
                <w:szCs w:val="1"/>
                <w:color w:val="auto"/>
              </w:rPr>
            </w:pPr>
          </w:p>
        </w:tc>
      </w:tr>
    </w:tbl>
    <w:p>
      <w:pPr>
        <w:spacing w:after="0" w:line="62" w:lineRule="exact"/>
        <w:rPr>
          <w:sz w:val="24"/>
          <w:szCs w:val="24"/>
          <w:color w:val="auto"/>
        </w:rPr>
      </w:pPr>
    </w:p>
    <w:tbl>
      <w:tblPr>
        <w:tblLayout w:type="fixed"/>
        <w:tblInd w:w="1680" w:type="dxa"/>
        <w:tblCellMar>
          <w:top w:w="0" w:type="dxa"/>
          <w:left w:w="0" w:type="dxa"/>
          <w:bottom w:w="0" w:type="dxa"/>
          <w:right w:w="0" w:type="dxa"/>
        </w:tblCellMar>
      </w:tblPr>
      <w:tr>
        <w:trPr>
          <w:trHeight w:val="196"/>
        </w:trPr>
        <w:tc>
          <w:tcPr>
            <w:tcW w:w="4240" w:type="dxa"/>
            <w:vAlign w:val="bottom"/>
          </w:tcPr>
          <w:p>
            <w:pPr>
              <w:jc w:val="center"/>
              <w:ind w:right="190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40" w:type="dxa"/>
            <w:vAlign w:val="bottom"/>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45-4241907</w:t>
            </w:r>
          </w:p>
        </w:tc>
      </w:tr>
      <w:tr>
        <w:trPr>
          <w:trHeight w:val="149"/>
        </w:trPr>
        <w:tc>
          <w:tcPr>
            <w:tcW w:w="4240" w:type="dxa"/>
            <w:vAlign w:val="bottom"/>
          </w:tcPr>
          <w:p>
            <w:pPr>
              <w:jc w:val="center"/>
              <w:ind w:right="1883"/>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040" w:type="dxa"/>
            <w:vAlign w:val="bottom"/>
          </w:tcPr>
          <w:p>
            <w:pPr>
              <w:jc w:val="center"/>
              <w:ind w:left="1904"/>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4240" w:type="dxa"/>
            <w:vAlign w:val="bottom"/>
          </w:tcPr>
          <w:p>
            <w:pPr>
              <w:jc w:val="center"/>
              <w:ind w:right="1903"/>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040" w:type="dxa"/>
            <w:vAlign w:val="bottom"/>
          </w:tcPr>
          <w:p>
            <w:pPr>
              <w:jc w:val="center"/>
              <w:ind w:left="1904"/>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10"/>
        </w:trPr>
        <w:tc>
          <w:tcPr>
            <w:tcW w:w="4240" w:type="dxa"/>
            <w:vAlign w:val="bottom"/>
          </w:tcPr>
          <w:p>
            <w:pPr>
              <w:jc w:val="center"/>
              <w:ind w:right="1883"/>
              <w:spacing w:after="0"/>
              <w:rPr>
                <w:sz w:val="20"/>
                <w:szCs w:val="20"/>
                <w:color w:val="auto"/>
              </w:rPr>
            </w:pPr>
            <w:r>
              <w:rPr>
                <w:rFonts w:ascii="Times New Roman" w:cs="Times New Roman" w:eastAsia="Times New Roman" w:hAnsi="Times New Roman"/>
                <w:sz w:val="16"/>
                <w:szCs w:val="16"/>
                <w:b w:val="1"/>
                <w:bCs w:val="1"/>
                <w:color w:val="auto"/>
              </w:rPr>
              <w:t>One World Trade Center</w:t>
            </w:r>
          </w:p>
        </w:tc>
        <w:tc>
          <w:tcPr>
            <w:tcW w:w="3040" w:type="dxa"/>
            <w:vAlign w:val="bottom"/>
          </w:tcPr>
          <w:p>
            <w:pPr>
              <w:spacing w:after="0"/>
              <w:rPr>
                <w:sz w:val="18"/>
                <w:szCs w:val="18"/>
                <w:color w:val="auto"/>
              </w:rPr>
            </w:pPr>
          </w:p>
        </w:tc>
      </w:tr>
      <w:tr>
        <w:trPr>
          <w:trHeight w:val="196"/>
        </w:trPr>
        <w:tc>
          <w:tcPr>
            <w:tcW w:w="4240" w:type="dxa"/>
            <w:vAlign w:val="bottom"/>
          </w:tcPr>
          <w:p>
            <w:pPr>
              <w:jc w:val="center"/>
              <w:ind w:right="1883"/>
              <w:spacing w:after="0"/>
              <w:rPr>
                <w:sz w:val="20"/>
                <w:szCs w:val="20"/>
                <w:color w:val="auto"/>
              </w:rPr>
            </w:pPr>
            <w:r>
              <w:rPr>
                <w:rFonts w:ascii="Times New Roman" w:cs="Times New Roman" w:eastAsia="Times New Roman" w:hAnsi="Times New Roman"/>
                <w:sz w:val="16"/>
                <w:szCs w:val="16"/>
                <w:b w:val="1"/>
                <w:bCs w:val="1"/>
                <w:color w:val="auto"/>
              </w:rPr>
              <w:t>22nd Floor</w:t>
            </w:r>
          </w:p>
        </w:tc>
        <w:tc>
          <w:tcPr>
            <w:tcW w:w="3040" w:type="dxa"/>
            <w:vAlign w:val="bottom"/>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10007</w:t>
            </w:r>
          </w:p>
        </w:tc>
      </w:tr>
      <w:tr>
        <w:trPr>
          <w:trHeight w:val="203"/>
        </w:trPr>
        <w:tc>
          <w:tcPr>
            <w:tcW w:w="4240" w:type="dxa"/>
            <w:vAlign w:val="bottom"/>
          </w:tcPr>
          <w:p>
            <w:pPr>
              <w:jc w:val="center"/>
              <w:ind w:right="1903"/>
              <w:spacing w:after="0"/>
              <w:rPr>
                <w:sz w:val="20"/>
                <w:szCs w:val="20"/>
                <w:color w:val="auto"/>
              </w:rPr>
            </w:pPr>
            <w:r>
              <w:rPr>
                <w:rFonts w:ascii="Times New Roman" w:cs="Times New Roman" w:eastAsia="Times New Roman" w:hAnsi="Times New Roman"/>
                <w:sz w:val="16"/>
                <w:szCs w:val="16"/>
                <w:b w:val="1"/>
                <w:bCs w:val="1"/>
                <w:color w:val="auto"/>
              </w:rPr>
              <w:t>New York, New York</w:t>
            </w:r>
          </w:p>
        </w:tc>
        <w:tc>
          <w:tcPr>
            <w:tcW w:w="3040" w:type="dxa"/>
            <w:vAlign w:val="bottom"/>
          </w:tcPr>
          <w:p>
            <w:pPr>
              <w:jc w:val="center"/>
              <w:ind w:left="1904"/>
              <w:spacing w:after="0"/>
              <w:rPr>
                <w:sz w:val="20"/>
                <w:szCs w:val="20"/>
                <w:color w:val="auto"/>
              </w:rPr>
            </w:pPr>
            <w:r>
              <w:rPr>
                <w:rFonts w:ascii="Times New Roman" w:cs="Times New Roman" w:eastAsia="Times New Roman" w:hAnsi="Times New Roman"/>
                <w:sz w:val="14"/>
                <w:szCs w:val="14"/>
                <w:color w:val="auto"/>
              </w:rPr>
              <w:t>(Zip Code)</w:t>
            </w:r>
          </w:p>
        </w:tc>
      </w:tr>
      <w:tr>
        <w:trPr>
          <w:trHeight w:val="188"/>
        </w:trPr>
        <w:tc>
          <w:tcPr>
            <w:tcW w:w="4240" w:type="dxa"/>
            <w:vAlign w:val="bottom"/>
          </w:tcPr>
          <w:p>
            <w:pPr>
              <w:jc w:val="center"/>
              <w:ind w:right="1883"/>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040" w:type="dxa"/>
            <w:vAlign w:val="bottom"/>
          </w:tcPr>
          <w:p>
            <w:pPr>
              <w:spacing w:after="0"/>
              <w:rPr>
                <w:sz w:val="16"/>
                <w:szCs w:val="16"/>
                <w:color w:val="auto"/>
              </w:rPr>
            </w:pPr>
          </w:p>
        </w:tc>
      </w:tr>
    </w:tbl>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332-3241</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38" w:orient="portrait"/>
          <w:cols w:equalWidth="0" w:num="1">
            <w:col w:w="11220"/>
          </w:cols>
          <w:pgMar w:left="320" w:top="223" w:right="359" w:bottom="1440" w:gutter="0" w:footer="0" w:header="0"/>
        </w:sectPr>
      </w:pPr>
    </w:p>
    <w:p>
      <w:pPr>
        <w:spacing w:after="0" w:line="84"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2"/>
          <w:szCs w:val="12"/>
          <w:color w:val="auto"/>
        </w:rPr>
        <w:t>Title of each class:</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Trading Symbol(s)</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Name of Each Exchange on Which Registered</w:t>
      </w:r>
    </w:p>
    <w:p>
      <w:pPr>
        <w:spacing w:after="0" w:line="119" w:lineRule="exact"/>
        <w:rPr>
          <w:sz w:val="24"/>
          <w:szCs w:val="24"/>
          <w:color w:val="auto"/>
        </w:rPr>
      </w:pPr>
    </w:p>
    <w:p>
      <w:pPr>
        <w:sectPr>
          <w:pgSz w:w="11900" w:h="16838" w:orient="portrait"/>
          <w:cols w:equalWidth="0" w:num="3">
            <w:col w:w="4440" w:space="720"/>
            <w:col w:w="2320" w:space="720"/>
            <w:col w:w="3020"/>
          </w:cols>
          <w:pgMar w:left="320" w:top="223" w:right="35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2"/>
          <w:szCs w:val="12"/>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AXSM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The Nasdaq Global Market</w:t>
      </w:r>
    </w:p>
    <w:p>
      <w:pPr>
        <w:spacing w:after="0" w:line="12" w:lineRule="exact"/>
        <w:rPr>
          <w:sz w:val="24"/>
          <w:szCs w:val="24"/>
          <w:color w:val="auto"/>
        </w:rPr>
      </w:pPr>
    </w:p>
    <w:p>
      <w:pPr>
        <w:sectPr>
          <w:pgSz w:w="11900" w:h="16838" w:orient="portrait"/>
          <w:cols w:equalWidth="0" w:num="3">
            <w:col w:w="4720" w:space="720"/>
            <w:col w:w="2520" w:space="720"/>
            <w:col w:w="2540"/>
          </w:cols>
          <w:pgMar w:left="320" w:top="223" w:right="359"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3"/>
          <w:szCs w:val="13"/>
          <w:color w:val="auto"/>
        </w:rPr>
        <w:t>(Title of Class)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12(g) of the Act:</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None</w:t>
      </w:r>
    </w:p>
    <w:p>
      <w:pPr>
        <w:sectPr>
          <w:pgSz w:w="11900" w:h="16838" w:orient="portrait"/>
          <w:cols w:equalWidth="0" w:num="1">
            <w:col w:w="11220"/>
          </w:cols>
          <w:pgMar w:left="320" w:top="223" w:right="359" w:bottom="1440" w:gutter="0" w:footer="0" w:header="0"/>
          <w:type w:val="continuous"/>
        </w:sectPr>
      </w:pPr>
    </w:p>
    <w:p>
      <w:pPr>
        <w:spacing w:after="0" w:line="13"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p>
      <w:pPr>
        <w:spacing w:after="0" w:line="13" w:lineRule="exact"/>
        <w:rPr>
          <w:sz w:val="24"/>
          <w:szCs w:val="24"/>
          <w:color w:val="auto"/>
        </w:rPr>
      </w:pPr>
    </w:p>
    <w:p>
      <w:pPr>
        <w:ind w:left="76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p>
      <w:pPr>
        <w:spacing w:after="0" w:line="1" w:lineRule="exact"/>
        <w:rPr>
          <w:sz w:val="24"/>
          <w:szCs w:val="24"/>
          <w:color w:val="auto"/>
        </w:rPr>
      </w:pPr>
    </w:p>
    <w:p>
      <w:pPr>
        <w:ind w:left="76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4" w:lineRule="exact"/>
        <w:rPr>
          <w:sz w:val="24"/>
          <w:szCs w:val="24"/>
          <w:color w:val="auto"/>
        </w:rPr>
      </w:pPr>
    </w:p>
    <w:p>
      <w:pPr>
        <w:ind w:right="140" w:firstLine="749"/>
        <w:spacing w:after="0" w:line="14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60" w:firstLine="749"/>
        <w:spacing w:after="0" w:line="15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ind w:right="100" w:firstLine="749"/>
        <w:spacing w:after="0" w:line="22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filed,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27" w:lineRule="exact"/>
        <w:rPr>
          <w:sz w:val="24"/>
          <w:szCs w:val="24"/>
          <w:color w:val="auto"/>
        </w:rPr>
      </w:pPr>
    </w:p>
    <w:tbl>
      <w:tblPr>
        <w:tblLayout w:type="fixed"/>
        <w:tblInd w:w="820" w:type="dxa"/>
        <w:tblCellMar>
          <w:top w:w="0" w:type="dxa"/>
          <w:left w:w="0" w:type="dxa"/>
          <w:bottom w:w="0" w:type="dxa"/>
          <w:right w:w="0" w:type="dxa"/>
        </w:tblCellMar>
      </w:tblPr>
      <w:tr>
        <w:trPr>
          <w:trHeight w:val="155"/>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640" w:type="dxa"/>
            <w:vAlign w:val="bottom"/>
          </w:tcPr>
          <w:p>
            <w:pPr>
              <w:ind w:left="1420"/>
              <w:spacing w:after="0" w:line="131" w:lineRule="exact"/>
              <w:rPr>
                <w:sz w:val="20"/>
                <w:szCs w:val="20"/>
                <w:color w:val="auto"/>
              </w:rPr>
            </w:pPr>
            <w:r>
              <w:rPr>
                <w:rFonts w:ascii="MS PGothic" w:cs="MS PGothic" w:eastAsia="MS PGothic" w:hAnsi="MS PGothic"/>
                <w:sz w:val="13"/>
                <w:szCs w:val="13"/>
                <w:color w:val="auto"/>
              </w:rPr>
              <w:t>☒</w:t>
            </w:r>
          </w:p>
        </w:tc>
        <w:tc>
          <w:tcPr>
            <w:tcW w:w="3760" w:type="dxa"/>
            <w:vAlign w:val="bottom"/>
          </w:tcPr>
          <w:p>
            <w:pPr>
              <w:ind w:left="1100"/>
              <w:spacing w:after="0"/>
              <w:rPr>
                <w:sz w:val="20"/>
                <w:szCs w:val="20"/>
                <w:color w:val="auto"/>
              </w:rPr>
            </w:pPr>
            <w:r>
              <w:rPr>
                <w:rFonts w:ascii="Times New Roman" w:cs="Times New Roman" w:eastAsia="Times New Roman" w:hAnsi="Times New Roman"/>
                <w:sz w:val="13"/>
                <w:szCs w:val="13"/>
                <w:color w:val="auto"/>
              </w:rPr>
              <w:t>Accelerated Filer</w:t>
            </w:r>
          </w:p>
        </w:tc>
        <w:tc>
          <w:tcPr>
            <w:tcW w:w="1400" w:type="dxa"/>
            <w:vAlign w:val="bottom"/>
          </w:tcPr>
          <w:p>
            <w:pPr>
              <w:ind w:left="13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49"/>
        </w:trPr>
        <w:tc>
          <w:tcPr>
            <w:tcW w:w="25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640" w:type="dxa"/>
            <w:vAlign w:val="bottom"/>
          </w:tcPr>
          <w:p>
            <w:pPr>
              <w:ind w:left="1420"/>
              <w:spacing w:after="0" w:line="131" w:lineRule="exact"/>
              <w:rPr>
                <w:sz w:val="20"/>
                <w:szCs w:val="20"/>
                <w:color w:val="auto"/>
              </w:rPr>
            </w:pPr>
            <w:r>
              <w:rPr>
                <w:rFonts w:ascii="MS PGothic" w:cs="MS PGothic" w:eastAsia="MS PGothic" w:hAnsi="MS PGothic"/>
                <w:sz w:val="13"/>
                <w:szCs w:val="13"/>
                <w:color w:val="auto"/>
              </w:rPr>
              <w:t>☐</w:t>
            </w:r>
          </w:p>
        </w:tc>
        <w:tc>
          <w:tcPr>
            <w:tcW w:w="3760" w:type="dxa"/>
            <w:vAlign w:val="bottom"/>
          </w:tcPr>
          <w:p>
            <w:pPr>
              <w:ind w:left="11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400" w:type="dxa"/>
            <w:vAlign w:val="bottom"/>
          </w:tcPr>
          <w:p>
            <w:pPr>
              <w:ind w:left="13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3"/>
        </w:trPr>
        <w:tc>
          <w:tcPr>
            <w:tcW w:w="2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760" w:type="dxa"/>
            <w:vAlign w:val="bottom"/>
          </w:tcPr>
          <w:p>
            <w:pPr>
              <w:ind w:left="1100"/>
              <w:spacing w:after="0"/>
              <w:rPr>
                <w:sz w:val="20"/>
                <w:szCs w:val="20"/>
                <w:color w:val="auto"/>
              </w:rPr>
            </w:pPr>
            <w:r>
              <w:rPr>
                <w:rFonts w:ascii="Times New Roman" w:cs="Times New Roman" w:eastAsia="Times New Roman" w:hAnsi="Times New Roman"/>
                <w:sz w:val="13"/>
                <w:szCs w:val="13"/>
                <w:color w:val="auto"/>
              </w:rPr>
              <w:t>Emerging growth company</w:t>
            </w:r>
          </w:p>
        </w:tc>
        <w:tc>
          <w:tcPr>
            <w:tcW w:w="1400" w:type="dxa"/>
            <w:vAlign w:val="bottom"/>
          </w:tcPr>
          <w:p>
            <w:pPr>
              <w:ind w:left="130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79" w:lineRule="exact"/>
        <w:rPr>
          <w:sz w:val="24"/>
          <w:szCs w:val="24"/>
          <w:color w:val="auto"/>
        </w:rPr>
      </w:pPr>
    </w:p>
    <w:p>
      <w:pPr>
        <w:ind w:right="140" w:firstLine="749"/>
        <w:spacing w:after="0" w:line="15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right="160" w:firstLine="749"/>
        <w:spacing w:after="0" w:line="14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180" w:firstLine="749"/>
        <w:spacing w:after="0" w:line="15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ind w:right="100" w:firstLine="749"/>
        <w:spacing w:after="0" w:line="153"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ind w:left="7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 w:lineRule="exact"/>
        <w:rPr>
          <w:sz w:val="24"/>
          <w:szCs w:val="24"/>
          <w:color w:val="auto"/>
        </w:rPr>
      </w:pPr>
    </w:p>
    <w:p>
      <w:pPr>
        <w:ind w:right="520" w:firstLine="749"/>
        <w:spacing w:after="0" w:line="228" w:lineRule="auto"/>
        <w:rPr>
          <w:sz w:val="20"/>
          <w:szCs w:val="20"/>
          <w:color w:val="auto"/>
        </w:rPr>
      </w:pPr>
      <w:r>
        <w:rPr>
          <w:rFonts w:ascii="Times New Roman" w:cs="Times New Roman" w:eastAsia="Times New Roman" w:hAnsi="Times New Roman"/>
          <w:sz w:val="13"/>
          <w:szCs w:val="13"/>
          <w:color w:val="auto"/>
        </w:rPr>
        <w:t>The aggregate market value of voting common stock held by non-affiliates of the registrant (assuming for purposes of this calculation, without conceding, that all executive officers and directors are “affiliates”) was approximately $3.2 billion as of June 30, 2024, based on the closing sale price of such stock as reported on The Nasdaq Global Market.</w:t>
      </w:r>
    </w:p>
    <w:p>
      <w:pPr>
        <w:spacing w:after="0" w:line="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3"/>
          <w:szCs w:val="13"/>
          <w:color w:val="auto"/>
        </w:rPr>
        <w:t>There were 48,765,403 shares of the registrant’s common stock outstanding as of February 11, 2025.</w:t>
      </w:r>
    </w:p>
    <w:p>
      <w:pPr>
        <w:spacing w:after="0" w:line="10"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ind w:firstLine="749"/>
        <w:spacing w:after="0" w:line="224" w:lineRule="auto"/>
        <w:rPr>
          <w:sz w:val="20"/>
          <w:szCs w:val="20"/>
          <w:color w:val="auto"/>
        </w:rPr>
      </w:pPr>
      <w:r>
        <w:rPr>
          <w:rFonts w:ascii="Times New Roman" w:cs="Times New Roman" w:eastAsia="Times New Roman" w:hAnsi="Times New Roman"/>
          <w:sz w:val="13"/>
          <w:szCs w:val="13"/>
          <w:color w:val="auto"/>
        </w:rPr>
        <w:t>Portions of the registrant’s definitive proxy statement for its 2025 Annual Meeting of Stockholders (the “Proxy Statement”), to be filed within 120 days of the registrant’s fiscal year ended December 31, 2024,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318"/>
        </w:trPr>
        <w:tc>
          <w:tcPr>
            <w:tcW w:w="20" w:type="dxa"/>
            <w:vAlign w:val="bottom"/>
          </w:tcPr>
          <w:p>
            <w:pPr>
              <w:spacing w:after="0"/>
              <w:rPr>
                <w:sz w:val="24"/>
                <w:szCs w:val="24"/>
                <w:color w:val="auto"/>
              </w:rPr>
            </w:pPr>
          </w:p>
        </w:tc>
        <w:tc>
          <w:tcPr>
            <w:tcW w:w="682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auto"/>
                <w:w w:val="99"/>
              </w:rPr>
              <w:t>SPECIAL CAUTIONARY NOTICE REGARDING FORWARD-LOOKING STATEMENTS</w:t>
            </w:r>
          </w:p>
        </w:tc>
        <w:tc>
          <w:tcPr>
            <w:tcW w:w="3900" w:type="dxa"/>
            <w:vAlign w:val="bottom"/>
            <w:gridSpan w:val="5"/>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20" w:type="dxa"/>
            <w:vAlign w:val="bottom"/>
            <w:gridSpan w:val="13"/>
          </w:tcPr>
          <w:p>
            <w:pPr>
              <w:jc w:val="center"/>
              <w:ind w:right="4820"/>
              <w:spacing w:after="0"/>
              <w:rPr>
                <w:sz w:val="20"/>
                <w:szCs w:val="20"/>
                <w:color w:val="auto"/>
              </w:rPr>
            </w:pPr>
            <w:r>
              <w:rPr>
                <w:rFonts w:ascii="Times New Roman" w:cs="Times New Roman" w:eastAsia="Times New Roman" w:hAnsi="Times New Roman"/>
                <w:sz w:val="18"/>
                <w:szCs w:val="18"/>
                <w:b w:val="1"/>
                <w:bCs w:val="1"/>
                <w:color w:val="auto"/>
                <w:w w:val="99"/>
              </w:rPr>
              <w:t>PART I</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1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w w:val="96"/>
              </w:rPr>
              <w:t>Business</w:t>
            </w:r>
          </w:p>
        </w:tc>
        <w:tc>
          <w:tcPr>
            <w:tcW w:w="3520" w:type="dxa"/>
            <w:vAlign w:val="bottom"/>
            <w:gridSpan w:val="15"/>
          </w:tcPr>
          <w:p>
            <w:pPr>
              <w:spacing w:after="0"/>
              <w:rPr>
                <w:sz w:val="17"/>
                <w:szCs w:val="17"/>
                <w:color w:val="auto"/>
              </w:rPr>
            </w:pPr>
          </w:p>
        </w:tc>
        <w:tc>
          <w:tcPr>
            <w:tcW w:w="600" w:type="dxa"/>
            <w:vAlign w:val="bottom"/>
            <w:tcBorders>
              <w:top w:val="single" w:sz="8" w:color="0000EE"/>
            </w:tcBorders>
            <w:gridSpan w:val="2"/>
          </w:tcPr>
          <w:p>
            <w:pPr>
              <w:spacing w:after="0"/>
              <w:rPr>
                <w:sz w:val="17"/>
                <w:szCs w:val="17"/>
                <w:color w:val="auto"/>
              </w:rPr>
            </w:pPr>
          </w:p>
        </w:tc>
        <w:tc>
          <w:tcPr>
            <w:tcW w:w="4820" w:type="dxa"/>
            <w:vAlign w:val="bottom"/>
            <w:gridSpan w:val="11"/>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Risk Factors</w:t>
            </w: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116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96"/>
        </w:trPr>
        <w:tc>
          <w:tcPr>
            <w:tcW w:w="1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Unresolved Staff Comments</w:t>
            </w: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196"/>
        </w:trPr>
        <w:tc>
          <w:tcPr>
            <w:tcW w:w="1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rPr>
              <w:t>Cybersecurity</w:t>
            </w:r>
          </w:p>
        </w:tc>
        <w:tc>
          <w:tcPr>
            <w:tcW w:w="7540" w:type="dxa"/>
            <w:vAlign w:val="bottom"/>
            <w:gridSpan w:val="19"/>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196"/>
        </w:trPr>
        <w:tc>
          <w:tcPr>
            <w:tcW w:w="1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rPr>
              <w:t>Properties</w:t>
            </w:r>
          </w:p>
        </w:tc>
        <w:tc>
          <w:tcPr>
            <w:tcW w:w="8580" w:type="dxa"/>
            <w:vAlign w:val="bottom"/>
            <w:gridSpan w:val="24"/>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20"/>
        </w:trPr>
        <w:tc>
          <w:tcPr>
            <w:tcW w:w="116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96"/>
        </w:trPr>
        <w:tc>
          <w:tcPr>
            <w:tcW w:w="1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Legal Proceedings</w:t>
            </w: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116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96"/>
        </w:trPr>
        <w:tc>
          <w:tcPr>
            <w:tcW w:w="1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Mine Safety Disclosures</w:t>
            </w: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31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14"/>
          </w:tcPr>
          <w:p>
            <w:pPr>
              <w:jc w:val="center"/>
              <w:ind w:right="478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11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318"/>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auto"/>
                <w:w w:val="99"/>
              </w:rPr>
              <w:t>Market for Registrant’s Common Equity, Related Stockholder Matters and Issuer Purchases of Equity Securities</w:t>
            </w:r>
          </w:p>
        </w:tc>
        <w:tc>
          <w:tcPr>
            <w:tcW w:w="148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196"/>
        </w:trPr>
        <w:tc>
          <w:tcPr>
            <w:tcW w:w="1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r>
      <w:tr>
        <w:trPr>
          <w:trHeight w:val="20"/>
        </w:trPr>
        <w:tc>
          <w:tcPr>
            <w:tcW w:w="116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96"/>
        </w:trPr>
        <w:tc>
          <w:tcPr>
            <w:tcW w:w="1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r>
      <w:tr>
        <w:trPr>
          <w:trHeight w:val="196"/>
        </w:trPr>
        <w:tc>
          <w:tcPr>
            <w:tcW w:w="1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auto"/>
              </w:rPr>
              <w:t>Quantitative and Qualitative Disclosure About Market Risk</w:t>
            </w:r>
          </w:p>
        </w:tc>
        <w:tc>
          <w:tcPr>
            <w:tcW w:w="3120" w:type="dxa"/>
            <w:vAlign w:val="bottom"/>
            <w:gridSpan w:val="4"/>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r>
      <w:tr>
        <w:trPr>
          <w:trHeight w:val="196"/>
        </w:trPr>
        <w:tc>
          <w:tcPr>
            <w:tcW w:w="1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28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5300" w:type="dxa"/>
            <w:vAlign w:val="bottom"/>
            <w:gridSpan w:val="12"/>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r>
      <w:tr>
        <w:trPr>
          <w:trHeight w:val="20"/>
        </w:trPr>
        <w:tc>
          <w:tcPr>
            <w:tcW w:w="116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96"/>
        </w:trPr>
        <w:tc>
          <w:tcPr>
            <w:tcW w:w="1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auto"/>
                <w:w w:val="99"/>
              </w:rPr>
              <w:t>Changes in and Disagreements with Accountants on Accounting and Financial Disclosure</w:t>
            </w:r>
          </w:p>
        </w:tc>
        <w:tc>
          <w:tcPr>
            <w:tcW w:w="3100" w:type="dxa"/>
            <w:vAlign w:val="bottom"/>
            <w:gridSpan w:val="3"/>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r>
      <w:tr>
        <w:trPr>
          <w:trHeight w:val="196"/>
        </w:trPr>
        <w:tc>
          <w:tcPr>
            <w:tcW w:w="1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Controls and Procedures</w:t>
            </w: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r>
      <w:tr>
        <w:trPr>
          <w:trHeight w:val="196"/>
        </w:trPr>
        <w:tc>
          <w:tcPr>
            <w:tcW w:w="1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rPr>
              <w:t>Other Information</w:t>
            </w:r>
          </w:p>
        </w:tc>
        <w:tc>
          <w:tcPr>
            <w:tcW w:w="7820" w:type="dxa"/>
            <w:vAlign w:val="bottom"/>
            <w:gridSpan w:val="21"/>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r>
      <w:tr>
        <w:trPr>
          <w:trHeight w:val="20"/>
        </w:trPr>
        <w:tc>
          <w:tcPr>
            <w:tcW w:w="1160" w:type="dxa"/>
            <w:vAlign w:val="bottom"/>
            <w:gridSpan w:val="2"/>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96"/>
        </w:trPr>
        <w:tc>
          <w:tcPr>
            <w:tcW w:w="1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auto"/>
                <w:w w:val="99"/>
              </w:rPr>
              <w:t>Disclosure Regarding Foreign Jurisdictions that Prevent Inspections</w:t>
            </w:r>
          </w:p>
        </w:tc>
        <w:tc>
          <w:tcPr>
            <w:tcW w:w="4680" w:type="dxa"/>
            <w:vAlign w:val="bottom"/>
            <w:gridSpan w:val="7"/>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r>
      <w:tr>
        <w:trPr>
          <w:trHeight w:val="31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Borders>
              <w:bottom w:val="single" w:sz="8" w:color="0000EE"/>
            </w:tcBorders>
            <w:gridSpan w:val="7"/>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4720" w:type="dxa"/>
            <w:vAlign w:val="bottom"/>
            <w:gridSpan w:val="8"/>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18"/>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41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5460" w:type="dxa"/>
            <w:vAlign w:val="bottom"/>
            <w:gridSpan w:val="14"/>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196"/>
        </w:trPr>
        <w:tc>
          <w:tcPr>
            <w:tcW w:w="1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8"/>
              </w:rPr>
              <w:t>Executive Compensation</w:t>
            </w:r>
          </w:p>
        </w:tc>
        <w:tc>
          <w:tcPr>
            <w:tcW w:w="7780" w:type="dxa"/>
            <w:vAlign w:val="bottom"/>
            <w:gridSpan w:val="20"/>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r>
      <w:tr>
        <w:trPr>
          <w:trHeight w:val="196"/>
        </w:trPr>
        <w:tc>
          <w:tcPr>
            <w:tcW w:w="1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r>
      <w:tr>
        <w:trPr>
          <w:trHeight w:val="196"/>
        </w:trPr>
        <w:tc>
          <w:tcPr>
            <w:tcW w:w="1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2300" w:type="dxa"/>
            <w:vAlign w:val="bottom"/>
            <w:gridSpan w:val="2"/>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r>
      <w:tr>
        <w:trPr>
          <w:trHeight w:val="196"/>
        </w:trPr>
        <w:tc>
          <w:tcPr>
            <w:tcW w:w="1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0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auto"/>
              </w:rPr>
              <w:t>Principal Accountant Fees and Services</w:t>
            </w:r>
          </w:p>
        </w:tc>
        <w:tc>
          <w:tcPr>
            <w:tcW w:w="4180" w:type="dxa"/>
            <w:vAlign w:val="bottom"/>
            <w:gridSpan w:val="6"/>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r>
      <w:tr>
        <w:trPr>
          <w:trHeight w:val="31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bottom w:val="single" w:sz="8" w:color="0000EE"/>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4740" w:type="dxa"/>
            <w:vAlign w:val="bottom"/>
            <w:gridSpan w:val="9"/>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18"/>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auto"/>
                <w:w w:val="99"/>
              </w:rPr>
              <w:t>Exhibits and Financial Statement Schedules</w:t>
            </w:r>
          </w:p>
        </w:tc>
        <w:tc>
          <w:tcPr>
            <w:tcW w:w="6420" w:type="dxa"/>
            <w:vAlign w:val="bottom"/>
            <w:gridSpan w:val="17"/>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196"/>
        </w:trPr>
        <w:tc>
          <w:tcPr>
            <w:tcW w:w="1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58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auto"/>
              </w:rPr>
              <w:t>Form 10-K Summary</w:t>
            </w: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Signatures</w:t>
            </w:r>
          </w:p>
        </w:tc>
        <w:tc>
          <w:tcPr>
            <w:tcW w:w="780" w:type="dxa"/>
            <w:vAlign w:val="bottom"/>
            <w:tcBorders>
              <w:top w:val="single" w:sz="8" w:color="0000EE"/>
            </w:tcBorders>
            <w:gridSpan w:val="4"/>
          </w:tcPr>
          <w:p>
            <w:pPr>
              <w:spacing w:after="0"/>
              <w:rPr>
                <w:sz w:val="17"/>
                <w:szCs w:val="17"/>
                <w:color w:val="auto"/>
              </w:rPr>
            </w:pPr>
          </w:p>
        </w:tc>
        <w:tc>
          <w:tcPr>
            <w:tcW w:w="8040" w:type="dxa"/>
            <w:vAlign w:val="bottom"/>
            <w:gridSpan w:val="22"/>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r>
      <w:tr>
        <w:trPr>
          <w:trHeight w:val="75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760" w:type="dxa"/>
            <w:vAlign w:val="bottom"/>
            <w:gridSpan w:val="18"/>
          </w:tcPr>
          <w:p>
            <w:pPr>
              <w:jc w:val="center"/>
              <w:ind w:left="4070"/>
              <w:spacing w:after="0"/>
              <w:rPr>
                <w:sz w:val="20"/>
                <w:szCs w:val="20"/>
                <w:color w:val="auto"/>
              </w:rPr>
            </w:pPr>
            <w:r>
              <w:rPr>
                <w:rFonts w:ascii="Times New Roman" w:cs="Times New Roman" w:eastAsia="Times New Roman" w:hAnsi="Times New Roman"/>
                <w:sz w:val="18"/>
                <w:szCs w:val="18"/>
                <w:color w:val="auto"/>
                <w:w w:val="88"/>
              </w:rPr>
              <w:t>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b w:val="1"/>
          <w:bCs w:val="1"/>
          <w:color w:val="auto"/>
        </w:rPr>
        <w:t>CAUTIONARY NOTE REGARDING FORWARD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LOOKING STATEMENTS</w:t>
      </w:r>
    </w:p>
    <w:p>
      <w:pPr>
        <w:spacing w:after="0" w:line="26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U.S.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84" w:lineRule="exact"/>
        <w:rPr>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increases or decreases in expenses;</w:t>
      </w:r>
    </w:p>
    <w:p>
      <w:pPr>
        <w:spacing w:after="0" w:line="117" w:lineRule="exact"/>
        <w:rPr>
          <w:rFonts w:ascii="Times New Roman" w:cs="Times New Roman" w:eastAsia="Times New Roman" w:hAnsi="Times New Roman"/>
          <w:sz w:val="18"/>
          <w:szCs w:val="18"/>
          <w:color w:val="auto"/>
        </w:rPr>
      </w:pPr>
    </w:p>
    <w:p>
      <w:pPr>
        <w:ind w:left="760" w:right="98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the clinical and preclinical development, manufacturing and regulatory approval of our product candidates, and commercialization of our pharmaceutical products or any other products that we may acquire or in-license;</w:t>
      </w:r>
    </w:p>
    <w:p>
      <w:pPr>
        <w:spacing w:after="0" w:line="53" w:lineRule="exact"/>
        <w:rPr>
          <w:rFonts w:ascii="Times New Roman" w:cs="Times New Roman" w:eastAsia="Times New Roman" w:hAnsi="Times New Roman"/>
          <w:sz w:val="18"/>
          <w:szCs w:val="18"/>
          <w:color w:val="auto"/>
        </w:rPr>
      </w:pPr>
    </w:p>
    <w:p>
      <w:pPr>
        <w:ind w:left="760" w:right="86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sufficiency of our existing capital resources combined with future anticipated cash flows to finance our operating requirements;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incurring capital expenditures to expand our research and development and manufacturing capabilities;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circumstances or other disruptions to normal business operations arising from or related to geopolitical conflicts or pandemics;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revenue projections, sales forecasts, and potential peak market data;</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generating revenue or becoming profitable on a sustained basis;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marketing and other partnership agreements;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product acquisitions and in-licensing transactions;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build our own commercial infrastructure to manufacture, market and sell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losses;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products by doctors, patients, or payors;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its volatility;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manufacturers;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future capital requirements;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strategy.</w:t>
      </w:r>
    </w:p>
    <w:p>
      <w:pPr>
        <w:spacing w:after="0" w:line="225"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62" w:lineRule="exact"/>
        <w:rPr>
          <w:sz w:val="20"/>
          <w:szCs w:val="20"/>
          <w:color w:val="auto"/>
        </w:rPr>
      </w:pPr>
    </w:p>
    <w:p>
      <w:pPr>
        <w:ind w:right="280" w:firstLine="749"/>
        <w:spacing w:after="0" w:line="312" w:lineRule="auto"/>
        <w:rPr>
          <w:sz w:val="20"/>
          <w:szCs w:val="20"/>
          <w:color w:val="auto"/>
        </w:rPr>
      </w:pPr>
      <w:r>
        <w:rPr>
          <w:rFonts w:ascii="Times New Roman" w:cs="Times New Roman" w:eastAsia="Times New Roman" w:hAnsi="Times New Roman"/>
          <w:sz w:val="17"/>
          <w:szCs w:val="17"/>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7" w:lineRule="exact"/>
        <w:rPr>
          <w:sz w:val="20"/>
          <w:szCs w:val="20"/>
          <w:color w:val="auto"/>
        </w:rPr>
      </w:pPr>
    </w:p>
    <w:p>
      <w:pPr>
        <w:ind w:right="2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report to “Axsome,” “Company,” “we,” “us” and “our” and similar designations refer to Axsome Therapeutics, Inc. and our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dedicated to the development and delivery of transformative medicines for people impacted by central nervous system, or CNS, conditions. We deliver scientific breakthroughs by identifying critical gaps in care and develop differentiated products with a focus on novel mechanisms of action that enable meaningful advancements in patient outcomes. Together, we are on a mission to solve some of the brain’s biggest problems so patients and their loved ones can flourish.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Pipeline</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pipeline consists of three commercial products for major depressive disorder, or MDD, and excessive daytime sleepiness, or EDS, associated with narcolepsy and obstructive sleep apnea, our recently FDA-approved product for the acute treatment of migraine, as well as multiple innovative, late-stage, patent-protected product candidates addressing a broad range of serious neurological and psychiatric conditions that collectively impact over 150 million people in the United States. We are leveraging our deep expertise and experience in neuroscience to maximize the potential of our approved products for additional CNS conditions, as well as advance our novel product candidates that we believe may offer distinct advantages over currently available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130810</wp:posOffset>
            </wp:positionV>
            <wp:extent cx="5349240" cy="28289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4924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Products</w:t>
      </w:r>
    </w:p>
    <w:p>
      <w:pPr>
        <w:spacing w:after="0" w:line="205" w:lineRule="exact"/>
        <w:rPr>
          <w:sz w:val="20"/>
          <w:szCs w:val="20"/>
          <w:color w:val="auto"/>
        </w:rPr>
      </w:pPr>
    </w:p>
    <w:p>
      <w:pPr>
        <w:jc w:val="both"/>
        <w:ind w:left="880" w:hanging="427"/>
        <w:spacing w:after="0" w:line="245"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Auvelity</w:t>
      </w:r>
      <w:r>
        <w:rPr>
          <w:rFonts w:ascii="Times New Roman" w:cs="Times New Roman" w:eastAsia="Times New Roman" w:hAnsi="Times New Roman"/>
          <w:sz w:val="24"/>
          <w:szCs w:val="24"/>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Auvelity (dextromethorphan-bupropion) is a novel, oral, N-methyl-D-aspartate (NMDA) receptor antagonist, sigma-1 receptor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agonist, aminoketone, and CYP2D6 inhibitor indicated for the treatment of MDD in adults. Auvelity was developed by the Company and approved by the U.S. Food and Drug Administration, or FDA, for the treatment of MDD in adults in August 2022. We initiated the commercial launch of Auvelity in the United States in October 2022. We refer to the proprietary dextromethorphan-bupropion formulation contained in Auvelity as AXS-05. As used in this report, “Auvelity” refers to AXS-05 approved by the FDA for the treatment of MDD in adults, and “AXS-05” refers to AXS-05 in development programs for the treatment of indications beyond MDD in adults.</w:t>
      </w:r>
    </w:p>
    <w:p>
      <w:pPr>
        <w:spacing w:after="0" w:line="173" w:lineRule="exact"/>
        <w:rPr>
          <w:rFonts w:ascii="Times New Roman" w:cs="Times New Roman" w:eastAsia="Times New Roman" w:hAnsi="Times New Roman"/>
          <w:sz w:val="16"/>
          <w:szCs w:val="16"/>
          <w:color w:val="auto"/>
        </w:rPr>
      </w:pPr>
    </w:p>
    <w:p>
      <w:pPr>
        <w:jc w:val="both"/>
        <w:ind w:left="880" w:hanging="427"/>
        <w:spacing w:after="0" w:line="248"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Sunosi</w:t>
      </w:r>
      <w:r>
        <w:rPr>
          <w:rFonts w:ascii="Times New Roman" w:cs="Times New Roman" w:eastAsia="Times New Roman" w:hAnsi="Times New Roman"/>
          <w:sz w:val="24"/>
          <w:szCs w:val="24"/>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Sunosi (solriamfetol) is a novel, oral, dopamine and norepinephrine reuptake inhibitor (DNRI), trace amine-associated receptor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(TAAR1) agonist, and 5-HT</w:t>
      </w:r>
      <w:r>
        <w:rPr>
          <w:rFonts w:ascii="Times New Roman" w:cs="Times New Roman" w:eastAsia="Times New Roman" w:hAnsi="Times New Roman"/>
          <w:sz w:val="12"/>
          <w:szCs w:val="12"/>
          <w:color w:val="auto"/>
        </w:rPr>
        <w:t>1A</w:t>
      </w:r>
      <w:r>
        <w:rPr>
          <w:rFonts w:ascii="Times New Roman" w:cs="Times New Roman" w:eastAsia="Times New Roman" w:hAnsi="Times New Roman"/>
          <w:sz w:val="18"/>
          <w:szCs w:val="18"/>
          <w:color w:val="auto"/>
        </w:rPr>
        <w:t xml:space="preserve"> agonist indicated for the treatment of EDS in patients with narcolepsy or obstructive sleep apnea, or OSA. Sunosi was approved for the treatment of EDS in the United States in 2019 and by the European Commission in 2022. We acquired the U.S. rights to Sunosi from Jazz Pharmaceuticals plc, or Jazz, in May 2022 and the ex-U.S. rights (excluding certain Asian markets) from Jazz in November 2022. We have been commercializing Sunosi since we completed these acquisitions. SK Biopharmaceuticals Co. Ltd., or SK, is the originator of Sunosi and retains rights in 12 Asian markets, including China, Korea, and Japan. We refer to the acquisition of Sunosi herein as the Acquisition. In February 2023, we entered into a licensing agreement, or the Pharmanovia License Agreement, with Atnahs Pharma UK Limited, or Pharmanovia, that granted to Pharmanovia the exclusive right to market Sunosi in Europe and certain countries in the Middle East and North Africa, referred to as the Licensed Territory. As used in this report, “Sunosi” refers to solriamfetol approved for the treatment of EDS in patients with narcolepsy or OSA, and “solriamfetol” refers to solriamfetol in development programs for the treatment of indications beyond EDS in patients with narcolepsy or OSA.</w:t>
      </w:r>
    </w:p>
    <w:p>
      <w:pPr>
        <w:spacing w:after="0" w:line="167" w:lineRule="exact"/>
        <w:rPr>
          <w:rFonts w:ascii="Times New Roman" w:cs="Times New Roman" w:eastAsia="Times New Roman" w:hAnsi="Times New Roman"/>
          <w:sz w:val="16"/>
          <w:szCs w:val="16"/>
          <w:color w:val="auto"/>
        </w:rPr>
      </w:pPr>
    </w:p>
    <w:p>
      <w:pPr>
        <w:jc w:val="both"/>
        <w:ind w:left="880" w:hanging="427"/>
        <w:spacing w:after="0"/>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Symbravo</w:t>
      </w:r>
      <w:r>
        <w:rPr>
          <w:rFonts w:ascii="Times New Roman" w:cs="Times New Roman" w:eastAsia="Times New Roman" w:hAnsi="Times New Roman"/>
          <w:sz w:val="24"/>
          <w:szCs w:val="24"/>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Symbravo (MoSEIC</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meloxicam rizatriptan), or AXS-07, is a novel, oral, rapidly absorbed, multi-mechanistic, selective COX-2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inhibitor and 5-HT</w:t>
      </w:r>
      <w:r>
        <w:rPr>
          <w:rFonts w:ascii="Times New Roman" w:cs="Times New Roman" w:eastAsia="Times New Roman" w:hAnsi="Times New Roman"/>
          <w:sz w:val="12"/>
          <w:szCs w:val="12"/>
          <w:color w:val="auto"/>
        </w:rPr>
        <w:t>1B/1D</w:t>
      </w:r>
      <w:r>
        <w:rPr>
          <w:rFonts w:ascii="Times New Roman" w:cs="Times New Roman" w:eastAsia="Times New Roman" w:hAnsi="Times New Roman"/>
          <w:sz w:val="18"/>
          <w:szCs w:val="18"/>
          <w:color w:val="auto"/>
        </w:rPr>
        <w:t xml:space="preserve"> agonist indicated for the acute treatment of migraine with or without aura. Symbravo was developed by the Company and approved by the FDA for the acute treatment of migraine with or without aura in adults in January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Programs</w:t>
      </w:r>
    </w:p>
    <w:p>
      <w:pPr>
        <w:spacing w:after="0" w:line="22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AXS-05 (dextromethorphan-bupropion) is a novel, oral, investigational NMDA receptor antagonist, sigma-1 receptor agonist, aminoketone, and CYP2D6 inhibitor being developed for the treatment of Alzheimer’s disease agitation, or AD agitation, and smoking cessation. AXS-05 utilizes a proprietary formulation and dose of dextromethorphan and bupropion, and Axsome’s metabolic inhibition technology, to modulate the delivery of the components. AXS-05 has been granted FDA Breakthrough Therapy designation for AD agitation. In December 2024, we announced the successful completion of our Phase 3 clinical program of AXS-05 in AD agitation, which consists of the ADVANCE-1 Phase 2/3 trial, ADVANCE-2 Phase 3 trial, ACCORD-1 Phase 3 trial, and ACCORD-2 Phase 3 trial evaluating the efficacy and safety of AXS-05 in patients with AD agitation, as well as an open-label extension trial evaluating the long-term safety of AXS-05. A positive Phase 2 trial of AXS-05 in smoking cessation has been completed under a research collaboration with Duke University.</w:t>
      </w:r>
    </w:p>
    <w:p>
      <w:pPr>
        <w:spacing w:after="0" w:line="19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AXS-12 (reboxetine) is a novel, oral, investigational, highly selective and potent norepinephrine reuptake inhibitor and cortical dopamine modulator being developed for the treatment of narcolepsy. AXS-12 has been granted FDA Orphan Drug Designation for narcolepsy. Our clinical program for AXS-12 in narcolepsy includes our completed positive CONCERT Phase 2 trial and SYMPHONY Phase 3 trial evaluating the efficacy and safety of AXS-12 compared to placebo, as well as our completed positive ENCORE Phase 3 trial evaluating the long-term efficacy and safety of AXS-12 in patients with narcolepsy with cataplexy.</w:t>
      </w:r>
    </w:p>
    <w:p>
      <w:pPr>
        <w:spacing w:after="0" w:line="183" w:lineRule="exact"/>
        <w:rPr>
          <w:sz w:val="20"/>
          <w:szCs w:val="20"/>
          <w:color w:val="auto"/>
        </w:rPr>
      </w:pPr>
    </w:p>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AXS-14 (esreboxetine) is a novel, oral, investigational, highly selective and potent norepinephrine reuptake inhibitor being developed for the management of fibromyalgia. Esreboxetine, the SS-enantiomer of reboxetine, is more potent and selective than racemic reboxetine. We have in-licensed data from Pfizer Inc., or Pfizer, which includes a completed positive Phase 2 and Phase 3 trial in fibromyalgia.</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Solriamfetol is an oral, DNRI, TAAR1 agonist, and 5-HT1A agonist being developed for the treatment of attention deficit hyperactivity disorder, or ADHD, major depressive disorder, or MDD, binge eating disorder, or BED, and excessive sleepiness associated with shift work disorder, or SWD. We are currently conducting four Phase 3, randomized, double-blind, placebo-controlled, multicenter trials evaluating the efficacy and safety of solriamfetol in each of these indications, including the FOCUS study in ADHD, the PARADIGM study in MDD, the ENGAGE study in BED, and the SUSTAIN study in SWD.</w:t>
      </w:r>
    </w:p>
    <w:p>
      <w:pPr>
        <w:spacing w:after="0" w:line="183"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Additionally, we are currently evaluating other product candidates that we intend to develop for CNS disorders. We aim to become a fully integrated biopharmaceutical company that develops and commercializes differentiated therapies that increase available treatment options and improve the lives of patients living with CNS disorders.</w:t>
      </w:r>
    </w:p>
    <w:p>
      <w:pPr>
        <w:spacing w:after="0" w:line="17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product candidates are protected by a combination of patents, trade secrets, and proprietary know-how. If approved, they may also be eligible for periods of regulatory exclusivity. Our intellectual property portfolio includes issued U.S. and foreign patents with claims extending to 2034, 2040, 2041, and 2043 for AXS-05 and to 2039 for AXS-12, as well as U.S. and foreign patent applications for AXS-05, AXS-12, and AXS-14. Our issued U.S. and foreign patents for Symbravo include claims extending out to 2040. Our Orange Book listed patents in the United States for Sunosi extend out to 2042. We also have patents in various other countries pertaining to Sunosi. In June 2024, we entered into a settlement agreement with Unichem Laboratories Ltd., or Unichem, resolving patent litigation related to Sunosi that permits Unichem to begin selling its generic version of Sunosi on June 30, 2042, or earlier under certain circumstances. In August 2024, we reached an agreement with Sandoz Inc., or Sandoz, to dismiss the patent litigation related to Sunosi following Sandoz’s withdrawal of its Abbreviated New Drug Application, or ANDA, for a generic equivalent of Sunosi. As a result, the litigation has been dismissed without prejudice. In February 2025, we entered into a settlement agreement resolving all outstanding patent litigation related to Auvelity. The litigation resulted from submission by Teva of an ANDA to the FDA seeking approval to market a generic version of Auvelity in the U.S. prior to the expiration of applicable Axsome patents. Under the terms of the settlement agreement, Axsome will grant Teva a license to sell its generic version of Auvelity beginning on or after March 31, 2039, if pediatric exclusivity is granted, or on or after September 30, 2038, if no pediatric exclusivity is granted, subject to FDA approval and conditions and exceptions customary for agreements of this type.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Our goal is to efficiently develop and commercialize novel, differentiated therapies for the treatment of CNS disorders. The primary elements of our strategy to achieve this goal are the following:</w:t>
      </w:r>
    </w:p>
    <w:p>
      <w:pPr>
        <w:spacing w:after="0" w:line="158" w:lineRule="exact"/>
        <w:rPr>
          <w:sz w:val="20"/>
          <w:szCs w:val="20"/>
          <w:color w:val="auto"/>
        </w:rPr>
      </w:pPr>
    </w:p>
    <w:p>
      <w:pPr>
        <w:ind w:left="1140" w:right="140" w:hanging="383"/>
        <w:spacing w:after="0" w:line="220" w:lineRule="exact"/>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Pursue novel CNS indications with high unmet medical need. </w:t>
      </w:r>
      <w:r>
        <w:rPr>
          <w:rFonts w:ascii="Times New Roman" w:cs="Times New Roman" w:eastAsia="Times New Roman" w:hAnsi="Times New Roman"/>
          <w:sz w:val="18"/>
          <w:szCs w:val="18"/>
          <w:color w:val="auto"/>
        </w:rPr>
        <w:t>We believe that CNS disorders are significantly underserved therapeutic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segments with currently limited treatment options. We are developing our product candidates for CNS indications where there exist significant unmet medical needs, or that have no or few FDA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pharmacological treatments. CNS disorders are often disabling, difficult to treat, and associated with significant comorbidities. By focusing on areas of unmet medical need, we aim to develop products that have the potential to change current medical practice, and that are highly relevant to patients, physicians, and regulatory bodies. Many of these indications have significant patient populations, which, when combined with the limitations of current treatments, should provide us with attractive commercial opportunities.</w:t>
      </w:r>
    </w:p>
    <w:p>
      <w:pPr>
        <w:spacing w:after="0" w:line="194" w:lineRule="exact"/>
        <w:rPr>
          <w:rFonts w:ascii="Times New Roman" w:cs="Times New Roman" w:eastAsia="Times New Roman" w:hAnsi="Times New Roman"/>
          <w:sz w:val="18"/>
          <w:szCs w:val="18"/>
          <w:color w:val="auto"/>
        </w:rPr>
      </w:pPr>
    </w:p>
    <w:p>
      <w:pPr>
        <w:ind w:left="1140" w:right="20" w:hanging="383"/>
        <w:spacing w:after="0" w:line="257"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 products with our proprietary medicinal chemistry and formulation technologies. </w:t>
      </w:r>
      <w:r>
        <w:rPr>
          <w:rFonts w:ascii="Times New Roman" w:cs="Times New Roman" w:eastAsia="Times New Roman" w:hAnsi="Times New Roman"/>
          <w:sz w:val="18"/>
          <w:szCs w:val="18"/>
          <w:color w:val="auto"/>
        </w:rPr>
        <w:t>Our proprietary medicinal chemistry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formulation technologies allow us to continue to design new and innovative medicines to treat CNS conditions. These technologies and capabilities include: (1) chiral chemistry and formulation to identify, isolate and stabilize chirally pure enantiomers, (2) metabolic inhibition as a novel drug delivery method to increase the bioavailability and prolong the half-life of target drug molecules, (3) the MoSEIC™, or Molecular Solubility Enhanced Inclusion Complex, technology which is designed to substantially increase the solubility and speed the absorption of target drug molecules, and (4) proprietary chemical synthesis and analysis to produce target drug molecules.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140" w:right="220" w:hanging="383"/>
        <w:spacing w:after="0" w:line="257"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 products with differentiated profiles. </w:t>
      </w:r>
      <w:r>
        <w:rPr>
          <w:rFonts w:ascii="Times New Roman" w:cs="Times New Roman" w:eastAsia="Times New Roman" w:hAnsi="Times New Roman"/>
          <w:sz w:val="18"/>
          <w:szCs w:val="18"/>
          <w:color w:val="auto"/>
        </w:rPr>
        <w:t>We aim to develop products with novel mechanisms of action for the intended indications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may yield differentiated product profiles. For example, AXS-05 combines several mechanisms of action resulting in a unique pharmacological profile that may be relevant to the treatment of numerous CNS disorders. The MoSEIC™ technology is designed to improve the absorption of drug molecules after oral administration and is utilized in Symbravo (AXS-07). We believe that products with clearly differentiated features will be attractive to patients and their physicians and will provide us with a competitive commercial advantage.</w:t>
      </w:r>
    </w:p>
    <w:p>
      <w:pPr>
        <w:spacing w:after="0" w:line="182" w:lineRule="exact"/>
        <w:rPr>
          <w:rFonts w:ascii="Times New Roman" w:cs="Times New Roman" w:eastAsia="Times New Roman" w:hAnsi="Times New Roman"/>
          <w:sz w:val="18"/>
          <w:szCs w:val="18"/>
          <w:color w:val="auto"/>
        </w:rPr>
      </w:pPr>
    </w:p>
    <w:p>
      <w:pPr>
        <w:ind w:left="1140" w:hanging="383"/>
        <w:spacing w:after="0" w:line="254"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Reduce clinical and regulatory risk, limit development costs, and accelerate time to market. </w:t>
      </w:r>
      <w:r>
        <w:rPr>
          <w:rFonts w:ascii="Times New Roman" w:cs="Times New Roman" w:eastAsia="Times New Roman" w:hAnsi="Times New Roman"/>
          <w:sz w:val="18"/>
          <w:szCs w:val="18"/>
          <w:color w:val="auto"/>
        </w:rPr>
        <w:t>Some of our product candidates incorporate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chemical entities with long histories of clinical use and well characterized safety profiles. Use of well characterized molecules has allowed us to rapidly complete early clinical development of our product candidates and may reduce the risk of late-stage clinical failures due to unexpected toxicities. This strategy may allow us to seek FDA approval for some of our product candidates using the 505(b)(2) regulatory pathway. Section 505(b)(2) of the Federal Food, Drug, and Cosmetic Act, or FDCA, permits an applicant to file a new drug application, or NDA, that relies, in part, on the FDA’s prior findings of safety and efficacy in the approval of a similar drug, or on published literature. It therefore allows us to leverage previous preclinical and clinical experience with the active molecules in some of our product candidates and potentially forego conducting certain lengthy and costly preclinical studies, reduce clinical and regulatory risk, limit development costs, and accelerate our time to commercialization.</w:t>
      </w:r>
    </w:p>
    <w:p>
      <w:pPr>
        <w:spacing w:after="0" w:line="188" w:lineRule="exact"/>
        <w:rPr>
          <w:rFonts w:ascii="Times New Roman" w:cs="Times New Roman" w:eastAsia="Times New Roman" w:hAnsi="Times New Roman"/>
          <w:sz w:val="18"/>
          <w:szCs w:val="18"/>
          <w:color w:val="auto"/>
        </w:rPr>
      </w:pPr>
    </w:p>
    <w:p>
      <w:pPr>
        <w:ind w:left="1140" w:right="140" w:hanging="383"/>
        <w:spacing w:after="0" w:line="220" w:lineRule="exact"/>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Retain commercial rights in the United States, where appropriate, and selectively partner outside of the United States to maximize the value of our product candidates. </w:t>
      </w:r>
      <w:r>
        <w:rPr>
          <w:rFonts w:ascii="Times New Roman" w:cs="Times New Roman" w:eastAsia="Times New Roman" w:hAnsi="Times New Roman"/>
          <w:sz w:val="18"/>
          <w:szCs w:val="18"/>
          <w:color w:val="auto"/>
        </w:rPr>
        <w:t>We intend to commercialize our product candidates, if approved, in the United States through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establishment of our own focused,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sales and marketing organization. We intend to selectively partner commercial rights outside of the United States with third parties to maximize the value of our product candidates without the substantial investment required to develop independent sales forces in those geographies. We continue to evaluate strategic options for the commercialization of our other product candidates.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CNS Product Candidates</w:t>
      </w:r>
    </w:p>
    <w:p>
      <w:pPr>
        <w:spacing w:after="0" w:line="18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AXS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05</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40" w:firstLine="749"/>
        <w:spacing w:after="0" w:line="273" w:lineRule="auto"/>
        <w:rPr>
          <w:sz w:val="20"/>
          <w:szCs w:val="20"/>
          <w:color w:val="auto"/>
        </w:rPr>
      </w:pPr>
      <w:r>
        <w:rPr>
          <w:rFonts w:ascii="Times New Roman" w:cs="Times New Roman" w:eastAsia="Times New Roman" w:hAnsi="Times New Roman"/>
          <w:sz w:val="17"/>
          <w:szCs w:val="17"/>
          <w:color w:val="auto"/>
        </w:rPr>
        <w:t>AXS-05 (dextromethorphan-bupropion) is a novel, oral, investigational NMDA receptor antagonist, sigma-1 receptor agonist, aminoketone, and CYP2D6 inhibitor being developed for the treatment of CNS disorders. AXS-05 consists of a proprietary formulation and dose of dextromethorphan and bupropion and utilizes Axsome’s metabolic inhibition technology. The dextromethorphan component of AXS-05 is an uncompetitive antagonist of the NMDA receptor, an ionotropic glutamate receptor, and a sigma-1 receptor agonist. Dextromethorphan is quickly eliminated from the body following administration due to extensive first pass metabolism, which results in low blood levels even at high doses. The bupropion component of AXS-05 serves to increase the bioavailability of dextromethorphan by inhibiting its metabolism and is also a dopamine and norepinephrine reuptake inhibitor (DNRI). Based on its unique mechanism of action with multimodal activity, we believe that AXS-05 has potential therapeutic benefit for a variety of CNS disorders.</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are currently developing AXS-05 for the treatment of AD agitation and smoking cessation.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Alzheimer’s Disease (AD) Agitation</w:t>
      </w:r>
    </w:p>
    <w:p>
      <w:pPr>
        <w:spacing w:after="0" w:line="229"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AD is an irreversible, progressive neurodegenerative disorder that manifests initially as forgetfulness and advances to severe cognitive impairment and memory loss. It is the most common form of dementia, affecting approximately 7 million people in the United States, a number that is anticipated to double by 2060. Approximately 70% of AD patients experience agitation, which is characterized by emotional distress, verbal and physical aggressiveness, disruptive irritability, and disinhibition. AD agitation is associated with increased caregiver burden, decreased functioning, earlier institutionalization, and death.</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There is only one FDA-approved pharmacological treatment for the treatment of AD agitation. Currently, AD patients with agitation are often treated with antipsychotic medications despite black box warnings for the use of these medications in this patient population. Typical antipsychotics prescribed for agitation, aggression, or insomnia are associated with functional decline, extrapyramidal symptoms, cardiovascular effects, and sedation in patients with AD, while studies indicate that atypical antipsychotics may be associated with increased rates of cerebrovascular events and death in patients with dementia.</w:t>
      </w:r>
    </w:p>
    <w:p>
      <w:pPr>
        <w:spacing w:after="0" w:line="183"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In June 2020, we announced that AXS-05 had received FDA Breakthrough Therapy designation for AD agitation. In August 2020, we announced confirmation of the pivotal development status and plan for AXS-05 for the treatment of AD agitation following a Breakthrough Therapy meeting with the FDA. In December 2024, we announced the successful completion of our Phase 3 clinical program of AXS-05 in AD agitation, which consists of the ADVANCE-1 Phase 2/3 trial, ADVANCE-2 Phase 3 trial, ACCORD-1 Phase 3 trial, and ACCORD-2 Phase 3 trial evaluating the efficacy and safety of AXS-05 in patients with AD agitation, as well as an open-label extension trial evaluating the long-term safety of AXS-05 in AD agitation.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ADVANCE-1 Study</w:t>
      </w:r>
    </w:p>
    <w:p>
      <w:pPr>
        <w:spacing w:after="0" w:line="227" w:lineRule="exact"/>
        <w:rPr>
          <w:sz w:val="20"/>
          <w:szCs w:val="20"/>
          <w:color w:val="auto"/>
        </w:rPr>
      </w:pPr>
    </w:p>
    <w:p>
      <w:pPr>
        <w:ind w:right="260" w:firstLine="749"/>
        <w:spacing w:after="0" w:line="273" w:lineRule="auto"/>
        <w:rPr>
          <w:sz w:val="20"/>
          <w:szCs w:val="20"/>
          <w:color w:val="auto"/>
        </w:rPr>
      </w:pPr>
      <w:r>
        <w:rPr>
          <w:rFonts w:ascii="Times New Roman" w:cs="Times New Roman" w:eastAsia="Times New Roman" w:hAnsi="Times New Roman"/>
          <w:sz w:val="17"/>
          <w:szCs w:val="17"/>
          <w:color w:val="auto"/>
        </w:rPr>
        <w:t>In July 2017, we initiated the ADVANCE-1 study, a Phase 2/3, randomized, double-blind, controlled, multicenter U.S. trial to evaluate the efficacy and safety of AXS-05 in patients with AD agitation. A total of 366 patients with a diagnosis of probable AD and clinically meaningful agitation associated with their AD were 1:1 randomized to receive AXS-05 (dextromethorphan-bupropion tablet, dose escalated to 45 mg-105 mg twice daily), bupropion (dose escalated to 105 mg twice daily), or matching placebo for 5 weeks. An independent data monitoring committee performed an interim futility analysis and recommended no further randomization to the bupropion arm. Subsequently, patients were 1:1 randomized to receive AXS-05 or placebo. The primary endpoint was the change from baseline in the Cohen-Mansfield Agitation Inventory, or CMAI, total score compared to placebo at Week 5. In April 2020, we announced that AXS-05 achieved the primary endpoint and rapidly and substantially improved agitation in patients with AD.</w:t>
      </w:r>
    </w:p>
    <w:p>
      <w:pPr>
        <w:spacing w:after="0" w:line="171"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AXS-05 met the primary endpoint by demonstrating a statistically significant mean reduction in the CMAI total score compared to placebo at Week 5, with mean reductions from baseline of 15.4 points for AXS-05 and 11.5 points for placebo (p=0.010). These results represent a mean percentage reduction from baseline of 48% for AXS-05 compared to 38% for placebo. AXS-05 was also superior to bupropion on the CMAI total score (p&lt;0.001), establishing component contribution. Improvement on the CMAI total score numerically favored AXS-05 over placebo starting as early as Week 2 and achieved statistical significance by Week 3 (p=0.007), only one week after full dosing with AXS-05.</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Additionally, a statistically significantly greater proportion of patients in the AXS-05 group achieved a clinical response on the CMAI, defined as a 30% or greater improvement from baseline, compared to placebo at Week 5 (73% for AXS-05 vs. 57% for placebo, p=0.005). Consistent with these results, AXS-05 demonstrated a statistically significantly greater improvement in agitation as measured by clinicians’ global assessments of change measured using the modified Alzheimer’s Disease Cooperative Study-Clinical Global Impression of Change for Agitation, or mADCS-CGIC, compared to placebo (p=0.036).</w:t>
      </w:r>
    </w:p>
    <w:p>
      <w:pPr>
        <w:spacing w:after="0" w:line="183"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AXS-05 was well tolerated in the ADVANCE-1 trial. The most common adverse events were somnolence (8.2% for AXS-05 vs. 4.1% for bupropion vs. 3.2% for placebo), dizziness (6.3% for AXS-05 vs. 10.2% for bupropion vs. 3.2% for placebo), and diarrhea (4.4% for AXS-05 vs. 6.1% for bupropion vs. 4.4% for placebo). Discontinuation rates due to adverse events were low and balanced among treatment groups (1.3% for AXS-05 vs. 2.0% for bupropion vs. 1.3% for placebo). Serious adverse events were reported in 3.1% of patients in the AXS-05 group, 8.2% of patients in the bupropion group, and 5.7% of patients in the placebo group, none of which were deemed related to the study drug. There were no deaths in the AXS-05 group, one death in the bupropion group, and one death in the placebo group. AXS-05 was not associated with sedation or cognitive decline as measured by the Mini-Mental State Examination, or MMSE.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ACCORD-1 Study</w:t>
      </w:r>
    </w:p>
    <w:p>
      <w:pPr>
        <w:spacing w:after="0" w:line="227" w:lineRule="exact"/>
        <w:rPr>
          <w:sz w:val="20"/>
          <w:szCs w:val="20"/>
          <w:color w:val="auto"/>
        </w:rPr>
      </w:pPr>
    </w:p>
    <w:p>
      <w:pPr>
        <w:ind w:right="20" w:firstLine="749"/>
        <w:spacing w:after="0" w:line="270" w:lineRule="auto"/>
        <w:rPr>
          <w:sz w:val="20"/>
          <w:szCs w:val="20"/>
          <w:color w:val="auto"/>
        </w:rPr>
      </w:pPr>
      <w:r>
        <w:rPr>
          <w:rFonts w:ascii="Times New Roman" w:cs="Times New Roman" w:eastAsia="Times New Roman" w:hAnsi="Times New Roman"/>
          <w:sz w:val="17"/>
          <w:szCs w:val="17"/>
          <w:color w:val="auto"/>
        </w:rPr>
        <w:t>In December 2020, we initiated the ACCORD-1 study, a Phase 3, randomized, double-blind, placebo-controlled, multicenter trial to evaluate the efficacy and safety of AXS-05 in patients with AD agitation. The trial consisted of a 9-week, open-label period during which patients were treated with AXS-05 and monitored for a sustained clinical response, followed by a 26-week, double-blind, placebo-controlled, randomized withdrawal period. Sustained clinical response was defined as a ≥30% improvement from baseline in the CMAI total score and improvement on the Patient Global Impression of Change, or PGI-C, scale (score of ≤3) that were maintained for at least 4 consecutive weeks. A total of 178 patients were enrolled into the open-label period and treated with AXS-05, and 108 patients were 1:1 randomized to continue AXS-05 (n=53) or to switch to placebo (n=55) for up to 26 weeks or until a relapse of agitation occurred. Relapse was defined as a ≥10-point worsening in the CMAI total score from randomization, or a CMAI total score greater than that at study entry, or hospitalization or other institutionalization due to AD agitation. The primary endpoint was the time from randomization to relapse of AD agitation calculated by Kaplan-Meier estimates and the hazard ratio. Secondary assessments included the CMAI, clinician- and caregiver-rated scales, and safety parameters. The key secondary endpoint was the percentage of patients who relapsed compared to placebo.</w:t>
      </w:r>
    </w:p>
    <w:p>
      <w:pPr>
        <w:spacing w:after="0" w:line="177"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In November 2022, we announced that AXS-05 achieved the primary endpoint in the ACCORD-1 Phase 3 trial by substantially and statistically significantly delaying the time to relapse of AD agitation compared to placebo, with a hazard ratio for time to relapse of 0.275 (p=0.014), representing a 3.6-fold lower risk of relapse compared to placebo. AXS-05 also met the key secondary endpoint by statistically significantly preventing relapse of AD agitation compared to placebo, with 7.5% of patients in the AXS-05 group relapsing compared to 25.9% of patients in the placebo group (p=0.018). In the open-label treatment period, AXS-05 demonstrated a rapid, substantial, and statistically significant improvement in AD agitation compared to baseline as measured by the CMAI total score, starting at Week 1 and continuing throughout at all timepoints (p&lt;0.001). Additionally, rapid and substantial improvement in AD agitation was reported by both clinicians and caregivers on global measures. Clinicians reported improvement in AD agitation with open-label AXS-05 treatment in 66% of patients at 2 weeks and 86% at 5 weeks as measured by the mADCS-CGIC scale. Caregivers reported improvement in AD agitation in 68% of patients at 2 weeks and 89% at 5 weeks as measured by the PGI-C scale.</w:t>
      </w:r>
    </w:p>
    <w:p>
      <w:pPr>
        <w:spacing w:after="0" w:line="188"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AXS-05 was well tolerated in the ACCORD-1 trial. The rates of adverse events in the double-blind period were 28.3% in the AXS-05 group and 22.2% in the placebo group. Discontinuation rates due to adverse events were low (0% for AXS-05 vs. 1.9% for placebo). One serious adverse event was reported in the AXS-05 group (faecaloma), which was determined by the investigator to be not related to the study drug, and two serious adverse events were reported in the placebo group (cardiac arrest, femur fracture). Falls were reported in four patients in the AXS-05 group, none of which were associated with serious adverse events and all of which were determined by the investigators to be not related to the study drug, and in two patients in the placebo group, one of which was associated with a femur fracture. There were no deaths in the AXS-05 group and one death in the placebo group. AXS-05 was not associated with sedation or cognitive decline as measured by the MMSE.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ADVANCE-2 Study</w:t>
      </w:r>
    </w:p>
    <w:p>
      <w:pPr>
        <w:spacing w:after="0" w:line="22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September 2022, we initiated the ADVANCE-2 study, a Phase 3, randomized, double-blind, placebo-controlled, multicenter trial to evaluate the efficacy and safety of AXS-05 in patients with AD agitation. A total of 408 patients were 1:1 randomized to receive AXS-05 (dextromethorphan-bupropion tablet, dose escalated to 45 mg-105 mg twice daily) or matching placebo for 5 weeks. In December 2024, we announced topline results from the ADVANCE-2 trial. AXS-05 did not achieve statistical significance for the primary endpoint, the change in the CMAI total score compared to placebo at Week 5, with mean reductions from baseline of 13.8 points for AXS-05 and 12.6 points for placebo. However, results for the primary and nearly all secondary endpoints numerically favored AXS-05 placebo at all time points in the trial.</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AXS-05 was safe and well tolerated in the ADVANCE-2 trial. The rates of adverse events in the trial were 26.0% in the AXS-05 group and 21.6% in the placebo group. The most common adverse events were dizziness (5.9% for AXS-05 vs. 1.5% for placebo) and headache (4.4% for AXS-05 vs. 3.4% for placebo). Falls were reported in one patient (0.5%) in the AXS-05 group, which was determined by the investigator to be not related to study drug, and one patient (0.5%) in the placebo group. Two patients in the AXS-05 group reported three serious adverse events, none of which were determined by the investigators to be related to study drug (asthenia, urinary tract infection, and cerebrovascular accident). Discontinuation rates due to adverse events were low (1.5% for AXS-05 vs. 0% for placebo). There were no deaths in the trial, and AXS-05 was not associated with sedation or cognitive decline as measured by the MMSE.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ACCORD-2 Study</w:t>
      </w:r>
    </w:p>
    <w:p>
      <w:pPr>
        <w:spacing w:after="0" w:line="227" w:lineRule="exact"/>
        <w:rPr>
          <w:sz w:val="20"/>
          <w:szCs w:val="20"/>
          <w:color w:val="auto"/>
        </w:rPr>
      </w:pPr>
    </w:p>
    <w:p>
      <w:pPr>
        <w:ind w:right="200" w:firstLine="749"/>
        <w:spacing w:after="0" w:line="255" w:lineRule="auto"/>
        <w:rPr>
          <w:sz w:val="20"/>
          <w:szCs w:val="20"/>
          <w:color w:val="auto"/>
        </w:rPr>
      </w:pPr>
      <w:r>
        <w:rPr>
          <w:rFonts w:ascii="Times New Roman" w:cs="Times New Roman" w:eastAsia="Times New Roman" w:hAnsi="Times New Roman"/>
          <w:sz w:val="18"/>
          <w:szCs w:val="18"/>
          <w:color w:val="auto"/>
        </w:rPr>
        <w:t>In May 2024, we announced that we had initiated the ACCORD-2 study, a Phase 3, randomized, double-blind, placebo-controlled, multicenter trial to evaluate the efficacy and safety of AXS-05 in patients with AD agitation. The trial consisted of an open-label treatment period followed by a 24-week, double-blind, placebo-controlled, randomized withdrawal period. A total of 167 patients, who rolled over from the open-label extension trial of AXS-05, experienced a sustained clinical response with AXS-05 and were 1:1 randomized to continue AXS-05 (n=83) or to switch to placebo (n=84). Treatment was continued for up to 24 weeks or until a relapse of agitation occurred. The primary endpoint was the time from randomization to relapse of AD agitation calculated by Kaplan-Meier estimates and the hazard ratio. The key secondary endpoint was the percentage of patients who relapsed compared to placebo.</w:t>
      </w:r>
    </w:p>
    <w:p>
      <w:pPr>
        <w:spacing w:after="0" w:line="189"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18"/>
          <w:szCs w:val="18"/>
          <w:color w:val="auto"/>
        </w:rPr>
        <w:t>In December 2024, we announced that AXS-05 achieved the primary endpoint in the ACCORD-2 Phase 3 trial and demonstrated a highly statistically significant delay in the time to relapse of AD agitation compared to placebo, with a hazard ratio for time to relapse of 0.276 (p=0.001), representing a 3.6-fold lower risk of relapse compared to placebo. AXS-05 also met the key secondary endpoint by statistically significantly preventing relapse of AD agitation compared to placebo, with 8.4% of patients in the AXS-05 group relapsing compared to 28.6% of patients in the placebo group (p=0.001). Additionally, AXS-05 substantially and statistically significantly prevented worsening of overall Alzheimer’s disease severity compared to placebo as measured by the Clinical Global Impression of Severity, or CGI-S, scale for Alzheimer’s disease, with 13.3% of patients in the AXS-05 group worsening on the CGI-S for Alzheimer’s disease overall clinical status compared to 39.3% of patients who switched to placebo (p&lt;0.001).</w:t>
      </w:r>
    </w:p>
    <w:p>
      <w:pPr>
        <w:spacing w:after="0" w:line="189"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In the open-label period, treatment with AXS-05 was associated with a 20.4-point reduction in the CMAI total score at 6 weeks, representing a 46% reduction from the mean baseline score. Additionally, substantial improvement in AD agitation was reported by both clinicians and caregivers on global measures. Clinicians reported improvement in AD agitation with open-label AXS-05 treatment in 78% of patients at 8 weeks as measured by the mADCS-CGIC scale. Caregivers reported improvement in AD agitation in 71% of patients at 4 weeks and 78% of patients at 8 weeks as measured by the PGI-C scale. Of the patients treated for at least 8 weeks during the open-label period, 70% experienced a sustained clinical response and were randomized in the double-blind period.</w:t>
      </w:r>
    </w:p>
    <w:p>
      <w:pPr>
        <w:spacing w:after="0" w:line="18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AXS-05 was safe and well tolerated in the ACCORD-2 trial. The rates of adverse events in the double-blind period were 29.3% in the AXS-05 group and 32.1% in the placebo group, with no individual adverse event occurring in more than 3.7% of patients. Discontinuation rates due to adverse events were low (0% for AXS-05 vs. 1.2% for placebo). There were two serious adverse events reported in the trial, both of which occurred in the placebo group (cellulitis and urinary retention). Falls were reported in two patients (2.4%) in the AXS-05 group, only one of which was determined by the investigator to be related to study drug. There were no deaths in the trial, and AXS-05 was not associated with sedation or cognitive decline as measured by the MMSE.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Safety Study</w:t>
      </w:r>
    </w:p>
    <w:p>
      <w:pPr>
        <w:spacing w:after="0" w:line="22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December 2024, we announced topline results from the open-label extension trial evaluating the long-term safety and tolerability of AXS-05 in patients with AD agitation. A total of 456 patients were treated with AXS-05 for up to 12 months. AXS-05 was well tolerated with long-term dosing, with a safety profile consistent with the controlled efficacy and safety trials. The rate of adverse events in the trial was 39.9%, with headache (5.5%) being the only adverse event reported in ≥5% of patients. Discontinuations due to adverse events with long-term dosing were low (0.7%). Falls were reported in 3.1% of patients, with only 0.2% deemed to be related to the study drug. There were no deaths in the trial, and AXS-05 was not associated with sedation or cognitive decline as measured by the MMSE.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Smoking Cessation</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are also evaluating AXS-05 as an aid to smoking cessation treatment. Over 34 million adults in the U.S. smoke cigarettes, 50% of whom live with a smoking-related disease. Approximately 70% of smokers report that they want to quit, but only an estimated 3-5% who attempt to quit without assistance are successful for 6-12 months, and even with the currently available treatment options, relapse rates remain above 80%. Tobacco use results in approximately 500,000 premature deaths each year in the U.S., according to the Centers for Disease Control and Prevention. Smoking is the single largest cause of preventable disease and death in the U.S., accounting for nearly 1 in 5 deaths. Direct health care and lost productivity costs as a result of smoking total approximately $300 billion annually in the U.S. alone.</w:t>
      </w:r>
    </w:p>
    <w:p>
      <w:pPr>
        <w:spacing w:after="0" w:line="18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December 2017, we entered into a research collaboration agreement with Duke University to evaluate AXS-05 in a Phase 2 clinical trial in smoking cessation under an Investigator Sponsored Investigational New Drug Application, or IND. In April 2018, we announced the enrollment of the first patient into a Phase 2 clinical trial of AXS-05 for smoking cessation treatment, which was being conducted under our research collaboration agreement with Duke University. In April 2019, we announced that AXS-05 met the prespecified primary endpoint in the Phase 2 trial in smoking cessation. In November 2021, we announced that we had received from the FDA positive Pre-Investigational New Drug Application, or Pre-IND, meeting written guidance on a proposed clinical developmental plan for AXS-05 as an aid to smoking cessation. Based on this feedback, Axsome plans to proceed to a pivotal Phase 2/3 trial in this indication.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AXS-12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AXS-12 (reboxetine) is a novel, oral, potent, highly selective investigational norepinephrine reuptake inhibitor and cortical dopamine modulator being developed for the treatment of narcolepsy.</w:t>
      </w:r>
    </w:p>
    <w:p>
      <w:pPr>
        <w:spacing w:after="0" w:line="162"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October 2018, we received Orphan Drug Designation from the FDA for AXS-12 for the treatment of narcolepsy. In January 2020, we entered into an exclusive license agreement with Pfizer for Pfizer’s clinical and nonclinical data, and intellectual property for reboxetine, the active pharmaceutical ingredient in AXS-12. In September 2020, we announced that the Phase 2 CONCERT study and a single Phase 3 study would be sufficient to support the filing of an NDA. In July 2021, we announced that we were notified by the FDA that the FDA had rescinded our Breakthrough Therapy Designation for AXS-12 for the treatment of cataplexy in narcolepsy, due to the FDA’s approval of an additional drug product for the treatment of cataplexy in narcolepsy subsequent to their granting AXS-12 Breakthrough Therapy designation.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Narcolepsy</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Narcolepsy is a serious and debilitating orphan neurological condition that causes dysregulation of the sleep-wake cycle and is characterized clinically by EDS, cataplexy, hypnagogic hallucinations, sleep paralysis, and disrupted nocturnal sleep. Narcolepsy afflicts an estimated 185,000 individuals in the U.S. Cataplexy is seen in an estimated 70% of narcolepsy patients and is characterized by a sudden reduction or loss of muscle tone while a patient is awake, typically triggered by strong emotions such as laughter, fear, anger, stress, or excitement. Narcolepsy is a life-long condition that interferes with cognitive, psychological, and social functioning, increases the risk of work- and driving-related accidents, and is associated with a 1.5-fold higher mortality rate.</w:t>
      </w:r>
    </w:p>
    <w:p>
      <w:pPr>
        <w:spacing w:after="0" w:line="187"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Our clinical program for AXS-12 in narcolepsy includes our completed positive CONCERT Phase 2 trial and SYMPHONY Phase 3 trial evaluating the efficacy and safety of AXS-12 compared to placebo, as well as our completed positive ENCORE Phase 3 trial evaluating the long-term efficacy and safety of AXS-12 in patients with narcolepsy with cataplexy.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CONCERT Study</w:t>
      </w:r>
    </w:p>
    <w:p>
      <w:pPr>
        <w:spacing w:after="0" w:line="227"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In January 2019, we initiated the CONCERT study to evaluate the efficacy and safety of AXS-12 in narcolepsy. In December 2019, we announced that AXS-12 met the prespecified primary endpoint and significantly reduced the total number of cataplexy attacks compared to placebo.</w:t>
      </w:r>
    </w:p>
    <w:p>
      <w:pPr>
        <w:spacing w:after="0" w:line="162"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CONCERT was a Phase 2, randomized, double-blind, placebo-controlled, crossover, multicenter, U.S. trial in which 21 patients with a diagnosis of narcolepsy with cataplexy were all treated with orally administered AXS-12 for 2 weeks, and with placebo for 2 weeks, with the treatment periods separated by 1 week of down-titration and washout.</w:t>
      </w:r>
    </w:p>
    <w:p>
      <w:pPr>
        <w:spacing w:after="0" w:line="176"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AXS-12 met the prespecified primary endpoint by demonstrating a highly statistically significant reduction from baseline in the mean weekly number of cataplexy attacks, averaged for the 2-week treatment period, the overall treatment effect, compared to placebo (p&lt;0.001). At Week 2, AXS-12 demonstrated a mean reduction of 14.6 cataplexy attacks per week compared to a reduction of 2.6 attacks per week for placebo (p=0.002), representing mean reductions of 48.8% and 8.6% from baseline, respectively. The proportion of patients achieving a 50% or greater reduction in the weekly number of cataplexy attacks was 76.2% for AXS-12, compared to 30.0% for placebo at Week 2 (p=0.003). The improvement in cataplexy was rapid, with AXS-12 demonstrating significant benefit over placebo as early as Week 1 (p&lt;0.001).</w:t>
      </w:r>
    </w:p>
    <w:p>
      <w:pPr>
        <w:spacing w:after="0" w:line="187"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AXS-12 significantly improved EDS symptoms compared to placebo, as measured by the Epworth Sleepiness Scale, or ESS, and by the frequency of inadvertent naps. The improvement on the ESS with AXS-12 treatment was twice that observed with placebo, with reductions from baseline in the ESS score of 6.0 and 3.1, respectively for AXS-12 and placebo (p=0.003). AXS-12 treatment resulted in a 31.8% mean reduction from baseline in the average weekly number of inadvertent naps compared to a 5.3% mean reduction for placebo at Week 2 (p&lt;0.001). Improvement in the frequency of inadvertent naps was rapid, with AXS-12 demonstrating significant benefit over placebo as early as Week 1 (p=0.038).</w:t>
      </w:r>
    </w:p>
    <w:p>
      <w:pPr>
        <w:spacing w:after="0" w:line="183"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AXS-12 significantly improved cognitive function compared to placebo over the 2-week treatment period as measured by the Ability to Concentrate item of the Narcolepsy Symptom Assessment Questionnaire, or NSAQ, which was assessed daily (p&lt;0.001). For this assessment, patients rated their ability to concentrate on a 5-point scale (1=very good to 5=very poor). At the end of treatment, 42.9% of patients had an ability to concentrate that was “good” to “very good” with AXS-12 treatment, compared to 25.0% of patients with placebo, and 0% of patients at baseline. The improvement in the ability to concentrate was rapid, with AXS-12 demonstrating significant improvement over placebo as early as Week 1 (p=0.007).</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AXS-12 significantly improved sleep quality, as measured by overall improvement and by number of awakenings at night, and reduced sleep-related symptoms, compared to placebo. AXS-12 treatment resulted in 45.0% of patients reporting improved sleep quality compared to 5.3% of patients with placebo (p=0.007). AXS-12 treatment resulted in 30.0% of patients reporting a reduction in the number of awakenings at night compared to 5.3% of patients with placebo (p=0.044). AXS-12 treatment also resulted in greater proportions of patients with reductions in sleep paralysis episodes, and in hypnagogic hallucinations, compared to placebo (p=ns).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AXS-12 was well tolerated in the trial. The most common adverse events in the AXS-12 group were anxiety, constipation, and insomnia.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SYMPHONY Study</w:t>
      </w:r>
    </w:p>
    <w:p>
      <w:pPr>
        <w:spacing w:after="0" w:line="22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September 2021, we enrolled the first patient in SYMPHONY study, a Phase 3, randomized, double-blind, placebo-controlled, multicenter trial evaluating the efficacy and safety of AXS-12 in patients with narcolepsy. A total of 90 patients were 1:1 randomized to receive AXS-12 or placebo for 5 weeks. Patients took either AXS-12 (5 mg) or placebo once daily during Week 1 followed by twice daily dosing during Weeks 2-5. The primary endpoint was the change in frequency of weekly cataplexy attacks. Other symptoms of narcolepsy as well as safety and tolerability were also assessed in the trial. In March 2024, we announced that AXS-12 achieved the primary endpoint in the SYMPHONY Phase 3 trial and statistically significantly reduced the frequency of cataplexy attacks in patients with narcolepsy compared to placebo. AXS-12 also reduced EDS severity, improved cognitive function, and reduced overall narcolepsy severity compared to placebo.</w:t>
      </w:r>
    </w:p>
    <w:p>
      <w:pPr>
        <w:spacing w:after="0" w:line="18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AXS-12 met the primary endpoint by demonstrating a substantial and statistically significant reduction from baseline in weekly cataplexy attacks compared to placebo at Week 5, with reductions of 83% for AXS-12 and 66% for placebo (p=0.018). AXS-12 rapidly reduced weekly cataplexy attacks, demonstrating a reduction of 56% compared to 31% for placebo at Week 1 (p=0.007). Additionally, AXS-12 resulted in remission of cataplexy and increased cataplexy-free days compared to placebo. Remission of cataplexy, defined as a 100% reduction from baseline, was achieved by 33% of AXS-12 patients compared to 9.5% of placebo patients at Week 5 (p=0.008). Achievement of remission was rapid, with 24% of AXS-12 patients achieving remission at Week 2 compared to 4.5% of placebo patients (p=0.008). AXS-12 increased the percentage of cataplexy-free days per week, defined as days with zero cataplexy attacks, to 84.5% at Week 5 compared to 22.6% for placebo (p=0.014).</w:t>
      </w:r>
    </w:p>
    <w:p>
      <w:pPr>
        <w:spacing w:after="0" w:line="189" w:lineRule="exact"/>
        <w:rPr>
          <w:sz w:val="20"/>
          <w:szCs w:val="20"/>
          <w:color w:val="auto"/>
        </w:rPr>
      </w:pPr>
    </w:p>
    <w:p>
      <w:pPr>
        <w:jc w:val="both"/>
        <w:ind w:right="120" w:firstLine="749"/>
        <w:spacing w:after="0" w:line="272" w:lineRule="auto"/>
        <w:rPr>
          <w:sz w:val="20"/>
          <w:szCs w:val="20"/>
          <w:color w:val="auto"/>
        </w:rPr>
      </w:pPr>
      <w:r>
        <w:rPr>
          <w:rFonts w:ascii="Times New Roman" w:cs="Times New Roman" w:eastAsia="Times New Roman" w:hAnsi="Times New Roman"/>
          <w:sz w:val="17"/>
          <w:szCs w:val="17"/>
          <w:color w:val="auto"/>
        </w:rPr>
        <w:t>AXS-12 significantly reduced EDS severity as measured by the CGI-S scale for EDS compared to placebo at Week 5, with mean reductions of 1.8 points for AXS-12 compared to 0.9 points for placebo (p=0.027). Statistical significance was observed as early as Week 1 (p=0.006). Concurrent EDS and cataplexy response was achieved by 57% of patients in the AXS-12 group compared to 33% of patients in the placebo group at Week 5 (p=0.029).</w:t>
      </w:r>
    </w:p>
    <w:p>
      <w:pPr>
        <w:spacing w:after="0" w:line="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Response was defined as a ≥30% reduction in inadvertent naps and a ≥50% reduction in cataplexy attacks, respectively. The improvement in frequency of inadvertent naps was rapid, with 54% of patients in the AXS-12 group experiencing a decrease in the number of inadvertent naps compared to 28% of patients in the placebo group, as measured by the NSAQ, at Week 5 (p=0.016).</w:t>
      </w:r>
    </w:p>
    <w:p>
      <w:pPr>
        <w:spacing w:after="0" w:line="186"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AXS-12 significantly improved concentration and memory compared to placebo at Week 5 as measured by the Cognitive Function Items of the Functional Outcomes of Sleep Questionnaire, or FOSQ-10, (p=0.004). Concurrent cognitive and cataplexy response was achieved by 41% of patients in the AXS-12 group compared to 17% of patients in the placebo group at Week 5 (p=0.016). Response was defined by an increase in days patients rated their Ability to Concentrate as very good or good and a ≥50% reduction in cataplexy attacks, respectively.</w:t>
      </w:r>
    </w:p>
    <w:p>
      <w:pPr>
        <w:spacing w:after="0" w:line="180"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AXS-12 also demonstrated improvements in overall narcolepsy, patient function, and quality of life. Clinicians reported a rapid and significant reduction in overall narcolepsy severity in patients in the AXS-12 group compared to patients in the placebo group, as measured by the CGI-S for narcolepsy, at Week 5 (p=0.007), with improvements observed as early as Week 1 (p&lt;0.001). Statistically significant improvements in overall patient function and quality of life as measured by the FOSQ-10 total score was observed with AXS-12 compared to placebo at Week 5 (p=0.005).</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ENCORE Study</w:t>
      </w:r>
    </w:p>
    <w:p>
      <w:pPr>
        <w:spacing w:after="0" w:line="22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October 2021, we initiated the ENCORE study, a Phase 3, randomized, double-blind, placebo-controlled trial to evaluate the long-term efficacy and safety of AXS-12 in patients with narcolepsy. The trial consisted of a 24-week open-label treatment period followed by a 3-week, double-blind, randomized withdrawal period. A total of 68 patients, who rolled over from the SYMPHONY Phase 3 trial, were enrolled into the open-label period and treated with AXS-12 (5 mg) once-daily for the first week, followed by twice-daily dosing for the subsequent 23 weeks. Patients who completed the open-label treatment period (n=42) were then 1:1 randomized to continue AXS-12 (n=22) or to switch to placebo (n=20). The primary endpoint was the change in frequency of weekly cataplexy attacks from randomization to week 3 of the double-blind period. Other symptoms of narcolepsy as well as safety and tolerability were also assessed throughout the trial. In March 2024, we announced that AXS-12 achieved the primary endpoint in the SYMPHONY Phase 3 trial and statistically significantly reduced the frequency of cataplexy attacks in patients with narcolepsy compared to placebo. AXS-12 also reduced EDS severity, improved cognitive function, and reduced overall narcolepsy severity compared to placebo.</w:t>
      </w:r>
    </w:p>
    <w:p>
      <w:pPr>
        <w:spacing w:after="0" w:line="188" w:lineRule="exact"/>
        <w:rPr>
          <w:sz w:val="20"/>
          <w:szCs w:val="20"/>
          <w:color w:val="auto"/>
        </w:rPr>
      </w:pPr>
    </w:p>
    <w:p>
      <w:pPr>
        <w:ind w:right="20" w:firstLine="749"/>
        <w:spacing w:after="0" w:line="270" w:lineRule="auto"/>
        <w:rPr>
          <w:sz w:val="20"/>
          <w:szCs w:val="20"/>
          <w:color w:val="auto"/>
        </w:rPr>
      </w:pPr>
      <w:r>
        <w:rPr>
          <w:rFonts w:ascii="Times New Roman" w:cs="Times New Roman" w:eastAsia="Times New Roman" w:hAnsi="Times New Roman"/>
          <w:sz w:val="17"/>
          <w:szCs w:val="17"/>
          <w:color w:val="auto"/>
        </w:rPr>
        <w:t>AXS-12 met the primary endpoint of the change from randomization in the frequency of cataplexy attacks compared to placebo at week 3 of the double-blind period. Patients randomized to switch to placebo experienced a statistically significant worsening in the average weekly number of cataplexy attacks compared to patients randomized to continue AXS-12 treatment, with an increase of 10.29 attacks per week for placebo compared to 1.32 attacks per week for AXS-12, at 3 weeks (p=0.017). Additionally, AXS-12 demonstrated a statistically significant improvement in cognitive function compared to placebo at Week 5 as measured by the NSAQ and the PGI-C. A significantly greater percentage of patients who switched to placebo experienced worsening in the NSAQ Ability to Concentrate item compared to those who continued AXS-12 treatment at 3 weeks (52.6% for placebo vs. 14.3% for AXS-12, p=0.011). A significantly greater percentage of patients who switched to placebo also reported worsening in their ability to concentrate compared to patients who continued AXS-12 treatment at 3 weeks (57.9% for placebo vs. 22.2% for AXS-12, p=0.029). Additionally, AXS-12 demonstrated improvements in overall narcolepsy as measured by the PGI-C scale. A significantly greater percentage of patients who switched to placebo reported worsening of their narcolepsy compared to those who continued AXS-12 treatment at 3 weeks (52.6% for placebo vs. 16.7% for AXS-12, p=0.024).</w:t>
      </w:r>
    </w:p>
    <w:p>
      <w:pPr>
        <w:spacing w:after="0" w:line="17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the open-label period, treatment with AXS-12 led to substantial and sustained improvement of cataplexy, with patients experiencing a 71% reduction from baseline in mean weekly cataplexy attacks at 1 month, which was sustained with long-term treatment, resulting in a 77% reduction at 6 months. Cataplexy response, defined as ≥50% reduction from baseline in weekly cataplexy attacks, was achieved by 72% of patients at 1 month, and by 82% of patients at 6 months with AXS-12 treatment. Treatment with AXS-12 also substantially increased the percentage of cataplexy-free days (days with zero cataplexy attacks) per week from 14% at baseline to 61% at 1 month and 70% at 6 months.</w:t>
      </w:r>
    </w:p>
    <w:p>
      <w:pPr>
        <w:spacing w:after="0" w:line="183"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17"/>
          <w:szCs w:val="17"/>
          <w:color w:val="auto"/>
        </w:rPr>
        <w:t>Long-term open-label treatment with AXS-12 resulted in substantial improvements in EDS, assessed using the ESS and the Clinician Global Impression of Change, or CGI-C, scale. Mean ESS scores were reduced by 5.6 points at 1 month, with the improvement maintained with long-term treatment resulting in a mean reduction of 7.3 points at 6 months. Clinicians reported improvement in EDS in a substantial proportion of patients on the CGI-C scale, with 84% of patients achieving EDS improvement at 1 month and 78% of patients at 6 months. A substantial proportion of patients reported improvement in cognition which was sustained with long-term open-label treatment. Improvement in cognition, assessed by the NSAQ Ability to Concentrate item, was reported by 55% of patients at 1 month and 59% at 6 months with AXS-12 treatment. Change in the ability to concentrate was also assessed using the PGI-C scale. The percentage of patients reporting improvement in the ability to concentrate on the PGI-C was 67% at 1 month and 70% at 6 months with AXS-12 treatment. Long-term open-label treatment with AXS-12 was also associated with improvement in overall narcolepsy status and patient functioning, assessed using the CGI-C, the PGI-C, and the Work Productivity and Activity Impairment Questionnaire, or WPAI. On the CGI-C, clinicians reported overall improvement in narcolepsy in 90% of patients at 1 month and 90% of patients at 6 months with AXS-12 treatment. Results were similar with the patient-reported PGI-C. Impairment due to narcolepsy while working was assessed after treatment with AXS-12 using the WPAI. The percentage of time impaired while working decreased substantially with AXS-12 treatment from 53% at baseline to 34% at 1 month and 24% at 6 months.</w:t>
      </w: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749"/>
        <w:spacing w:after="0" w:line="276" w:lineRule="auto"/>
        <w:rPr>
          <w:sz w:val="20"/>
          <w:szCs w:val="20"/>
          <w:color w:val="auto"/>
        </w:rPr>
      </w:pPr>
      <w:r>
        <w:rPr>
          <w:rFonts w:ascii="Times New Roman" w:cs="Times New Roman" w:eastAsia="Times New Roman" w:hAnsi="Times New Roman"/>
          <w:sz w:val="17"/>
          <w:szCs w:val="17"/>
          <w:color w:val="auto"/>
        </w:rPr>
        <w:t>AXS-12 was well tolerated with long-term dosing, with a safety profile consistent with prior trials of AXS-12 in narcolepsy. During the 6-month open-label treatment period, the most common adverse events (≥5%) were nausea (5.9%) and tachycardia (5.9%). Over the 6-month treatment period,</w:t>
      </w:r>
    </w:p>
    <w:p>
      <w:pPr>
        <w:spacing w:after="0" w:line="1" w:lineRule="exact"/>
        <w:rPr>
          <w:sz w:val="20"/>
          <w:szCs w:val="20"/>
          <w:color w:val="auto"/>
        </w:rPr>
      </w:pPr>
    </w:p>
    <w:p>
      <w:pPr>
        <w:jc w:val="both"/>
        <w:ind w:right="340"/>
        <w:spacing w:after="0" w:line="255" w:lineRule="auto"/>
        <w:rPr>
          <w:sz w:val="20"/>
          <w:szCs w:val="20"/>
          <w:color w:val="auto"/>
        </w:rPr>
      </w:pPr>
      <w:r>
        <w:rPr>
          <w:rFonts w:ascii="Times New Roman" w:cs="Times New Roman" w:eastAsia="Times New Roman" w:hAnsi="Times New Roman"/>
          <w:sz w:val="18"/>
          <w:szCs w:val="18"/>
          <w:color w:val="auto"/>
        </w:rPr>
        <w:t>17.6% of patients discontinued due to adverse events, with no individual adverse event leading to discontinuation by more than one patient. Treatment-related adverse events during the double-blind period were reported in 4.5% of patients in the AXS-12 group and 15% of patients in the placebo group. Rates of discontinuation due to adverse events in the double-blind period were 0% and 5% in the AXS-12 and placebo groups,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AXS-14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AXS-14 (esreboxetine) is a novel, oral, potent, highly selective investigational norepinephrine reuptake inhibitor being developed for the management of fibromyalgia. Esreboxetine, the SS-enantiomer of reboxetine, is more potent and selective than racemic reboxetine.</w:t>
      </w:r>
    </w:p>
    <w:p>
      <w:pPr>
        <w:spacing w:after="0" w:line="162"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In January 2020, we received from Pfizer an exclusive license to develop and commercialize esreboxetine in the U.S. for fibromyalgia and other indications. The license encompasses nonclinical and clinical data for esreboxetine including results from a positive Phase 3 and a positive Phase 2 trial of esreboxetine in the treatment of fibromyalgia conducted by Pfizer.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Fibromyalgia</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Fibromyalgia is a chronic disorder often characterized by widespread musculoskeletal pain, fatigue, disturbed sleep, depression, and cognitive impairment. Other symptoms of this disorder can include tingling in the hands and feet and headaches. Fibromyalgia is considered to be mediated mainly in the central nervous system. Approximately 17 million people in the U.S. suffer from fibromyalgia. Treatment options for fibromyalgia are limited with only three pharmacologic treatments currently approved by the FDA.</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a Phase 3 trial conducted by Pfizer in 1,122 patients with fibromyalgia treated with esreboxetine or placebo for 14 weeks, esreboxetine met the two primary endpoints by demonstrating statistically significant improvements in the weekly mean pain score compared to placebo (p&lt;0.001, p&lt;0.001, and p=0.025 for 4 mg, 8 mg and 10 mg daily doses, respectively), and the Fibromyalgia Impact Questionnaire, or FIQ, total score (p&lt;0.001, p&lt;0.001, and p=0.023 for 4 mg, 8 mg and 10 mg daily doses, respectively). Esreboxetine also resulted in statistically significant improvements in patient-reported global functioning compared to placebo as measured by the PGI-C scale (p=0.002, p=0.001, and p=0.007 for 4 mg, 8 mg and 10 mg daily doses, respectively), and in fatigue as measured by the Global Fatigue Index (p=0.001 and p=0.001 for 4 mg and 8 mg daily doses, respectively).</w:t>
      </w:r>
    </w:p>
    <w:p>
      <w:pPr>
        <w:spacing w:after="0" w:line="18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In a Phase 2 trial conducted by Pfizer in 267 patients with fibromyalgia treated with esreboxetine (dose escalated to 8 mg/day) or placebo for 8 weeks, esreboxetine met the primary endpoint by demonstrating statistically significant improvements in the weekly mean pain score compared to placebo (p=0.006). The study also demonstrated statistically significant improvements in additional efficacy outcomes including the FIQ total score (p&lt;0.001), the PGI-C scale (p&lt;0.001), and fatigue as measured by the Multidimensional Assessment of Fatigue scale (p&lt;0.001).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Solriamfetol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Solriamfetol is an oral, DNRI, TAAR1 agonist, and 5-HT1A agonist being developed for the treatment of CNS disorders. We are currently developing solriamfetol in ADHD, MDD, BED, and SWD.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Attention Deficit Hyperactivity Disorder</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ADHD is a chronic neurobiological and developmental disorder characterized by a persistent pattern of inattention, hyperactivity, or impulsivity that interferes with functioning or development. Impairments in cognition are apparent in attention, planning and problem solving, working memory, and behavioral inhibition. An estimated 22 million people in the U.S. are affected by ADHD, including approximately 7 million children aged 3-17 years old. Approximately two-thirds or more children with ADHD continue to have symptoms and challenges into adulthood. ADHD is associated with significant impairment in social, academic, and occupational functioning and development. The total annual societal excess costs associated with adult ADHD in the U.S. have been estimated at $122.8 billion.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FOCUS Study</w:t>
      </w:r>
    </w:p>
    <w:p>
      <w:pPr>
        <w:spacing w:after="0" w:line="227"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18"/>
          <w:szCs w:val="18"/>
          <w:color w:val="auto"/>
        </w:rPr>
        <w:t>In July 2023, we initiated the FOCUS study, a Phase 3, randomized, double-blind, placebo-controlled, multicenter trial to evaluate the efficacy and safety of solriamfetol for the treatment of ADHD in adults. Approximately 450 patients will be randomized in a 1:1:1 ratio to receive solriamfetol (150 mg or 300 mg) or placebo for 6 weeks. The primary endpoint is the change in the Adult ADHD Investigator Symptom Report Scale, or AISRS.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Depressive Disorder</w:t>
      </w:r>
    </w:p>
    <w:p>
      <w:pPr>
        <w:spacing w:after="0" w:line="229"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18"/>
          <w:szCs w:val="18"/>
          <w:color w:val="auto"/>
        </w:rPr>
        <w:t>MDD is a debilitating, chronic, biologically based disorder characterized by low mood, inability to feel pleasure, feelings of guilt and worthlessness, low energy, and other emotional and physical symptoms, which impair social, occupational, educational, or other important functioning. In severe cases, MDD can result in suicide. MDD is one of the most common mental disorders in the U.S. where approximately 1 in 5 individuals will experience MDD at some point in their life. According to the U.S. Department of Health and Human Services, or HHS, an estimated 21 million adults in the U.S. experience MDD each year. In addition, according to the World Health Organization, or WHO, depression is the leading cause of disability worldwide and is a major contributor to the overall global burden of disease. Over 70% of patients experience only a partial improvement in symptoms with first-line standard of care.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PARADIGM Study</w:t>
      </w:r>
    </w:p>
    <w:p>
      <w:pPr>
        <w:spacing w:after="0" w:line="227"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8"/>
          <w:szCs w:val="18"/>
          <w:color w:val="auto"/>
        </w:rPr>
        <w:t>In March 2024, we initiated the PARADIGM study, a Phase 3, randomized, double-blind, placebo-controlled, multicenter trial to evaluate the efficacy and safety of solriamfetol for the treatment of MDD in adults. Approximately 300 patients will be randomized in a 1:1 ratio to receive solriamfetol (300 mg) or placebo for 6 weeks. The primary endpoint is the change in the Montgomery Åsberg Depression Rating Scale, or MADRS.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Binge Eating Disorder</w:t>
      </w:r>
    </w:p>
    <w:p>
      <w:pPr>
        <w:spacing w:after="0" w:line="22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BED is the most common eating disorder, affecting an estimated 7 million people in the U.S. While BED is 1.75 times more common in women than men, it is still more common in men than other eating disorders. BED is thought to involve issues with food reward processing, impulse control, and appetite regulation, and is associated with a 2- to 3-fold increased risk of psychiatric or medical comorbidities. Most people with BED remain untreated with approximately one quarter of patients having received treatment in the past year and less than half receiving treatment in their lifetime. Treatment options are limited, with only one product currently approved for the treatment of BED. In November 2023, we announced that we had received from the FDA positive Pre-IND meeting written guidance on a proposed clinical developmental plan for solriamfetol in BED. In November 2023, we announced that we had received from the FDA positive Pre-IND meeting written guidance on a proposed clinical developmental plan for solriamfetol in BED.</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ENGAGE Study</w:t>
      </w:r>
    </w:p>
    <w:p>
      <w:pPr>
        <w:spacing w:after="0" w:line="227" w:lineRule="exact"/>
        <w:rPr>
          <w:sz w:val="20"/>
          <w:szCs w:val="20"/>
          <w:color w:val="auto"/>
        </w:rPr>
      </w:pPr>
    </w:p>
    <w:p>
      <w:pPr>
        <w:ind w:right="560" w:firstLine="749"/>
        <w:spacing w:after="0" w:line="266" w:lineRule="auto"/>
        <w:rPr>
          <w:sz w:val="20"/>
          <w:szCs w:val="20"/>
          <w:color w:val="auto"/>
        </w:rPr>
      </w:pPr>
      <w:r>
        <w:rPr>
          <w:rFonts w:ascii="Times New Roman" w:cs="Times New Roman" w:eastAsia="Times New Roman" w:hAnsi="Times New Roman"/>
          <w:sz w:val="18"/>
          <w:szCs w:val="18"/>
          <w:color w:val="auto"/>
        </w:rPr>
        <w:t>In April 2024, we initiated the ENGAGE study, a Phase 3, randomized, double-blind, placebo-controlled, multicenter trial to evaluate the efficacy and safety of solriamfetol for the treatment of BED in adults. Approximately 450 patients will be randomized in a 1:1:1 ratio to receive solriamfetol (150 or 300 mg) or placebo for 12 weeks. The primary endpoint is the change in days with binge eating episodes.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Shift Work Disorder</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SWD is a combination of excessive sleepiness, or ES, during wakefulness and persistent insomnia during daytime sleep when working outside a 7 a.m. to 6 p.m. workday. An estimated 15 million working Americans may suffer from SWD, of whom 10-43% are diagnosed with SWD. Shift work has long been associated with multiple serious health complaints and a 23% greater risk of sustaining a work-related injury. Treatment options are limited, with only two products currently approved for the treatment of ES associated with SWD. In November 2023, we announced that we had received from the FDA positive Pre-IND meeting written guidance on a proposed clinical developmental plan for solriamfetol for ES associated with SWD.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SUSTAIN Study</w:t>
      </w:r>
    </w:p>
    <w:p>
      <w:pPr>
        <w:spacing w:after="0" w:line="22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In August 2024, we announced we had initiated the SUSTAIN study, a Phase 3, randomized, double-blind, placebo-controlled, multicenter trial to evaluate the efficacy and safety of solriamfetol for the treatment of SWD in adults. Approximately 450 patients will be randomized in a 1:1:1 ratio to receive solriamfetol (150 or 300 mg) or placebo for 12 weeks. The primary endpoint is the change in the CGI-C score.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Pain and Primary Care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continue to own and maintain the intellectual property covering our pain and primary care assets that we are not currently developing.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Agreements</w:t>
      </w:r>
    </w:p>
    <w:p>
      <w:pPr>
        <w:spacing w:after="0" w:line="229" w:lineRule="exact"/>
        <w:rPr>
          <w:sz w:val="20"/>
          <w:szCs w:val="20"/>
          <w:color w:val="auto"/>
        </w:rPr>
      </w:pPr>
    </w:p>
    <w:p>
      <w:pPr>
        <w:jc w:val="both"/>
        <w:ind w:right="160" w:firstLine="749"/>
        <w:spacing w:after="0" w:line="222" w:lineRule="exact"/>
        <w:rPr>
          <w:sz w:val="20"/>
          <w:szCs w:val="20"/>
          <w:color w:val="auto"/>
        </w:rPr>
      </w:pPr>
      <w:r>
        <w:rPr>
          <w:rFonts w:ascii="Times New Roman" w:cs="Times New Roman" w:eastAsia="Times New Roman" w:hAnsi="Times New Roman"/>
          <w:sz w:val="18"/>
          <w:szCs w:val="18"/>
          <w:color w:val="auto"/>
        </w:rPr>
        <w:t>We have customary clinical and commercial supply agreements and customary agreements with third-parties to help manage our clinical trials. Our commercial agreements are generally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and we have no material contractual obligations under such agreements, except to the extent we order supply or request services to be performed.</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License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 with Pfizer</w:t>
      </w:r>
    </w:p>
    <w:p>
      <w:pPr>
        <w:spacing w:after="0" w:line="22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January 2020, we entered into an agreement with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 million, based on the average closing price of our common stock for the 10 prior trading days of $97.538, in consideration for the license and rights. Pfizer also received an upfront cash payment of $3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compounds and products in the United States and to seek and maintain regulatory approvals for the compounds and products. The agreement will expire on a product-by-product basis upon expiration of the last-to-expire royalty term for such product. On expiration (but not earlier termination), we will have a perpetual, non-exclusive, fully paid-up,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Agreements with Antecip</w:t>
      </w:r>
    </w:p>
    <w:p>
      <w:pPr>
        <w:spacing w:after="0" w:line="22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2012, we entered into three exclusive license agreements with Antecip Bioventures II LLC, or Antecip, an entity owned by our Chief Executive Officer and Chairman of the Board of Directors, or the Board, Herriot Tabuteau, M.D., in which we were granted exclusive licenses to develop, manufacture, and commercialize Antecip’s patents and applications related to the development of AXS-05 anywhere in the world for veterinary and human therapeutic and diagnostic use, and additional patents and applications that are not relevant to our current programs in development.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 by product and country by 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paid-up, royalty-free, perpetual, non-exclusive license. If Antecip terminates any of the agreements for cause, or if we exercise our right to terminate any of the agreements for convenience, the rights granted to us under such terminated agreement will revert to Antecip. Due to product sales of Auvelity since the fourth quarter of 2022, we recorded royalty expense for royalty payments due to Antecip equal to 3.0% of net sales. This is considered to be a related party transaction.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Agreement with Jazz Pharmaceuticals, SK Biopharmaceuticals Co., Ltd. and Aerial Biopharma, LLC</w:t>
      </w:r>
    </w:p>
    <w:p>
      <w:pPr>
        <w:spacing w:after="0" w:line="22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Acquisition, in addition to the upfront purchase price, we assumed certain liabilities in connection with the Acquisition and agreed to make non-refundable, non-creditable royalty payments to Jazz on U.S. net sales. There are no royalty payments due to Jazz for net sales outside of the U.S. In addition, we assumed all of the commitments of Jazz to SK and Aerial Biopharma, LLC, or Aerial. The assumed commitments to SK and Aerial include single-digit tiered royalties based on the Company’s sales of Sunosi, and additionally, the Company is committed to pay up to $165 million based on revenue milestones and $1 million based on development milestones. We are dependent on these agreements, and if we breach these agreements, our business, financial condition, results of operations, and prospects will be materially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Pharmanovia</w:t>
      </w:r>
    </w:p>
    <w:p>
      <w:pPr>
        <w:spacing w:after="0" w:line="227"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In February 2023, we announced a licensing transaction with Pharmanovia to market Sunosi in Europe and certain countries in the Middle East / North Africa. Refer to Note 16. License Agreements to our consolidated financial statements included in Part IV, Exhibits and Financial Statement Schedules, of this Annual Report on Form 10-K for further detail.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We seek to protect our product candidates and our technology through a combination of patents, trade secrets, proprietary know-how, FDA and EMA exclusivity, and contractual restrictions on disclosure. Our policy is to pursue, maintain, and defend patent rights whether developed internally or licensed from third parties and to protect the proprietary position of our product candidates by, among other methods, filing U.S. and foreign patent applications related to our proprietary technology, inventions, and improvements that are important to the development of our business. U.S. patents generally have a term of 20 years from the earliest effective date of the application.</w:t>
      </w:r>
    </w:p>
    <w:p>
      <w:pPr>
        <w:spacing w:after="0" w:line="183" w:lineRule="exact"/>
        <w:rPr>
          <w:sz w:val="20"/>
          <w:szCs w:val="20"/>
          <w:color w:val="auto"/>
        </w:rPr>
      </w:pPr>
    </w:p>
    <w:p>
      <w:pPr>
        <w:ind w:right="40" w:firstLine="749"/>
        <w:spacing w:after="0" w:line="257" w:lineRule="auto"/>
        <w:rPr>
          <w:sz w:val="20"/>
          <w:szCs w:val="20"/>
          <w:color w:val="auto"/>
        </w:rPr>
      </w:pPr>
      <w:r>
        <w:rPr>
          <w:rFonts w:ascii="Times New Roman" w:cs="Times New Roman" w:eastAsia="Times New Roman" w:hAnsi="Times New Roman"/>
          <w:sz w:val="18"/>
          <w:szCs w:val="18"/>
          <w:color w:val="auto"/>
        </w:rPr>
        <w:t>As of February 11, 2025, our intellectual property portfolio contains more than 600 issued patents and more than 400 pending applications in the United States and worldwide. More than 140 issued United States patents and more than 91 issued foreign patents cover our AXS-05 product candidate, which has claims covering method of treatment, pharmaceutical composition, drug delivery, and pharmacokinetics, with protection extending through</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2043. More than 98 issued United States patents and more than 131 issued foreign patents covering our AXS-07 product candidate, and related compounds, have claims covering various aspects, including pharmacokinetics, pharmaceutical composition, method of delivery, and methods of use with protection extending through 2040. Eight issued United States patents and two issued foreign patents covering our AXS-12 product candidate with protection extending through 2039. We have pending PCT applications, as well as pending applications in Australia, Brazil, Canada, Chile, China, Europe, Hong Kong, Israel, Japan, Mexico, Panama, Singapore, South Korea, and New Zealand. We have other patent applications with claims covering the other programs in our pipeline, including those that are not relevant to our current programs in development. As with respect to Sunosi, Orange Book listed patents in the United States extend out to 2042. We also have patents in various other countries pertaining to Sunosi.</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Many pharmaceutical companies, biotechnology companies, and academic institutions are competing with us in the field of CNS disorders and filing patent applications potentially relevant to our business. In order to contend with the inevitable possibility of third-party intellectual property conflicts, from time to time we review and assess the third-party intellectual property landscape for competitive and other developments that may inform or impact our intellectual property development and commercialization strategies. With respect to third-party intellectual property, it is impossible to establish with certainty that our product candidates or discovery platform will be free of claims by third-party intellectual property holders or whether we will require licenses from such third parties. Even with modern databases and online search engines, literature searches are imperfect and may fail to identify relevant patents and published applications. Even when a third-party patent is identified, we may conclude, upon a thorough analysis, that we do not infringe the patent or that the patent is invalid. If the third-party patent owner disagrees with our conclusion and we continue with the business activity in question, we might have patent litigation forced upon us. Alternatively, we might decide to initiate litigation in an attempt to have a court declare the third-party patent invalid or not infringed by our activity. In either scenario, patent litigation typically is costly and time consuming, and the outcome is uncertain. The outcome of patent litigation is subject to uncertainties that cannot be quantified in advance, for example, the credibility of expert witnesses who may disagree on technical interpretation of scientific data. Ultimately, in the case of an adverse outcome in litigation, we could be prevented from commercializing a product or using certain aspects of our discovery platform as a result of patent infringement claims asserted against us. This could have a material adverse effect on our business. In addition to patents, we rely upon unpatented trade secrets, know how, and continuing technological innovation to develop and maintain a competitive position. We seek to protect our proprietary information, including our trade secrets and proprietary know how, by requiring our employees to execute Proprietary Information, Inventions, Non-Solicitation, and Non-Competition Agreements upon the commencement of their employment. Consultants and other advisors are required to sign consulting agreements. These agreements generally provide that all confidential information developed or made known during the course of the relationship with us be kept confidential and not be disclosed to third parties except in specific circumstances. In the case of our employees, the agreements also typically provide that all inventions resulting from work performed for us, utilizing our property, or relating to our business and conceived or completed during employment shall be our exclusive property to the extent permitted by law. Further, we require confidentiality agreements from entities that receive our confidential data or materials.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We have built a commercial infrastructure in the United States to commercialize our products and will further expand that team as we plan for anticipated drug approvals of our product candidates. We believe that we have cost-effectively implemented a targeted sales force required to commercialize our products. Support for this team includes sales management, internal sales support, market access, distribution support, and an internal marketing group. We may seek co-promotion partners for our sales efforts to achieve broader reach or call frequency with other United States target physicians. We believe that there are significant market opportunities for our products outside of the United States. As a result, we plan to seek strategic partnerships with third parties, which may have greater reach and resources by virtue of their size and experience in the field, for the development and commercialization of our products outside the United States. We may elect in the future to utilize strategic partners, distributors, or contract sales forces to assist in the commercialization of our products. In order to implement this infrastructure, we will have to allocate management resources and make significant financial investments including some prior to product approval.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Our industry is highly competitive and subject to rapid and significant technological change. The large size and expanding scope of the CNS markets make them attractive therapeutic areas for biopharmaceutical businesses. Our competitors include pharmaceutical, biotechnology, and specialty pharmaceutical companies. While we believe that our employees and consultants, scientific knowledge, technology, and development experience provide us with competitive advantages, we face competition from many different sources, including major pharmaceutical, specialty pharmaceutical, and biotechnology companies, academic institutions and governmental agencies, and public and private research institutions. Several of these entities have robust drug pipelines, readily available capital, and established research and development organizations. Any product candidates that we successfully develop and commercialize will compete with existing therapies and new therapies that may become available in the future. Many of our competitors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Small or early-stage companies may also prove to be significant competitors, particularly through collaborative arrangements with large and established companies. The key competitive factors affecting the success of all of our product candidates are likely to be their efficacy, safety, convenience, price, the level of branded and generic competition, and the availability of reimbursement from government and other third party payors. Patients with MDD are typically treated with a variety of anti-depressant medications. Some of these treatments include: generic and/or branded forms of Prozac, the branded form of which is marketed by Eli Lilly and Company; Zoloft, which is marketed by Pfizer; Trintellix, which is marketed by Takeda Pharmaceuticals America, Inc. and H. Lundbeck A/S; Rexulti, which is marketed by Otsuka Pharmaceutical Co., Ltd., and Lundbeck A/S; Vraylar and Viibryd, which are marketed by AbbVie; Effexor, which is marketed by Pfizer; and Wellbutrin, which is marketed by GlaxoSmithKline. We are aware of several companies developing compounds for the treatment of depression, including Xenon Pharmaceuticals, Inc., Neumora Therapeutics, Inc., Johnson &amp; Johnson, Otsuka Pharmaceutical Co. Ltd., Neurocrine Biosciences, Inc., Intra-Cellular Therapies, Inc., and Biohaven Ltd. Patients with EDS have available to them a variety of medications, such as generic and/or branded forms of Xyrem and Xywav, which are marketed by Jazz; Wakix, which is marketed by Harmony Biosciences LLC; Lumryz, which is marketed by Avadel Pharmaceuticals plc; Provigil and Nuvigil, which are manufactured by Teva Pharmaceutical Industries Limited, or Teva.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CNS Product Candidates</w:t>
      </w:r>
    </w:p>
    <w:p>
      <w:pPr>
        <w:spacing w:after="0" w:line="18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AXS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05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-43815</wp:posOffset>
            </wp:positionV>
            <wp:extent cx="64135"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46"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are aware of other companies working to develop therapeutics for the treatment of agitation associated with AD, including Otsuka Pharmaceutical Co. Ltd., which is working to develop a combination of deuterated dextromethorphan and quinidine, and Otsuka and Lundbeck A/S, which recently received approval for Rexulti for this indication. Products approved for smoking cessation include Chantix, which is marketed by Pfizer; Zyban, which is marketed by GlaxoSmithKline; and various nicotine replacement therapies, including skin patches, chewing gums, and lozenges. We are aware of several companies developing compounds for AD agitation, including Bristol-Myers Squibb Co., BioXcel Therapeutics, Inc., Neumora Therapeutics, Inc., and Intra-Cellular Therapies, Inc.</w:t>
      </w:r>
    </w:p>
    <w:p>
      <w:pPr>
        <w:spacing w:after="0" w:line="14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AXS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07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-43815</wp:posOffset>
            </wp:positionV>
            <wp:extent cx="64135"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4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There are a number of products approved for the acute treatment of migraine, including generic and/or branded forms of Maxalt, the branded form of which is marketed by Merck &amp; Co., Inc., generic and/or branded forms of Treximet, the branded form of which is marketed by Pernix Therapeutics Holdings, Inc., Reyvow, which is marketed by Eli Lilly and Company; Nurtec, which is marketed by Pfizer, and Ubrelvy, which is marketed by AbbVie, and Trudhesa which is marketed by Impel. We are aware of several companies developing compounds for migraine, including Biohaven Ltd., Kallyope, Inc., and Lundbeck A/S.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AXS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12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-43815</wp:posOffset>
            </wp:positionV>
            <wp:extent cx="64135"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46"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Products approved to treat the symptoms of narcolepsy include generic and/or branded forms of Ritalin, the branded form of which is marketed by Novartis Pharmaceuticals; Provigil and Nuvigil, which are both marketed by Teva; Xyrem and Xywav, which are both marketed by Jazz; and Wakix which is marketed by Harmony Biosciences LLC. We are aware of several companies developing compounds for the treatment of the symptoms of narcolepsy, including Takeda Pharmaceuticals Company, Centessa Pharmaceuticals plc, Harmony Biosciences LLC, Eisai Co., Ltd., and Alkermes plc.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AXS-14 Competition</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Products approved to treat fibromyalgia include generic and/or branded forms of Cymbalta, the branded form of which is marketed by Eli Lilly and Company; Lyrica, which is marketed by Pfizer; and Savella, which is marketed by AbbVie. We are aware of other companies working to develop therapeutics for the treatment of fibromyalgia, including Dogwood Therapeutics, Inc. and Tonix Pharmaceutical Holding Corp.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Manufacturing of the drug substance and drug product for our products and product candidates are done by third parties and must comply with FDA current Good Manufacturing Practice, or cGMP, regulations. Our products and product candidates are comprised of synthetic small molecules made through a series of organic chemistry steps starting with commercially available organic chemical raw materials. We do not currently own or operate any manufacturing facilities for the clinical or commercial production of our drug candidates. We believe that our existing suppliers of our product and product candidate active pharmaceutical ingredients and finished products will be capable of providing sufficient quantities of each to meet our commercial and clinical trial supply needs. We conduct periodic quality audits of their facilities. Other contract manufacturing organization, or CMOs, may be used in the future for clinical supplies and/or commercial manufacturing.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supranational regions, extensively regulate, among other things, the research, development, testing, manufacture, packaging, storage, recordkeeping, labeling, advertising, promotion, distribution, adverse event reporting and pharmacovigilance, marketing, import, and export of pharmaceutical products, such as those we are developing and for which we are seeking FDA approval. In addition, healthcare regulatory bodies in the United States and around the world impose a range of requirements related to the payment for pharmaceutical products, including laws intended to prevent fraud, waste, and abuse of healthcare dollars. This includes, for example, requirements that manufacturers of pharmaceutical products participating in Medicaid and Medicare comply with mandatory price reporting, discount, rebate requirements, and other cost control measures, as well as anti-kickback laws and laws prohibiting false claims. Some states also have enacted fraud, waste, and abuse laws that parallel (and in some cases apply more broadly than) federal laws, and in some cases price transparency requirements. The processes for obtaining regulatory approvals in the United States and in foreign countries, along with subsequent compliance with applicable statutes and regulations, require the expenditure of substantial time and financial resources. Further, healthcare is an active area of governmental scrutiny, and it is reasonable to expect that the requirements may become more stringent within the foreseeable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Regulation</w:t>
      </w:r>
    </w:p>
    <w:p>
      <w:pPr>
        <w:spacing w:after="0" w:line="229"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In the United States, the FDA regulates drugs under the FDCA and its implementing regulations. The process required by the FDA before product candidates may be marketed in the United States generally involves the following:</w:t>
      </w:r>
    </w:p>
    <w:p>
      <w:pPr>
        <w:spacing w:after="0" w:line="162" w:lineRule="exact"/>
        <w:rPr>
          <w:sz w:val="20"/>
          <w:szCs w:val="20"/>
          <w:color w:val="auto"/>
        </w:rPr>
      </w:pPr>
    </w:p>
    <w:p>
      <w:pPr>
        <w:ind w:left="1140" w:right="20" w:hanging="383"/>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with the FDA’s Good Laboratory Practice, or GLP, regulations;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for each clinical site or centrally, before each trial may be initiated;</w:t>
      </w:r>
    </w:p>
    <w:p>
      <w:pPr>
        <w:spacing w:after="0" w:line="184" w:lineRule="exact"/>
        <w:rPr>
          <w:rFonts w:ascii="Times New Roman" w:cs="Times New Roman" w:eastAsia="Times New Roman" w:hAnsi="Times New Roman"/>
          <w:sz w:val="18"/>
          <w:szCs w:val="18"/>
          <w:color w:val="auto"/>
        </w:rPr>
      </w:pPr>
    </w:p>
    <w:p>
      <w:pPr>
        <w:ind w:left="1140" w:right="160" w:hanging="383"/>
        <w:spacing w:after="0" w:line="245" w:lineRule="exact"/>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controlled human clinical trials to establish the safety and efficacy of the proposed drug candidates for its intended use, performed in accordance with current Good Clinical Practices, or GCP;</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manufacturing processes in compliance with cGMPs to ensure the drug’s identity, strength, quality, and purity;</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compilation of required information and submission to the FDA of an NDA;</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225" w:lineRule="exact"/>
        <w:rPr>
          <w:rFonts w:ascii="Times New Roman" w:cs="Times New Roman" w:eastAsia="Times New Roman" w:hAnsi="Times New Roman"/>
          <w:sz w:val="18"/>
          <w:szCs w:val="18"/>
          <w:color w:val="auto"/>
        </w:rPr>
      </w:pPr>
    </w:p>
    <w:p>
      <w:pPr>
        <w:ind w:left="1140" w:right="260" w:hanging="383"/>
        <w:spacing w:after="0" w:line="261"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is produced to assess compliance with cGMPs, and to assure that the facilities, methods, and controls are adequate to preserve the drug’s identity, strength, quality, and purity, as well as satisfactory completion of an FDA inspection of selected clinical sites and selected clinical investigators to determine GCP compliance; and</w:t>
      </w:r>
    </w:p>
    <w:p>
      <w:pPr>
        <w:spacing w:after="0" w:line="17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to permit commercial marketing for particular indications for use.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 and IND Submission</w:t>
      </w:r>
    </w:p>
    <w:p>
      <w:pPr>
        <w:spacing w:after="0" w:line="22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testing and approval process of product candidates requires substantial time, effort, and financial resources. Preclinical studies include laboratory evaluation of drug substance chemistry, pharmacology, toxicity, and drug product formulation, as well as animal studies to assess potential safety and efficacy. Such studies must generally be conducted in accordance with the FDA’s GLP regulations. Prior to commencing the first clinical trial with a product candidate, an IND sponsor must submit the results of the preclinical tests and preclinical literature, together with manufacturing information, analytical data, any available clinical data or literature, and proposed clinical study protocols, among other things, to the FDA as part of an IND. In the case of 505(b)(2) applications, though, some of the IND components may not be required (for example, if previously established for an approved drug which is referenced). Some preclinical testing may continue even after the IND is submitted.</w:t>
      </w:r>
    </w:p>
    <w:p>
      <w:pPr>
        <w:spacing w:after="0" w:line="148" w:lineRule="exact"/>
        <w:rPr>
          <w:sz w:val="20"/>
          <w:szCs w:val="20"/>
          <w:color w:val="auto"/>
        </w:rPr>
      </w:pPr>
    </w:p>
    <w:p>
      <w:pPr>
        <w:jc w:val="both"/>
        <w:ind w:right="20" w:firstLine="749"/>
        <w:spacing w:after="0" w:line="231" w:lineRule="exact"/>
        <w:rPr>
          <w:sz w:val="20"/>
          <w:szCs w:val="20"/>
          <w:color w:val="auto"/>
        </w:rPr>
      </w:pPr>
      <w:r>
        <w:rPr>
          <w:rFonts w:ascii="Times New Roman" w:cs="Times New Roman" w:eastAsia="Times New Roman" w:hAnsi="Times New Roman"/>
          <w:sz w:val="18"/>
          <w:szCs w:val="18"/>
          <w:color w:val="auto"/>
        </w:rPr>
        <w:t>An IND automatically becomes effective 30 days after receipt by the FDA, unless the FDA, within the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time period, notifies the applicant of safety concerns or questions related to one or more proposed clinical trials and places the trial on a clinical hold. In such a case, the IND sponsor and the FDA must resolve any outstanding concerns before the clinical trial can begin. Clinical holds also may be imposed by the FDA at any time before or during trials due to safety concerns or noncompliance. As a result, submission of an IND may not result in FDA authorization to commence a clinical trial.</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2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to human subjects under the supervision of qualified investigators in accordance with GCP requirements, which include the requirements that all research subjects provide their informed consent in writing for their participation in any clinical trial, as well as review and approval of the study by an IRB. Investigators must also provide certain information to the clinical trial sponsors to allow the sponsors to make certain financial disclosures to the FDA. Clinical trials are conducted under protocols detailing, among other things, the objectives of the trial, the trial procedures, the parameters to be used in monitoring safety, the effectiveness criteria to be evaluated, and a statistical analysis plan. A protocol for each clinical trial, and any subsequent protocol amendments, must be submitted to the FDA as part of the IND. In addition, an IRB at each study site participating in the clinical trial or a central IRB must review and approve the plan for any clinical trial, informed consent forms, and communications to study subjects before a study commences at that site. An IRB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 Once an IND is in effect, each new clinical protocol and any amendments to the protocol must be submitted to the IND for FDA review, and to the IRB for approval. Progress reports detailing the results of the clinical trials must also be submitted at least annually to the FDA and the IRB and more frequently if serious adverse events or other significant safety information is found.</w:t>
      </w:r>
    </w:p>
    <w:p>
      <w:pPr>
        <w:spacing w:after="0" w:line="187"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Information about certain clinical trials, including a description of the study and study results, must be submitted within specific timeframes to the National Institutes of Health, or NIH, for public dissemination on their clinicaltrials.gov website.</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enrollment of potential trial subjects, and the continuing validity and scientific merit of the clinical trial. The data safety monitoring board receives special access to unblinded data during the clinical trial and may advise the sponsor to halt the clinical trial if it determines there is an unacceptable safety risk for subjects or on other grounds, such as no demonstration of efficacy.</w:t>
      </w:r>
    </w:p>
    <w:p>
      <w:pPr>
        <w:spacing w:after="0" w:line="183"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manufacture of investigational drugs for the conduct of human clinical trials (and their active pharmaceutical ingredients)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FDCA.</w:t>
      </w:r>
    </w:p>
    <w:p>
      <w:pPr>
        <w:spacing w:after="0" w:line="180"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In general, for purposes of NDA approval, human clinical trials are typically conducted in three sequential phases, which may overlap or be combined.</w:t>
      </w:r>
    </w:p>
    <w:p>
      <w:pPr>
        <w:spacing w:after="0" w:line="160" w:lineRule="exact"/>
        <w:rPr>
          <w:sz w:val="20"/>
          <w:szCs w:val="20"/>
          <w:color w:val="auto"/>
        </w:rPr>
      </w:pPr>
    </w:p>
    <w:p>
      <w:pPr>
        <w:ind w:left="1140" w:right="240" w:hanging="383"/>
        <w:spacing w:after="0" w:line="223" w:lineRule="exact"/>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—Studies are initially conducted in healthy human volunteers or subjects with the target disease or condition and test the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candidate for safety, dosage tolerance, structure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activity relationships, mechanism of action, absorption, metabolism, distribution, and excretion. If possible, Phase 1 trials may also be used to gain an initial indication of product effectiveness.</w:t>
      </w:r>
    </w:p>
    <w:p>
      <w:pPr>
        <w:spacing w:after="0" w:line="196" w:lineRule="exact"/>
        <w:rPr>
          <w:rFonts w:ascii="Times New Roman" w:cs="Times New Roman" w:eastAsia="Times New Roman" w:hAnsi="Times New Roman"/>
          <w:sz w:val="18"/>
          <w:szCs w:val="18"/>
          <w:color w:val="auto"/>
        </w:rPr>
      </w:pPr>
    </w:p>
    <w:p>
      <w:pPr>
        <w:jc w:val="both"/>
        <w:ind w:left="1140" w:right="440" w:hanging="383"/>
        <w:spacing w:after="0" w:line="267"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—Controlled studies are conducted in limited subject populations with a specified disease or condition to evaluate preliminary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efficacy, identify optimal dosages, dosage tolerance and schedule, possible adverse effects and safety risks, and expanded evidence of safety.</w:t>
      </w:r>
    </w:p>
    <w:p>
      <w:pPr>
        <w:spacing w:after="0" w:line="134" w:lineRule="exact"/>
        <w:rPr>
          <w:rFonts w:ascii="Times New Roman" w:cs="Times New Roman" w:eastAsia="Times New Roman" w:hAnsi="Times New Roman"/>
          <w:sz w:val="18"/>
          <w:szCs w:val="18"/>
          <w:color w:val="auto"/>
        </w:rPr>
      </w:pPr>
    </w:p>
    <w:p>
      <w:pPr>
        <w:ind w:left="1140" w:right="140" w:hanging="383"/>
        <w:spacing w:after="0" w:line="231" w:lineRule="exact"/>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These adequate and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controlled clinical trials are undertaken in expanded subject populations, generally at geographically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dispersed clinical trial sites, to generate enough data to provide statistically significant evidence of clinical efficacy and safety of the product for approval, to establish the overall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benefit profile of the product, and to provide adequate information for the labeling of the product. Typically, two Phase 3 trials are required by the FDA for product approval.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The FDA may also require, or companies may conduct, additional clinical trials for the same indication after a product is approved. These so-called Phase 4 studies may be required by the FDA as a condition of approval of the NDA, to be satisfied after approval. The results of Phase 4 studies can confirm the effectiveness of a product candidate and can provide important safety information. In addition to the above traditional kinds of clinical trial data required for the approval of an NDA, the 21st Century Cures Act provides for potential FDA use of different types and sources of data in regulatory decision-making, such as patient experience data, real world evidence for already approved products, and, for appropriate indications sought through supplemental marketing applications, data summaries. Implementation of this law and related initiatives is still in progress and we do not know the extent to which we may in the future be able to utilize these types and sources of data. In the case of a 505(b)(2) NDA, which is a marketing application in which sponsors may rely on investigations that were not conducted by or for the applicant and for which the applicant has not obtained a right of reference or use from the person by or for whom the investigations were conducted, some of the above described studies and preclinical studies may not be required or may be abbreviated. Bridging studies may be needed, however, to demonstrate the applicability of the studies that were previously conducted by other sponsors to the drug that is the subject of the marketing application.</w:t>
      </w:r>
    </w:p>
    <w:p>
      <w:pPr>
        <w:spacing w:after="0" w:line="192"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Clinical trials at any phase may not be completed successfully within any specified period, or at all. 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if the drug has been associated with unexpected serious harm to the subjects, or based on evolving business objectives or competitive climate.</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8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During the development of a new drug, a sponsor may be able to request a SPA, the purpose of which is to reach agreement with the FDA on the Phase 3 clinical trial protocol design and analysis that will form the primary basis of an efficacy claim as well as preclinical carcinogenicity trials and stability studies. An SPA may only be modified with the agreement of the FDA and the trial sponsor or if the director of the FDA reviewing division determines that a substantial scientific issue essential to determining the safety or efficacy of the drug was identified after the testing began. An SPA is intended to provide assurance that, in the case of clinical trials, if the agreed upon clinical trial protocol is followed, the clinical trial endpoints are achieved, and there is a favorable risk benefit profile, the data may serve as the primary basis for an efficacy claim in support of an NDA. However, SPA agreements are not a guarantee of an approval of a product candidate or any permissible claims about the product candidate. In particular, SPAs are not binding on the FDA if, among other reasons, previously unrecognized public health concerns arise during the performance of the clinical trial, other new scientific concerns regarding the product candidate’s safety or efficacy arise, or if the sponsoring company fails to comply with the agreed upon clinical trial protocol.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NDA Submission, Review by the FDA, and Marketing Approval</w:t>
      </w:r>
    </w:p>
    <w:p>
      <w:pPr>
        <w:spacing w:after="0" w:line="227"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Assuming successful completion of the required clinical and preclinical testing, the results of product development, including CMC information, non-clinical studies, and clinical trial results, including negative or ambiguous results as well as positive findings, are all submitted to the FDA, along with the proposed labeling, as part of an NDA requesting approval to market the product for one or more indications. In most cases, the submission of an NDA is subject to a substantial application user fee, authorized every five years by Congress under PDUFA. User fees must be paid at the time of the first submission of the application, even if the application is being submitted on a rolling basis, and, if approved, program fees must be paid on an annual basis. Product candidates that are designated as orphan drugs, which are further described below, are also not subject to application user fees unless the application includes an indication other than the orphan indication.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an NDA or supplement to an NDA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A sponsor who is planning to submit a marketing application for a drug product that includes a new active ingredient, new indication, new dosage form, new dosing regimen or new route of administration must submit an initial Pediatric Study Plan, or PSP, within 60 days of an End-of-Phase 2 meeting or as may be agreed between the sponsor and the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preclinical studies, early phase clinical studies or other clinical development programs. The FDA may, on its own initiative or at the request of the applicant, grant deferrals for submission of some or all pediatric data until after approval of the product for use in adults, or full or partial waivers from the pediatric data requirements. The FDA also may require submission of a risk evaluation and mitigation strategy, or REMS, to ensure that the benefits of the drug outweigh the risks of the drug. The REMS plan could include medication guides, physician communication plans, and elements to assure safe use, such as restricted distribution methods, patient registries, or other risk minimization tools. An assessment of the REMS must also be conducted at set intervals. Following product approval, a REMS may also be required by the FDA if new safety information is discovered, and the FDA determines that a REMS is necessary to ensure that the benefits of the drug continue to outweigh the risks of the drug.</w:t>
      </w:r>
    </w:p>
    <w:p>
      <w:pPr>
        <w:spacing w:after="0" w:line="193" w:lineRule="exact"/>
        <w:rPr>
          <w:sz w:val="20"/>
          <w:szCs w:val="20"/>
          <w:color w:val="auto"/>
        </w:rPr>
      </w:pPr>
    </w:p>
    <w:p>
      <w:pPr>
        <w:ind w:right="40" w:firstLine="749"/>
        <w:spacing w:after="0" w:line="227" w:lineRule="exact"/>
        <w:rPr>
          <w:sz w:val="20"/>
          <w:szCs w:val="20"/>
          <w:color w:val="auto"/>
        </w:rPr>
      </w:pPr>
      <w:r>
        <w:rPr>
          <w:rFonts w:ascii="Times New Roman" w:cs="Times New Roman" w:eastAsia="Times New Roman" w:hAnsi="Times New Roman"/>
          <w:sz w:val="18"/>
          <w:szCs w:val="18"/>
          <w:color w:val="auto"/>
        </w:rPr>
        <w:t>Once the FDA receives an application, it will determine within 60 days whether the NDA as filed is sufficiently complete to permit a substantive review (with this decision often referred to as the NDA being “accepted for filing”).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depth substantive review of the NDA.</w:t>
      </w:r>
    </w:p>
    <w:p>
      <w:pPr>
        <w:spacing w:after="0" w:line="173" w:lineRule="exact"/>
        <w:rPr>
          <w:sz w:val="20"/>
          <w:szCs w:val="20"/>
          <w:color w:val="auto"/>
        </w:rPr>
      </w:pPr>
    </w:p>
    <w:p>
      <w:pPr>
        <w:jc w:val="both"/>
        <w:ind w:right="140" w:firstLine="749"/>
        <w:spacing w:after="0" w:line="258" w:lineRule="auto"/>
        <w:rPr>
          <w:sz w:val="20"/>
          <w:szCs w:val="20"/>
          <w:color w:val="auto"/>
        </w:rPr>
      </w:pPr>
      <w:r>
        <w:rPr>
          <w:rFonts w:ascii="Times New Roman" w:cs="Times New Roman" w:eastAsia="Times New Roman" w:hAnsi="Times New Roman"/>
          <w:sz w:val="18"/>
          <w:szCs w:val="18"/>
          <w:color w:val="auto"/>
        </w:rPr>
        <w:t>The FDA has agreed to a set of performance goals and procedures under PDUFA to review 90% of all applications within ten months from the 60-day filing date for its initial review of a standard NDA for a New Molecular Entity, or NME. For non-NME standard applications, the FDA has set the goal of completing its review of 90% of all applications within ten months from the submission receipt date. Such deadlines are referred to as the PDUFA date. The PDUFA date is only a goal, thus, the FDA does not always meet its PDUFA goal dates. The review process and the PDUFA goal date may also be extended if the FDA requests, or the NDA sponsor otherwise provides, substantial additional information or clarification regarding the submission.</w:t>
      </w:r>
    </w:p>
    <w:p>
      <w:pPr>
        <w:spacing w:after="0" w:line="183"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FDA may refer an application to an advisory committee for review, evaluation and recommendation as to whether the application should be approved, and applications for new molecular entities are generally discussed at advisory committee meetings unless the FDA determines that this type of consultation is not needed under the circumstances.</w:t>
      </w:r>
    </w:p>
    <w:p>
      <w:pPr>
        <w:spacing w:after="0" w:line="176"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 and typically follows such recommendations.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The FDA reviews applications to determine, among other things, whether a product is safe and effective for its intended use and whether the manufacturing methods and controls are adequate to assure and preserve the product’s identity, strength, quality, safety, potency, and purity. Before approving an NDA, the FDA typically will inspect the facility or facilities where the product is manufactured, referred to as a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Inspection. The FDA will not approve an application unless it determines that the manufacturing processes and facilities, including contract manufacturers and subcontractors, are in compliance with cGMP requirements and adequate to assure consistent production of the product within required specifications. Additionally, before approving an NDA, the FDA will inspect one or more clinical trial sites to assure compliance with GCPs.</w:t>
      </w:r>
    </w:p>
    <w:p>
      <w:pPr>
        <w:spacing w:after="0" w:line="203"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approval process is lengthy and difficult and involves numerous FDA personnel assigned to review different aspects of the NDA, and the FDA may refuse to approve an NDA if the applicable regulatory criteria are not satisfied or may require additional preclinical or clinical CMC, or other data and information. Uncertainties can be presented by reviewers’ ability to exercise judgment and discretion during the review process. Even if such data and information are submitted, the FDA may ultimately decide that the NDA does not satisfy the criteria for approval. Data obtained from clinical trials are not always conclusive and the FDA may interpret data differently than an applicant interprets the same data.</w:t>
      </w:r>
    </w:p>
    <w:p>
      <w:pPr>
        <w:spacing w:after="0" w:line="18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CRL. If a CRL is issued, the applicant may either resubmit the NDA, addressing all of the deficiencies identified in the letter; withdraw the application; or request an opportunity for a hearing. A CRL indicates that the review cycle of the application is complete, and the application is not ready for approval in its current form and describes all of the specific deficiencies that the FDA identified in the NDA. A CRL generally contains a statement of specific conditions that must be met in order to secure final approval of the NDA and may require additional clinical or preclinical testing in order for the FDA to reconsider the application. The deficiencies identified may be minor, for example, requiring labeling changes; or major, for example, requiring additional clinical trials. The FDA has the goal of reviewing 90% of application and efficacy supplement resubmissions in either two or six months (from receipt) for a Class 1 or Class 2 resubmission, respectively. For non-efficacy supplements (i.e., labeling and manufacturing supplements), CDER’s goal is to review the supplement within the same length of time (from receipt) as the initial review cycle (excluding an extension caused by a major amendment of the initial supplement).</w:t>
      </w:r>
    </w:p>
    <w:p>
      <w:pPr>
        <w:spacing w:after="0" w:line="194"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Even with the submission of additional information, the FDA ultimately may decide that the application does not satisfy the regulatory criteria for approval. If and when the issues identified in a CRL have been addressed and resolved to the FDA’s satisfaction, the FDA may issue an approval letter. An approval letter authorizes commercial marketing of the drug for specific indications and with specific prescribing information, which was reviewed in connection with the NDA.</w:t>
      </w:r>
    </w:p>
    <w:p>
      <w:pPr>
        <w:spacing w:after="0" w:line="180" w:lineRule="exact"/>
        <w:rPr>
          <w:sz w:val="20"/>
          <w:szCs w:val="20"/>
          <w:color w:val="auto"/>
        </w:rPr>
      </w:pPr>
    </w:p>
    <w:p>
      <w:pPr>
        <w:ind w:right="340" w:firstLine="749"/>
        <w:spacing w:after="0" w:line="219" w:lineRule="exact"/>
        <w:rPr>
          <w:sz w:val="20"/>
          <w:szCs w:val="20"/>
          <w:color w:val="auto"/>
        </w:rPr>
      </w:pPr>
      <w:r>
        <w:rPr>
          <w:rFonts w:ascii="Times New Roman" w:cs="Times New Roman" w:eastAsia="Times New Roman" w:hAnsi="Times New Roman"/>
          <w:sz w:val="18"/>
          <w:szCs w:val="18"/>
          <w:color w:val="auto"/>
        </w:rPr>
        <w:t>Even if the FDA approves a product, it may limit the approved indications for use of the product, require that contraindications, warnings, or precautions be included in the product labeling, including a boxed warning, require that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studies, including Phase 4 clinical trials, be conducted to further assess a drug’s safety and efficacy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w:t>
      </w:r>
    </w:p>
    <w:p>
      <w:pPr>
        <w:spacing w:after="0" w:line="203" w:lineRule="exact"/>
        <w:rPr>
          <w:sz w:val="20"/>
          <w:szCs w:val="20"/>
          <w:color w:val="auto"/>
        </w:rPr>
      </w:pPr>
    </w:p>
    <w:p>
      <w:pPr>
        <w:jc w:val="both"/>
        <w:ind w:right="60" w:firstLine="749"/>
        <w:spacing w:after="0" w:line="220" w:lineRule="exact"/>
        <w:rPr>
          <w:sz w:val="20"/>
          <w:szCs w:val="20"/>
          <w:color w:val="auto"/>
        </w:rPr>
      </w:pPr>
      <w:r>
        <w:rPr>
          <w:rFonts w:ascii="Times New Roman" w:cs="Times New Roman" w:eastAsia="Times New Roman" w:hAnsi="Times New Roman"/>
          <w:sz w:val="18"/>
          <w:szCs w:val="18"/>
          <w:color w:val="auto"/>
        </w:rPr>
        <w:t>After approval, some types of changes to the approved product, such as adding new indications, manufacturing changes, and additional labeling claims, are subject to further testing requirements and FDA review and approval. The FDA may also withdraw the product approval if compliance with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regulatory standards are not maintained or if problems occur after the product reaches the marketplace. Further, should new safety information arise, additional testing, product labeling, or FDA notification may be required.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505(b)(2) Approval Process</w:t>
      </w:r>
    </w:p>
    <w:p>
      <w:pPr>
        <w:spacing w:after="0" w:line="227" w:lineRule="exact"/>
        <w:rPr>
          <w:sz w:val="20"/>
          <w:szCs w:val="20"/>
          <w:color w:val="auto"/>
        </w:rPr>
      </w:pPr>
    </w:p>
    <w:p>
      <w:pPr>
        <w:ind w:right="100" w:firstLine="749"/>
        <w:spacing w:after="0" w:line="219" w:lineRule="exact"/>
        <w:rPr>
          <w:sz w:val="20"/>
          <w:szCs w:val="20"/>
          <w:color w:val="auto"/>
        </w:rPr>
      </w:pPr>
      <w:r>
        <w:rPr>
          <w:rFonts w:ascii="Times New Roman" w:cs="Times New Roman" w:eastAsia="Times New Roman" w:hAnsi="Times New Roman"/>
          <w:sz w:val="18"/>
          <w:szCs w:val="18"/>
          <w:color w:val="auto"/>
        </w:rPr>
        <w:t>Section 505(b)(2) of the FDCA provides an alternate regulatory pathway to FDA approval for new or improved formulations or new uses of previously approved drug products. Specifically, Section 505(b)(2) was enacted as part of the Drug Price Competition and Patent Term Restoration Act of 1984, commonly referred to as the Hatch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Waxman Act amendments, and permits the filing of an NDA where at least some of the information required for approval comes from studies not conducted by or for the applicant and for which the applicant has not obtained a right of reference or use from the person by or for whom the investigations were conducted. The applicant may rely, in part, upon the FDA’s prior findings of safety and effectiveness for an approved product that acts as the reference listed drug or on published scientific literature, in support of its application. The FDA may also require 505(b)</w:t>
      </w:r>
    </w:p>
    <w:p>
      <w:pPr>
        <w:spacing w:after="0" w:line="5" w:lineRule="exact"/>
        <w:rPr>
          <w:sz w:val="20"/>
          <w:szCs w:val="20"/>
          <w:color w:val="auto"/>
        </w:rPr>
      </w:pPr>
    </w:p>
    <w:p>
      <w:pPr>
        <w:ind w:right="40" w:firstLine="8"/>
        <w:spacing w:after="0" w:line="255"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applicants to perform additional studies or measurements to support the changes from the reference listed drug as well as bridging studies to the reference listed drug. The FDA may then approve the new product candidate for all or some of the labeled indications for which the referenced product has been approved, as well as for any new indication sought by the Section 505(b)(2) applicant.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Orange Book Listing</w:t>
      </w:r>
    </w:p>
    <w:p>
      <w:pPr>
        <w:spacing w:after="0" w:line="227" w:lineRule="exact"/>
        <w:rPr>
          <w:sz w:val="20"/>
          <w:szCs w:val="20"/>
          <w:color w:val="auto"/>
        </w:rPr>
      </w:pPr>
    </w:p>
    <w:p>
      <w:pPr>
        <w:ind w:right="20" w:firstLine="749"/>
        <w:spacing w:after="0" w:line="218" w:lineRule="exact"/>
        <w:rPr>
          <w:sz w:val="20"/>
          <w:szCs w:val="20"/>
          <w:color w:val="auto"/>
        </w:rPr>
      </w:pPr>
      <w:r>
        <w:rPr>
          <w:rFonts w:ascii="Times New Roman" w:cs="Times New Roman" w:eastAsia="Times New Roman" w:hAnsi="Times New Roman"/>
          <w:sz w:val="18"/>
          <w:szCs w:val="18"/>
          <w:color w:val="auto"/>
        </w:rPr>
        <w:t>Section 505 of the FDCA describes three types of marketing applications that may be submitted to the FDA to request marketing authorization for a new drug. A section 505(b)(1) NDA is an application that contains full reports of investigations of safety and efficacy. A section 505(b)(2) NDA is an application in which the applicant, in part, relies on investigations that were not conducted by or for the applicant and for which the applicant has not obtained a right of reference or use from the person by or for whom the investigations were conducted. Section 505(j) establishes an abbreviated approval process for a generic version of approved drug products through the submission of an ANDA. An ANDA is an application for marketing of a generic drug product that has the same active ingredients, dosage form, strength, route of administration, labeling, performance characteristics, and intended use, among other things, to a previously approved product. Limited changes must be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by the FDA via a suitability petition. ANDAs are termed “abbreviated” because they are generally not required to include preclinical and clinical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under state substitution laws, may be substituted at the pharmacy for the reference listed drug.</w:t>
      </w:r>
    </w:p>
    <w:p>
      <w:pPr>
        <w:spacing w:after="0" w:line="201"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 xml:space="preserve">In seeking approval for a drug through an NDA, including a 505(b)(2) NDA, applicants are required to identify to the FDA patents that contain claims that are directed to the applicant’s product and/or method(s) of use. Upon approval of an NDA, each of the identified patents is then listed in </w:t>
      </w:r>
      <w:r>
        <w:rPr>
          <w:rFonts w:ascii="Times New Roman" w:cs="Times New Roman" w:eastAsia="Times New Roman" w:hAnsi="Times New Roman"/>
          <w:sz w:val="18"/>
          <w:szCs w:val="18"/>
          <w:i w:val="1"/>
          <w:iCs w:val="1"/>
          <w:color w:val="auto"/>
        </w:rPr>
        <w:t>Approved Drug Products with Therapeutic Equivalence Evaluations</w:t>
      </w:r>
      <w:r>
        <w:rPr>
          <w:rFonts w:ascii="Times New Roman" w:cs="Times New Roman" w:eastAsia="Times New Roman" w:hAnsi="Times New Roman"/>
          <w:sz w:val="18"/>
          <w:szCs w:val="18"/>
          <w:color w:val="auto"/>
        </w:rPr>
        <w:t>, also known as the Orange Book.</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An applicant who files an ANDA seeking approval of a generic version of a drug listed in the Orange Book or a 505(b)(2) NDA referencing a drug listed in the Orange Book must make patent certifications to the FDA that (1) no patent information on the drug or method of use that is the subject of the application has been submitted to the FDA; (2) the patent has expired; (3) the date on which the patent has expired and approval will not be sought until after the patent expiration; or (4) in the applicant’s opinion and to the best of its knowledge, the patent is invalid, unenforceable, or will not be infringed upon by the manufacture, use, or sale of the drug product for which the application is submitted. The last certification is known as a paragraph IV certification. Generally, the ANDA or 505(b)(2) NDA approval cannot be made effective until all listed patents have expired, except where the ANDA or 505(b)(2) NDA applicant challenges a listed patent through a paragraph IV certification or if the applicant is not seeking approval of a patented method of use. If the applicant does not challenge the listed patents or does not indicate that it is not seeking approval of a patented method of use, the ANDA or 505(b)(2) NDA application approval will not be made effective until all of the listed patents claiming the referenced product have expired.</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23" w:lineRule="exact"/>
        <w:rPr>
          <w:sz w:val="20"/>
          <w:szCs w:val="20"/>
          <w:color w:val="auto"/>
        </w:rPr>
      </w:pPr>
      <w:r>
        <w:rPr>
          <w:rFonts w:ascii="Times New Roman" w:cs="Times New Roman" w:eastAsia="Times New Roman" w:hAnsi="Times New Roman"/>
          <w:sz w:val="18"/>
          <w:szCs w:val="18"/>
          <w:color w:val="auto"/>
        </w:rPr>
        <w:t>If the competitor has provided a paragraph IV certification to the FDA, the competitor must also send notice of the paragraph IV certification to the holder of the NDA for the reference listed drug and the patent owner within 20 days after the application has been accepted for filing by the FDA. The NDA holder or patent owner may then initiate a patent infringement lawsuit in response to the notice of the paragraph IV certification. The filing of a patent infringement lawsuit within 45 days of the receipt of a paragraph IV certification notice prevents the FDA from making the approval of the ANDA or 505(b)(2) application effective until the earlier of 30 months from the date of the lawsuit, expiration of the patent, settlement of the lawsuit, a decision in the infringement case that is favorable to the applicant or such shorter or longer period as may be ordered by a court. This prohibition is generally referred to as the automatic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w:t>
      </w:r>
    </w:p>
    <w:p>
      <w:pPr>
        <w:spacing w:after="0" w:line="170" w:lineRule="exact"/>
        <w:rPr>
          <w:sz w:val="20"/>
          <w:szCs w:val="20"/>
          <w:color w:val="auto"/>
        </w:rPr>
      </w:pPr>
    </w:p>
    <w:p>
      <w:pPr>
        <w:ind w:firstLine="749"/>
        <w:spacing w:after="0" w:line="220" w:lineRule="exact"/>
        <w:rPr>
          <w:sz w:val="20"/>
          <w:szCs w:val="20"/>
          <w:color w:val="auto"/>
        </w:rPr>
      </w:pPr>
      <w:r>
        <w:rPr>
          <w:rFonts w:ascii="Times New Roman" w:cs="Times New Roman" w:eastAsia="Times New Roman" w:hAnsi="Times New Roman"/>
          <w:sz w:val="18"/>
          <w:szCs w:val="18"/>
          <w:color w:val="auto"/>
        </w:rPr>
        <w:t>In practice, where an ANDA or 505(b)(2) NDA applicant files a paragraph IV certification, the NDA holder or patent owners often take action to trigger the automatic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 resulting in patent litigation that may take many months or years to resolve. Thus, approval of an ANDA or 505(b)(2) application could be delayed for a significant period of time depending on the patent certification the applicant makes and the reference drug sponsor’s decision to initiate patent litigation.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Exclusivity</w:t>
      </w:r>
    </w:p>
    <w:p>
      <w:pPr>
        <w:spacing w:after="0" w:line="22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Regulatory exclusivity provisions under the FDCA can also delay the submission or the approval effective date of certain applications. A regulatory exclusivity period can provide the holder of an approved NDA protection from new competition in the marketplace for the innovation represented by its approved drug. Five years of exclusivity are available for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derivatives, such as a complex, chelate, or clathrate, of the molecule, responsible for the therapeutic activity of the drug substance. During the NCE exclusivity period, the FDA may not accept for review an ANDA or a 505(b)(2) NDA application by another company that contains the previously approved active moiety. An ANDA or 505(b)(2) application, however, may be submitted one year before NCE exclusivity expires if a paragraph IV certification is filed.</w:t>
      </w:r>
    </w:p>
    <w:p>
      <w:pPr>
        <w:spacing w:after="0" w:line="19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Three years of exclusivity are available to the holder of an NDA, including a 505(b)(2) NDA, for a particular condition of approval, or change to a marketed product, such as a new formulation or indication for a drug product that contains an active moiety that has been previously approved, when the application contains reports of new clinical investigations, other than bioavailability studies, conducted by the sponsor that were essential to approval of the application. Changes in an approved drug product that affect its active ingredient(s), strength, dosage form, route of administration or conditions of use may be granted this exclusivity if a new clinical investigation, or NCI, was essential to approval of the application containing those changes. During the NCI exclusivity period, the FDA may not approve an ANDA or 505(b)(2) NDA by another company for the condition of the new drug’s approval. NCE and NCI exclusivities will not delay the submission or approval of a full NDA; however, an applicant submitting a full NDA would be required to conduct or obtain a right of reference to, all of the preclinical studies and adequate and well controlled clinical trials necessary to demonstrate safety and efficacy.</w:t>
      </w:r>
    </w:p>
    <w:p>
      <w:pPr>
        <w:spacing w:after="0" w:line="192"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7"/>
          <w:szCs w:val="17"/>
          <w:color w:val="auto"/>
        </w:rPr>
        <w:t>Pediatric exclusivity is a regulatory exclusivity in the United States that provides for the attachment of an additional six months of marketing protection to the term of any existing regulatory and statutory exclusivity, including the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patent exclusivity periods described above as well as applicable patent terms. This six</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month exclusivity may be granted if an NDA sponsor submits pediatric data that fairly respond to a written request from the FDA for such data. The data do not need to show the product to be effective in the pediatric population studies; rather, if the clinical trial is deemed to fairly respond to the FDA’s request, the additional protection is granted. If reports of requested pediatric studies are submitted to and accepted by the FDA within the required time frames, whatever statutory or regulatory periods of exclusivity or Orange Book listed patent protection cover the drug are extended by six months. This is not a patent term extension, but it effectively extends the regulatory period during which the FDA cannot make an ANDA or 505(b)</w:t>
      </w:r>
    </w:p>
    <w:p>
      <w:pPr>
        <w:spacing w:after="0" w:line="2" w:lineRule="exact"/>
        <w:rPr>
          <w:sz w:val="20"/>
          <w:szCs w:val="20"/>
          <w:color w:val="auto"/>
        </w:rPr>
      </w:pPr>
    </w:p>
    <w:p>
      <w:pPr>
        <w:ind w:right="40" w:firstLine="8"/>
        <w:spacing w:after="0" w:line="260"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approval effective as a result of regulatory exclusivity for listed patents. Moreover, pediatric exclusivity attaches to all formulations, dosage forms, and indications for products with existing marketing exclusivity or patent life that contain the same active moiety as that which was studied.</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23" w:lineRule="exact"/>
        <w:rPr>
          <w:sz w:val="20"/>
          <w:szCs w:val="20"/>
          <w:color w:val="auto"/>
        </w:rPr>
      </w:pPr>
      <w:r>
        <w:rPr>
          <w:rFonts w:ascii="Times New Roman" w:cs="Times New Roman" w:eastAsia="Times New Roman" w:hAnsi="Times New Roman"/>
          <w:sz w:val="18"/>
          <w:szCs w:val="18"/>
          <w:color w:val="auto"/>
        </w:rPr>
        <w:t>The Orphan Drug Act provides incentives for the development of drugs intended to treat rare diseases or conditions, which generally are diseases or conditions affecting less than 200,000 individuals annually in the United States, or affecting more than 200,000 in the United States and for which there is no reasonable expectation that the cost of developing and making the drug available in the United States will be recovered from United States sales. If a product receives FDA approval for the indication for which it has orphan designation, the product is generally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Orphan Drug Designation also entitles a party to financial incentives, such as opportunities for grant funding towards clinical study costs, tax advantages, and application user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fee waivers.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FDA Expedited Review and Approval Programs</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Priority Review and Breakthrough designation, which are intended to expedite or simplify the process for the development and FDA review of certain drug products that are intended for the treatment of serious or life-threatening diseases or conditions, and demonstrate the potential to address unmet medical needs or present a significant improvement over existing therapy. The purpose of these programs is to provide important new drugs to patients earlier than under standard FDA review procedures.</w:t>
      </w:r>
    </w:p>
    <w:p>
      <w:pPr>
        <w:spacing w:after="0" w:line="180"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18"/>
          <w:szCs w:val="18"/>
          <w:color w:val="auto"/>
        </w:rPr>
        <w:t>To be eligible for a Fast Track designation, the FDA must determine, based on the request of a sponsor, that a product is intended to treat a serious or life-threatening disease or condition and demonstrates the potential to address an unmet medical need. The FDA will determine that a product will fill an unmet medical need if the product will provide a therapy where none exist or provide a therapy that may be potentially superior to existing therapy based on efficacy, safety, or public health factors. If Fast Track designation is obtained, drug sponsors may be eligible for more frequent development meetings and correspondence with the FDA.</w:t>
      </w:r>
    </w:p>
    <w:p>
      <w:pPr>
        <w:spacing w:after="0" w:line="18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addition, if an applicant obtains “rolling review,” the FDA may accept and initiate review of sections of an NDA before the application submission is complete, although it is not guaranteed that the FDA will commence review before the application submission is complete, and the timing of the review depends on a number of factors, including availability of review personnel at the FDA and competing agency priorities, among other things. The applicant must provide, and the FDA must agree, to a schedule for the remaining information after the initial section of the NDA.</w:t>
      </w:r>
    </w:p>
    <w:p>
      <w:pPr>
        <w:spacing w:after="0" w:line="180"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In some cases, a Fast Track product may be eligible for Accelerated Approval or Priority Review. The FDA may give a Priority Review designation to drugs that are intended to treat serious conditions and, if approved, would provide significant improvements in the safety or effectiveness of the treatment, diagnosis, or prevention of serious conditions. A Priority Review designation means that the goal for the FDA is to review an application within six months of receipt, rather than the standard review of ten months under current PDUFA guidelines, of the 60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filing date for NMEs and within six months of the submission receipt date for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NMEs. Products that are eligible for Fast Track designation may also be considered appropriate to receive a Priority Review.</w:t>
      </w:r>
    </w:p>
    <w:p>
      <w:pPr>
        <w:spacing w:after="0" w:line="203" w:lineRule="exact"/>
        <w:rPr>
          <w:sz w:val="20"/>
          <w:szCs w:val="20"/>
          <w:color w:val="auto"/>
        </w:rPr>
      </w:pPr>
    </w:p>
    <w:p>
      <w:pPr>
        <w:ind w:right="20" w:firstLine="749"/>
        <w:spacing w:after="0" w:line="223" w:lineRule="exact"/>
        <w:rPr>
          <w:sz w:val="20"/>
          <w:szCs w:val="20"/>
          <w:color w:val="auto"/>
        </w:rPr>
      </w:pPr>
      <w:r>
        <w:rPr>
          <w:rFonts w:ascii="Times New Roman" w:cs="Times New Roman" w:eastAsia="Times New Roman" w:hAnsi="Times New Roman"/>
          <w:sz w:val="18"/>
          <w:szCs w:val="18"/>
          <w:color w:val="auto"/>
        </w:rPr>
        <w:t>Moreover, under the provisions of the Food and Drug Administration Safety and Innovation Act, or FDASIA, enacted in 2012, a sponsor can request designation of a product candidate as a “breakthrough therapy.” A breakthrough therapy is defined as a drug that is intended, alone or in combination with one or more other drugs, to treat a serious or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the Fast Track designation features as described above, intensive guidance on an efficient drug development program beginning as early as Phase 1 trials, and a commitment from the FDA to involve senior managers and experienced review staff in a proactive collaborative, and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disciplinary review.</w:t>
      </w:r>
    </w:p>
    <w:p>
      <w:pPr>
        <w:spacing w:after="0" w:line="170"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Post</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approval Requirements</w:t>
      </w:r>
    </w:p>
    <w:p>
      <w:pPr>
        <w:spacing w:after="0" w:line="26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Any product manufactured or distributed pursuant to FDA approvals are subject to pervasive and continuing regulation by the FDA, as well as other federal and state agencies, including, among other things, requirements related to manufacturing, recordkeeping, and reporting, including adverse experience reporting, drug shortage reporting, and other periodic reporting; drug supply chain security surveillance and tracking requirements; product sampling and distribution; advertising; marketing; promotion; certain electronic records and signatures; licensure in certain states for the manufacturing and distribution of drug products; and post-approval obligations imposed as a condition of approval, such as Phase 4 clinical trials, REMS, and surveillance to assess safety and effectiveness after commercialization.</w:t>
      </w:r>
    </w:p>
    <w:p>
      <w:pPr>
        <w:spacing w:after="0" w:line="187" w:lineRule="exact"/>
        <w:rPr>
          <w:sz w:val="20"/>
          <w:szCs w:val="20"/>
          <w:color w:val="auto"/>
        </w:rPr>
      </w:pPr>
    </w:p>
    <w:p>
      <w:pPr>
        <w:ind w:right="20" w:firstLine="749"/>
        <w:spacing w:after="0" w:line="219" w:lineRule="exact"/>
        <w:rPr>
          <w:sz w:val="20"/>
          <w:szCs w:val="20"/>
          <w:color w:val="auto"/>
        </w:rPr>
      </w:pPr>
      <w:r>
        <w:rPr>
          <w:rFonts w:ascii="Times New Roman" w:cs="Times New Roman" w:eastAsia="Times New Roman" w:hAnsi="Times New Roman"/>
          <w:sz w:val="18"/>
          <w:szCs w:val="18"/>
          <w:color w:val="auto"/>
        </w:rPr>
        <w:t>After approval, most changes to the approved product, such as adding new indications or other labeling claims, are subject to prior FDA review and approval. There are also continuing annual prescription drug program user fee requirements for any approved products. In addition, drug manufacturers and other entities involved in the manufacture and distribution of approved drugs are required to register their establishments with the FDA and certain state agencies and list their drug products, and are subject to periodic announced and unannounced inspections by the FDA and these state agencies for compliance with cGMP and other requirements, which impose certain procedural and documentation requirements upon the company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w:t>
      </w:r>
    </w:p>
    <w:p>
      <w:pPr>
        <w:spacing w:after="0" w:line="203" w:lineRule="exact"/>
        <w:rPr>
          <w:sz w:val="20"/>
          <w:szCs w:val="20"/>
          <w:color w:val="auto"/>
        </w:rPr>
      </w:pPr>
    </w:p>
    <w:p>
      <w:pPr>
        <w:ind w:right="20" w:firstLine="749"/>
        <w:spacing w:after="0" w:line="220" w:lineRule="exact"/>
        <w:rPr>
          <w:sz w:val="20"/>
          <w:szCs w:val="20"/>
          <w:color w:val="auto"/>
        </w:rPr>
      </w:pPr>
      <w:r>
        <w:rPr>
          <w:rFonts w:ascii="Times New Roman" w:cs="Times New Roman" w:eastAsia="Times New Roman" w:hAnsi="Times New Roman"/>
          <w:sz w:val="18"/>
          <w:szCs w:val="18"/>
          <w:color w:val="auto"/>
        </w:rPr>
        <w:t>Changes to the manufacturing process are strictly regulated and often require prior FDA approval or notification before being implemented. FDA regulations also require investigation and correction of any deviations from cGMP and specifications and impose reporting and documentation requirements upon the sponsor and any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that the sponsor may decide to use. Accordingly, manufacturers must continue to expend time, money, and effort in the area of production and quality control to maintain cGMP compliance.</w:t>
      </w:r>
    </w:p>
    <w:p>
      <w:pPr>
        <w:spacing w:after="0" w:line="200"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FDA also strictly regulates marketing, labeling, advertising, and promotion of products that are placed on the market. A company can make only those claims relating to safety and efficacy, purity, and potency that are approved by the FDA. Physicians, in their independent professional medical judgment, may prescribe legally available products for unapproved indications that are not described in the product’s labeling and that differ from those tested and approved by the FDA. Pharmaceutical companies, however, are required to promote their drug products only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 including, but not limited to, criminal and civil penalties under the FDCA and False Claims Act, or FCA, exclusion from participation in federal healthcare programs, mandatory compliance programs under corporate integrity agreements, debarment, and refusal of government contracts. Recent court decisions have impacted the FDA’s enforcement activity regarding off-label promotion in light of First Amendment considerations; however, there are still significant risks in this area in part due to the potential FCA exposure. Further, the FDA has not materially changed its position on off-label promotion following legal setbacks on First Amendment grounds and the DOJ has consistently asserted in FCA briefings that “speech that serves as a conduit for violations of the law is not constitutionally protected.”</w:t>
      </w:r>
    </w:p>
    <w:p>
      <w:pPr>
        <w:spacing w:after="0" w:line="190"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Commercial products must meet the requirements of the Drug Supply Chain Security Act, or DSCSA, which imposes obligations on manufacturers of prescription biopharmaceutical products for commercial distribution, regulates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or PDMA. Trading partners within the drug supply chain must now ensure they are meeting certain product tracing requirements; they are doing business with other authorized trading partners; and they are exchanging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with the FDA indicating enforcement discretion on certain aspects due to the COVID-19 pandemic. The distribution of product samples continues to be regulated under the PDMA, and some states also impose regulations on drug sample distribution.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manufacturing processes, or failure to comply with regulatory requirements, may result in significant regulatory actions. Such actions may include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 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may result in adverse publicity, among other adverse consequences.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Fraud and Abuse, and Transparency Laws and Regulations</w:t>
      </w:r>
    </w:p>
    <w:p>
      <w:pPr>
        <w:spacing w:after="0" w:line="22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Our business activities, including but not limited to, research, sales, promotion, marketing, distribution, medical education, sponsorships, relationships with prescribers and other referral sources, are subject to regulation by numerous federal and state regulatory and law enforcement authorities in the United States in addition to the FDA, including potentially the Department of Justice, HHS and its various divisions, including the Centers for Medicare &amp; Medicaid Services, or CMS, the Office of Inspector General, or OIG, and the Health Resources and Services Administration, or HRSA, the Department of Veterans Affairs, the Department of Defense, and certain state and local governments. Our business activities must comply with numerous healthcare laws, including but not limited to, anti-kickback and false claims laws and regulations as well as data privacy and security laws and regulations, which are described below.</w:t>
      </w:r>
    </w:p>
    <w:p>
      <w:pPr>
        <w:spacing w:after="0" w:line="18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or recommending the purchase, lease, furnishing, or order of any item or service reimbursable under Medicare, Medicaid, or other federal healthcare programs, in whole or in part. The term “remuneration” has been interpreted broadly to include anything of value. The Anti-Kickback Statute has been interpreted to apply to arrangements between pharmaceutical manufacturers on one hand and prescribers, purchasers, formulary managers, and beneficiaries on the other. There are certain statutory exceptions and regulatory safe harbors protecting some common activities from prosecution. The exceptions and safe harbors are drawn narrowly, and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however, does not make the conduct per se illegal under the Anti-Kickback Statute. The safe harbors are subject to change through legislative and regulatory action, and we may decide to adjust our business practices or be subject to heightened scrutiny as a result. Instead, the legality of the arrangement will be evaluated on a case-by-case basis based on a cumulative review of all of its facts and circumstances to determine whether one purpose of an arrangement involving remuneration is to induce referrals of federal healthcare covered businesses. Additionally, the intent standard under the Anti-Kickback Statute provides that a person or entity need not have actual knowledge of the statute or specific intent to violate it in order to have committed a violation. In addition, a claim including items or services resulting from a violation of the federal Anti-Kickback Statute constitutes a false or fraudulent claim for purposes of the federal civil FCA. Therefore, either the federal government or private citizens under the FCA’s qui tam provisions (discussed further below) can bring an action under the FCA for violations of the Anti-Kickback Statute, potentially exposing an alleged violator to substantial monetary damages and penalties. Certain Anti-Kickback safe harbor provisions that protect the rebates paid by drug manufacturers to third parties may also be repealed or materially revised, as contemplated in a recent regulatory proposal.</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The government has asserted FCA liability against manufacturers by alleging that improper arrangements with ordering physicians caused them or another provider to file false claims in violation of the FCA or that manufacturers’ support of patient assistance programs improperly induced beneficiaries to choose their products in violation of the Anti-Kickback Statute. Sales, marketing and business arrangements in the healthcare industry are also subject to extensive laws and regulations intended to prevent fraud, kickbacks, self-dealing and other abusive practices. These laws and regulations may restrict or prohibit a wide range of pricing, discounting, marketing and promotion, sales commission, customer incentive programs, patient assistance programs, and other business arrangements. Medicare Advantage and Medicaid managed care plan regulations prohibit certain forms of marketing to enrollees that are designed to discriminate against beneficiaries on the basis of their health conditions or history. These regulations may require regulatory review of marketing materials, and coordination with health plan or governmental regulators. Additionally, the federal government has pursued electronic health record, or EHR, vendors and pharmaceutical manufacturers for remunerative relationships involving the EHR platform’s recommendation of particular drugs and “prompting” technology to increase prescribing of particular drugs.</w:t>
      </w:r>
    </w:p>
    <w:p>
      <w:pPr>
        <w:spacing w:after="0" w:line="194"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Physician Payments Sunshine Act, or the Sunshine Act, requires applicable manufacturers of covered drugs for which payment is available under Medicare, Medicaid, or the State Children’s Health Insurance Program, among others, to track and report annually to the federal government (for disclosure to the public) certain payments and other transfers of value they make to physicians, teaching hospitals, physician assistants, nurse practitioners, and other mid-level practitioners. We are also required to report certain ownership and investment interests held by physicians and their immediate family members.</w:t>
      </w:r>
    </w:p>
    <w:p>
      <w:pPr>
        <w:spacing w:after="0" w:line="183"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The federal civil FCA prohibits, among other things, any person or entity from knowingly presenting, or causing to be presented, a false or fraudulent claim for payment to, or approval by, the federal government, knowingly making, using, or causing to be made or used a false record or statement material to a false or fraudulent claim to the federal government, or avoiding, decreasing, or concealing an obligation to pay money to the federal government. A claim includes “any request or demand” for money or property presented directly or indirectly to the U.S. government. The civil FCA has been used to assert liability on the basis of kickbacks and other improper referrals, improperly reported government pricing metrics, such as Best Price or Average Manufacturer Price, or submission of inaccurate information required by government contracts, improper use of Medicare provider or supplier numbers when detailing a provider of services, improper promotion of off-label uses not expressly approved by the FDA in a drug’s label, and allegations as to misrepresentations with respect to the products supplied or services rendered. Several pharmaceutical and other healthcare companies have further been sued under these laws for allegedly providing free product to customers with the expectation that the customers would bill federal programs for the product. Civil FCA actions may be brought by the government or may be brought by private individuals on behalf of the government, called “qui tam” actions. If the government decides to intervene in a qui tam action and prevails in the lawsuit, the individual will share in the proceeds from any fines or settlement funds. If the government declines to intervene, the individual may pursue the case alone, subject to governmental review and certain approvals. Qui tam complaints are filed under seal, and the cases may progress for a number of years before a complaint is unsealed and a manufacturer becomes aware of its existence. Since 2004, these FCA lawsuits against pharmaceutical companies have increased significantly in volume and breadth, leading to several substantial civil and criminal settlements, as much as $3.0 billion, regarding certain sales practices and promoting off-label drug uses. For example, civil FCA liability may be imposed for Medicare or Medicaid overpayments arising out of claims that were filed by providers but alleged to have been caused by manufacturers’ incentives, impermissible discounts, or overpayments caused by understated rebate amounts. FCA enforcement may also arise from claims filed as the result of manufacturing marketing materials that contained inaccurate statements or provided certain reimbursement guidance.</w:t>
      </w:r>
    </w:p>
    <w:p>
      <w:pPr>
        <w:spacing w:after="0" w:line="19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government may further prosecute conduct constituting a false claim under the criminal FCA. The criminal FCA prohibits the making or presenting of a claim to the government knowing such claim to be false, fictitious, or fraudulent and, unlike the civil FCA, requires proof of intent to submit a false claim. Similarly, the criminal healthcare fraud statutes impose criminal liability for, among other things, knowingly and willfully attempting or executing a scheme to defraud any healthcare benefit program, including private third-party payors, obtaining money or property of a benefit program by false or fraudulent means, or falsifying, concealing, or covering up a material fact or submitting a materially false statement in connection with the delivery of, or payment from healthcare benefits, items, or services. These statutes are not limited to items and services reimbursed by a governmental health care program and have been used to prosecute commercial insurance fraud as well.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federal Civil Monetary Penalties Law authorizes the imposition of substantial civil monetary penalties against an entity, such as a 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 (3) violations of the federal Anti-Kickback Statute; or (4) failing to report and return a known overpayment.</w:t>
      </w:r>
    </w:p>
    <w:p>
      <w:pPr>
        <w:spacing w:after="0" w:line="183"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exclusion statute requires the exclusion of entities and individuals who have been convicted of federal-program related crimes or health care felony fraud or controlled substance charges. The statute also permits the exclusion of those that have been convicted of any form of fraud, the Anti-Kickback Statute, for obstructing an investigation or audit, misdemeanor-controlled substance charges, those whose health care license has been revoked or suspended, and those who have filed claims for excessive charges or unnecessary services. If a company were to be excluded, its products would be ineligible for reimbursement from any federal programs, including Medicare and Medicaid, and no other entity participating in those programs would be permitted to enter into contracts with the company. Further, employment or contracting with an individual or entity that has been excluded from participation in federal healthcare programs could serve as a basis to invalidate claims for items or services submitted by that entity and to exclude that entity from participation in such programs as well. In order to preserve access to beneficial drugs, the government may elect to exclude officers and key employees of manufacturers, rather than excluding the organization. Such enforcement actions would prohibit the Company from engaging those individuals, which could adversely affect operations, and could result in significant reputational harm.</w:t>
      </w:r>
    </w:p>
    <w:p>
      <w:pPr>
        <w:spacing w:after="0" w:line="194"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compliance and enforcement landscape, and related risk, is informed by government litigation and settlement precedent, Advisory Opinions, and Special Fraud Alerts. Our approach to compliance may evolve over time in light of these types of developments.</w:t>
      </w:r>
    </w:p>
    <w:p>
      <w:pPr>
        <w:spacing w:after="0" w:line="162" w:lineRule="exact"/>
        <w:rPr>
          <w:sz w:val="20"/>
          <w:szCs w:val="20"/>
          <w:color w:val="auto"/>
        </w:rPr>
      </w:pPr>
    </w:p>
    <w:p>
      <w:pPr>
        <w:ind w:right="140" w:firstLine="749"/>
        <w:spacing w:after="0" w:line="253" w:lineRule="auto"/>
        <w:rPr>
          <w:sz w:val="20"/>
          <w:szCs w:val="20"/>
          <w:color w:val="auto"/>
        </w:rPr>
      </w:pPr>
      <w:r>
        <w:rPr>
          <w:rFonts w:ascii="Times New Roman" w:cs="Times New Roman" w:eastAsia="Times New Roman" w:hAnsi="Times New Roman"/>
          <w:sz w:val="18"/>
          <w:szCs w:val="18"/>
          <w:color w:val="auto"/>
        </w:rPr>
        <w:t>Payment or reimbursement of prescription drugs by Medicaid or Medicare requires manufacturers of the drugs to submit pricing information to CMS. The Medicaid Drug Rebate statute requires manufacturers to calculate and report price points, which are used to determine Medicaid rebate payments shared between the states and the federal government and Medicaid payment rates for certain drugs. For drugs paid under Medicare Part B, manufacturers must also calculate and report their Average Sales Price, which is used to determine the Medicare Part B payment rate for the drug. Drugs that are approved under a Biologic License Application, or BLA, or an NDA, including 505(b)(2) drugs, are subject to an additional inflation penalty, which can substantially increase rebate payments. In addition, for BLA and NDA drugs, the Veterans Health Care Act, or VHCA, requires manufacturers to calculate and report to the Veterans Administration, or VA, a different price called the Non Federal Average Manufacturing Price, which is used to determine the maximum price that can be charged to certain federal agencies, referred to as the Federal Ceiling Price, or FCP. Like the Medicaid rebate amount, the FCP includes an inflation penalty. A Department of Defense regulation requires manufacturers to provide this discount through prescription rebates on drugs dispensed by retail pharmacies when paid by the TRICARE Program. All of these price reporting requirements create risk of submitting false information to the government and resulting potential FCA liability.</w:t>
      </w:r>
    </w:p>
    <w:p>
      <w:pPr>
        <w:spacing w:after="0" w:line="192"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The VHCA also requires manufacturers of covered drugs participating in the Medicaid program to enter into Federal Supply Schedule contracts with the VA through which their covered drugs must be sold to certain federal agencies at FCP and to report pricing information. This necessitates compliance with applicable federal procurement laws and regulations and subjects us to contractual remedies as well as administrative, civil, and criminal sanctions. In addition, the VHCA requires manufacturers participating in Medicaid to agree to provide different mandatory discounts to certain Public Health Service grantees and other safety net hospitals and clinics under the 340B Drug Pricing Program and report the ceiling price to HRSA within HHS. Manufacturers can be audited by HRSA and be subjected to civil monetary penalties for knowingly and intentionally overcharging covered entities for drugs.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also created federal criminal statutes that prohibit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A person or entity does not need to have actual knowledge of the statute or specific intent to violate it.</w:t>
      </w:r>
    </w:p>
    <w:p>
      <w:pPr>
        <w:spacing w:after="0" w:line="189"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17"/>
          <w:szCs w:val="17"/>
          <w:color w:val="auto"/>
        </w:rPr>
        <w:t>Further, we may be subject to data privacy and security regulation by both the federal government and the states in which we conduct our business. HIPAA, as amended by the Health Information Technology for Economic and Clinical Health Act, or HITECH, and its respective implementing regulations, extended certain requirements relating to the privacy, security, and transmission of individually identifiable health information directly to business associates and HIPAA-covered entities. While we would not be a “covered entity” under HIPAA, it is possible that we may enter into a service or business arrangement that would cause us to serve as a business associate, defined as a person or organization, other than a member of a covered entity’s workforce, that performs certain functions or activities that involve the use or disclosure of protected health information on behalf of, or provides services to, a covered entity. We are not a covered entity under HIPAA but in certain limited situations, we may be considered a business associate. HITECH also strengthened the civil and criminal penalties that may be imposed against covered entities, business associates, and individuals, and gave state attorneys general new authority to file civil actions for damages or injunctions in federal courts to enforce the federal HIPAA laws and seek attorneys’ fees and costs associated with pursuing federal civil actions. In addition, other federal and state laws may govern the privacy and security of health and other information in certain circumstances, many of which differ from each other in significant ways and may not have the same effect, thus complicating compliance efforts.</w:t>
      </w:r>
    </w:p>
    <w:p>
      <w:pPr>
        <w:spacing w:after="0" w:line="18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Even for entities that are not deemed “covered entities” or “business associates” under HIPAA, according to the United States Federal Trade Commission, or the FTC, failing to take appropriate steps to keep consumers’ personal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The FTC’s authority under Section 5 is concurrent with HIPAA’s jurisdiction and with any action taken under state law.</w:t>
      </w:r>
    </w:p>
    <w:p>
      <w:pPr>
        <w:spacing w:after="0" w:line="189" w:lineRule="exact"/>
        <w:rPr>
          <w:sz w:val="20"/>
          <w:szCs w:val="20"/>
          <w:color w:val="auto"/>
        </w:rPr>
      </w:pPr>
    </w:p>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In addition to the laws discussed above, we may see more stringent state and federal privacy legislation in the future, as the increased cyber-attacks during the pandemic have heightened attention to data privacy and security in the U.S. and other jurisdictions. We cannot predict where new legislation might arise, the scope of such legislation, or the potential impact to our business and operations.</w:t>
      </w:r>
    </w:p>
    <w:p>
      <w:pPr>
        <w:spacing w:after="0" w:line="176"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addition, other federal and state laws may govern the privacy and security of health and other information in certain circumstances, many of which differ from each other in significant ways and may not have the same effect, thus complicating compliance efforts. For example, California recently enacted legislation – the California Consumer Privacy Act, or CCPA, which became effective January 1, 2020. The CCPA was recently amended and expanded by the California Privacy Rights Act, or CPRA, which passed on November 3, 2020 and became effective on January 1, 2023. The CPRA’s expansion of the “Right to Know” impacts personal information collected on or after January 1, 2022. Companies must still comply with the CCPA during the ramp up period before the CPRA goes into effect. The CCPA and CPRA, among other things, create new data privacy obligations for covered companies and provided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 It remains unclear what, if any, additional modifications will be made to the CPRA by the California legislature or how it will be interpreted. Therefore, the effects of the CCPA and CPRA are significant and will likely require us to modify our data processing practices and may cause us to incur substantial costs and expenses to comply.</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40" w:firstLine="749"/>
        <w:spacing w:after="0" w:line="254" w:lineRule="auto"/>
        <w:rPr>
          <w:sz w:val="20"/>
          <w:szCs w:val="20"/>
          <w:color w:val="auto"/>
        </w:rPr>
      </w:pPr>
      <w:r>
        <w:rPr>
          <w:rFonts w:ascii="Times New Roman" w:cs="Times New Roman" w:eastAsia="Times New Roman" w:hAnsi="Times New Roman"/>
          <w:sz w:val="18"/>
          <w:szCs w:val="18"/>
          <w:color w:val="auto"/>
        </w:rPr>
        <w:t>Many states have also adopted laws similar to each of the above federal laws, which may be broader in scope and apply to items or services reimbursed by any third-party payor, including commercial insurers, and some have transparency laws that require reporting price increases and related information. Certain state laws also regulate manufacturers’ use of prescriber identifiable data. Certain states also require implementation of commercial compliance programs and compliance with the pharmaceutical industry’s voluntary compliance guidelines and the applicable compliance guidance promulgated by the federal government, or otherwise restrict payments or the provision of other items of value that may be made to healthcare providers and other potential referral sources; impose restrictions on marketing practices; or require drug manufacturers to track and report information related to payments, gifts, and other items of value to physicians and other healthcare providers. These laws may affect our future sales, marketing, and other promotional activities by imposing administrative and compliance burdens.</w:t>
      </w:r>
    </w:p>
    <w:p>
      <w:pPr>
        <w:spacing w:after="0" w:line="19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certain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among pharmaceutical companies, providers and patients, which has led to a number of investigations, prosecutions, convictions and settlements in the healthcare industry. Ensuring that business arrangements with third parties comply with applicable healthcare laws, as well as responding to possible investigations by government authorities, can be time- and resource-consuming and can divert management’s attention from the business, even if investigators ultimately find that no violation has occurred.</w:t>
      </w:r>
    </w:p>
    <w:p>
      <w:pPr>
        <w:spacing w:after="0" w:line="18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or regulations described above or any other laws that apply to us, we may be subject to penalties or other enforcement actions, including criminal and significant civil monetary penalties, damages, fines, disgorgement, imprisonment, exclusion from participation in government healthcare programs, corporate integrity agreements, debarment from receiving government contracts or refusal of new orders under existing contracts, reputational harm, diminished profits and future earnings, and the curtailment or restructuring of our operations, any of which could adversely affect our ability to operate our business and our results of operations.</w:t>
      </w:r>
    </w:p>
    <w:p>
      <w:pPr>
        <w:spacing w:after="0" w:line="183" w:lineRule="exact"/>
        <w:rPr>
          <w:sz w:val="20"/>
          <w:szCs w:val="20"/>
          <w:color w:val="auto"/>
        </w:rPr>
      </w:pPr>
    </w:p>
    <w:p>
      <w:pPr>
        <w:jc w:val="both"/>
        <w:ind w:right="560" w:firstLine="749"/>
        <w:spacing w:after="0" w:line="266" w:lineRule="auto"/>
        <w:rPr>
          <w:sz w:val="20"/>
          <w:szCs w:val="20"/>
          <w:color w:val="auto"/>
        </w:rPr>
      </w:pPr>
      <w:r>
        <w:rPr>
          <w:rFonts w:ascii="Times New Roman" w:cs="Times New Roman" w:eastAsia="Times New Roman" w:hAnsi="Times New Roman"/>
          <w:sz w:val="18"/>
          <w:szCs w:val="18"/>
          <w:color w:val="auto"/>
        </w:rPr>
        <w:t>To the extent that any of our products are sold in a foreign country, we may be subject to similar foreign laws and regulations, which may include, for instance, applicable post marketing requirements, including safety surveillance, anti fraud and abuse laws, implementation of corporate compliance programs and reporting of payments or transfers of value to healthcare professionals.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 Generally</w:t>
      </w:r>
    </w:p>
    <w:p>
      <w:pPr>
        <w:spacing w:after="0" w:line="229" w:lineRule="exact"/>
        <w:rPr>
          <w:sz w:val="20"/>
          <w:szCs w:val="20"/>
          <w:color w:val="auto"/>
        </w:rPr>
      </w:pPr>
    </w:p>
    <w:p>
      <w:pPr>
        <w:ind w:right="40" w:firstLine="749"/>
        <w:spacing w:after="0" w:line="218" w:lineRule="exact"/>
        <w:rPr>
          <w:sz w:val="20"/>
          <w:szCs w:val="20"/>
          <w:color w:val="auto"/>
        </w:rPr>
      </w:pPr>
      <w:r>
        <w:rPr>
          <w:rFonts w:ascii="Times New Roman" w:cs="Times New Roman" w:eastAsia="Times New Roman" w:hAnsi="Times New Roman"/>
          <w:sz w:val="18"/>
          <w:szCs w:val="18"/>
          <w:color w:val="auto"/>
        </w:rPr>
        <w:t>The commercial success of our products depends in part on the extent to which governmental payor programs at the federal and state levels, including Medicare and Medicaid, private health insurers, and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provide coverage for and establish adequate reimbursement levels for our product candidates. Government authorities, private health insurers, and other organizations generally decide which drugs they will pay for and establish reimbursement levels and potential access restrictions. Medicare is a federally funded program managed by CMS through local contractors that administer coverage and reimbursement for certain healthcare items and services furnished to the elderly and disabled. Medicaid is an insurance program for certain categories of patients whose income and assets fall below state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defined levels and who are otherwise uninsured that is both federally and state funded and managed by each state. The federal government sets general guidelines for Medicaid and each state creates specific regulations that govern its individual program, including supplemental rebate programs that prioritize coverage for drugs on the state Preferred Drug List. Similarly, government laws and regulations establish the parameters for coverage of prescription drugs by Tricare, the health care program for military personnel, retirees, and related beneficiaries. Many states have also created pharmacy assistance programs for individuals who do not qualify for federal programs. In the United States, private health insurers and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often provide reimbursement for products and services based on the level at which the government provides reimbursement through the Medicare or Medicaid programs for such products and services.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20" w:lineRule="exact"/>
        <w:rPr>
          <w:sz w:val="20"/>
          <w:szCs w:val="20"/>
          <w:color w:val="auto"/>
        </w:rPr>
      </w:pPr>
      <w:r>
        <w:rPr>
          <w:rFonts w:ascii="Times New Roman" w:cs="Times New Roman" w:eastAsia="Times New Roman" w:hAnsi="Times New Roman"/>
          <w:sz w:val="18"/>
          <w:szCs w:val="18"/>
          <w:color w:val="auto"/>
        </w:rPr>
        <w:t>In the United States, the European Union, and other potentially significant markets for our product candidates, government authorities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are increasingly attempting to limit or regulate the price of medical products and services, particularly for new and innovative products and therapies, which often has resulted in average selling prices lower than they would otherwise be. For example, in the United States, federal and state governments reimburse covered prescription drugs at varying rates generally below average wholesale price. Governmental and private payors may also establish certain access restrictions, such as prior approvals or evidence of failure on existing medications or therapies. These restrictions and limitations influence the purchase of healthcare services and products.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are developing increasingly sophisticated methods of controlling healthcare costs.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may limit coverage to specific drug products on an approved list, or formulary, which might not include all of the FDA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drug products for a particular indication.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also control costs by requiring prior authorization or imposing other dispensing restrictions before covering certain products and by broadening therapeutic classes to increase competition.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are increasingly challenging the price and examining the medical necessity and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medical products and services, in addition to their safety and efficacy. Absent clinical differentiators,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may treat products as therapeutically equivalent and base formulary decisions on net cost. To lower the prescription cost, manufacturers frequently rebate a portion of the prescription price to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w:t>
      </w:r>
    </w:p>
    <w:p>
      <w:pPr>
        <w:spacing w:after="0" w:line="17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Federal programs also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 candidates or exclusion of our product candidates from coverage. In addition, government programs like Medicaid include substantial penalties for increasing commercial prices over the rate of inflation which can affect realization and return on investment.</w:t>
      </w:r>
    </w:p>
    <w:p>
      <w:pPr>
        <w:spacing w:after="0" w:line="183"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Private payors often rely on the lead of the governmental payors in rendering coverage and reimbursement determinations. Therefore, achieving favorable CMS coverage and reimbursement is usually a significant gating issue for successful introduction of a new product. In addition, many government programs, as a condition of participation, mandate fixed discounts or rebates from manufacturers regardless of formulary position or utilization, and then rely on competition in the market to attain further price reductions, which can greatly reduce realization on the sale.</w:t>
      </w:r>
    </w:p>
    <w:p>
      <w:pPr>
        <w:spacing w:after="0" w:line="180" w:lineRule="exact"/>
        <w:rPr>
          <w:sz w:val="20"/>
          <w:szCs w:val="20"/>
          <w:color w:val="auto"/>
        </w:rPr>
      </w:pPr>
    </w:p>
    <w:p>
      <w:pPr>
        <w:ind w:firstLine="749"/>
        <w:spacing w:after="0" w:line="221" w:lineRule="exact"/>
        <w:rPr>
          <w:sz w:val="20"/>
          <w:szCs w:val="20"/>
          <w:color w:val="auto"/>
        </w:rPr>
      </w:pPr>
      <w:r>
        <w:rPr>
          <w:rFonts w:ascii="Times New Roman" w:cs="Times New Roman" w:eastAsia="Times New Roman" w:hAnsi="Times New Roman"/>
          <w:sz w:val="18"/>
          <w:szCs w:val="18"/>
          <w:color w:val="auto"/>
        </w:rPr>
        <w:t>Further, the increased emphasis on managed healthcare in the United States and on country and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groups and health technology assessment bodies, competition within therapeutic classes, availability of generic equivalents, judicial decisions and governmental laws and regulations related to Medicare, Medicaid, and healthcare reform, pharmaceutical coverage and reimbursement policies, and pricing in general. Patients who are prescribed treatments for their conditions and providers performing the prescribed services generally rely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to reimburse all or part of the associated healthcare costs. Sales of our products will therefore depend substantially, both domestically and abroad, on the extent to which the costs of our products will be paid by health maintenance, managed care, pharmacy benefit and similar healthcare management organizations, or reimbursed by government health administration authorities, such as Medicare and Medicaid, private health insurers, and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w:t>
      </w:r>
    </w:p>
    <w:p>
      <w:pPr>
        <w:spacing w:after="0" w:line="173" w:lineRule="exact"/>
        <w:rPr>
          <w:sz w:val="20"/>
          <w:szCs w:val="20"/>
          <w:color w:val="auto"/>
        </w:rPr>
      </w:pPr>
    </w:p>
    <w:p>
      <w:pPr>
        <w:ind w:right="300" w:firstLine="749"/>
        <w:spacing w:after="0" w:line="220" w:lineRule="exact"/>
        <w:rPr>
          <w:sz w:val="20"/>
          <w:szCs w:val="20"/>
          <w:color w:val="auto"/>
        </w:rPr>
      </w:pPr>
      <w:r>
        <w:rPr>
          <w:rFonts w:ascii="Times New Roman" w:cs="Times New Roman" w:eastAsia="Times New Roman" w:hAnsi="Times New Roman"/>
          <w:sz w:val="18"/>
          <w:szCs w:val="18"/>
          <w:color w:val="auto"/>
        </w:rPr>
        <w:t>As a result of the above, we may need to conduct expensive pharmacoeconomic studies in order to demonstrate the medical necessity and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our products, in addition to the costs required to obtain the FDA and other comparable foreign regulatory authority approvals. Our products may not be considered medically necessary or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or the rebate percentages required to secure coverage may not yield an adequate margin over cost.</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There is often pressure to renegotiate pricing and reimbursement levels, including, in particular, in connection with changes to Medicare. Third-party payors continue to demand discounted fee structures, and the trend toward consolidation among third-party payors tends to increase their bargaining power over price structures. If third-party payors reduce their rates for our products, then our revenue and profitability may decline, and our operating margins will be reduced. Because some third-party payors rely on all or portions of Medicare payment systems to determine payment rates, changes to government healthcare programs that reduce payments under these programs may negatively impact payments from third-party payors. Our inability to maintain suitable financial arrangements with third-party payors could have a material adverse impact on our business. Additionally, the reimbursement process is complex and can involve lengthy delays. Third-party payors may disallow, in whole or in part, providers’ requests for reimbursement based on determinations that certain amounts are not reimbursable under plan coverage, that the drugs provided were not medically necessary, or that additional supporting documentation is necessary. Retroactive adjustments may change amounts realized from third-party payors. Delays and uncertainties in the reimbursement process may adversely affect market acceptance and utilization of our products, resulting in reduced revenues. The unavailability or inadequacy of third-party coverage and reimbursement could negatively affect the market acceptance of our products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 Many hospitals implement a controlled and defined process for developing and approving formularies. Any marketing efforts that are determined to have violated such policies could result in the denial or removal of our products from that hospital’s formulary.</w:t>
      </w:r>
    </w:p>
    <w:p>
      <w:pPr>
        <w:spacing w:after="0" w:line="196" w:lineRule="exact"/>
        <w:rPr>
          <w:sz w:val="20"/>
          <w:szCs w:val="20"/>
          <w:color w:val="auto"/>
        </w:rPr>
      </w:pPr>
    </w:p>
    <w:p>
      <w:pPr>
        <w:ind w:firstLine="749"/>
        <w:spacing w:after="0" w:line="224" w:lineRule="exact"/>
        <w:rPr>
          <w:sz w:val="20"/>
          <w:szCs w:val="20"/>
          <w:color w:val="auto"/>
        </w:rPr>
      </w:pPr>
      <w:r>
        <w:rPr>
          <w:rFonts w:ascii="Times New Roman" w:cs="Times New Roman" w:eastAsia="Times New Roman" w:hAnsi="Times New Roman"/>
          <w:sz w:val="18"/>
          <w:szCs w:val="18"/>
          <w:color w:val="auto"/>
        </w:rPr>
        <w:t>Moreover, a payor’s decision to provide coverage for a drug product does not imply that an adequate reimbursement rate will be approved. Adequate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reimbursement may not be available to enable us to maintain price levels sufficient to realize an appropriate return on our investment in drug development. Legislative proposals to reform healthcare or reduce costs under government insurance programs may result in lower reimbursement for our products or exclusion of our products from coverage. The cost containment measures that healthcare payors and providers are instituting and any healthcare reform could significantly reduce our revenues from the sale of any approved product candidates. We cannot provide any assurances that we will be able to obtain and maintain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coverage or adequate reimbursement for our product candidates in whole or in part.</w:t>
      </w:r>
    </w:p>
    <w:p>
      <w:pPr>
        <w:spacing w:after="0" w:line="172"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Pharmacy benefit managers, or PBMs, rebates and pricing transparency are key areas of legislative and regulatory focus and there may be changes in the regulatory landscape that could have a significant impact on the pharmaceutical supply chain and drug pricing more generally, which could affect our business operations and prospects in unknown and material ways.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legislative and regulatory proposals designed to change the healthcare system in ways that could prevent or delay marketing approval of our product candidates, restrict or regulate post-approval activities, and affect our ability to sell our products profitably.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w:t>
      </w:r>
    </w:p>
    <w:p>
      <w:pPr>
        <w:spacing w:after="0" w:line="183"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For example, the Patient Protection and Affordable Care Act of 2010, as amended by the Health Care and Education Reconciliation Act, or, collectively, the ACA has substantially changed and continues to impact healthcare financing and delivery by both government payors and private insurers. Among the ACA provisions of importance to the pharmaceutical industry, in addition to those otherwise described above, are the following:</w:t>
      </w:r>
    </w:p>
    <w:p>
      <w:pPr>
        <w:spacing w:after="0" w:line="68" w:lineRule="exact"/>
        <w:rPr>
          <w:sz w:val="20"/>
          <w:szCs w:val="20"/>
          <w:color w:val="auto"/>
        </w:rPr>
      </w:pPr>
    </w:p>
    <w:p>
      <w:pPr>
        <w:ind w:left="1020" w:right="8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 apportioned among these entities according to their market share in certain federal programs identified in the ACA;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20" w:right="4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beneficiary eligibility criteria for Medicaid programs by, among other things, allowing states to offer Medicaid coverage to certain individuals with income at or below 138% of the federal poverty level, thereby potentially increasing manufacturers’ Medicaid rebate liability;</w:t>
      </w:r>
    </w:p>
    <w:p>
      <w:pPr>
        <w:spacing w:after="0" w:line="6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p>
      <w:pPr>
        <w:spacing w:after="0" w:line="6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covered drugs dispensed to individuals who are enrolled in Medicaid managed care organizations;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separate methodology by which rebates owed by manufacturers under the Medicaid Drug Rebate Program are calculated for drugs that are inhaled, infused, instilled, implanted, or injected;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types of entities eligible for the 340B drug discount program;</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the Medicare Part D coverage gap discount program that, as a condition for the manufacturers’ outpatient drugs to be covered under Medicare Part D, requires manufacturers to provide a now 70% point-of-sale-discount off the negotiated price of applicable brand drugs to eligible beneficiaries during their coverage gap period;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the Center for Medicare and Medicaid Innovation within the CMS to test innovative payment and service delivery models to lower Medicare and Medicaid spending, potentially including prescription drug spending;</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creation of the Patient-Centered Outcomes Research Institute to oversee, identify priorities in, and conduct comparative clinical effectiveness research, along with funding for such research;</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certain financial arrangements between manufacturers of drugs, biologics, devices, and medical supplies and physicians and teaching hospitals under the Sunshine Act;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reporting of certain information regarding drug samples that manufacturers and distributors provide to licensed practitioners.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ACA established the Patient-Centered Outcome Research Institute to organize and coordinate federally funded research to compare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effectiveness of different treatments for the same illness. Although the results of the comparative effectiveness studies are not intended to mandate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coverage policies for public or private payors, it is not clear what effect, if any, the research will have on the sales of any product, if any such product or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that it is intended to treat is the subject of a study. It is also possible that comparative effectiveness research demonstrating benefits in a</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competitor’s product could adversely affect the sales of our product candidates. If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do not consider our product candidates to be</w:t>
      </w:r>
    </w:p>
    <w:p>
      <w:pPr>
        <w:spacing w:after="0" w:line="1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compared to other available therapies, they may not cover our product candidates, once approved, as a benefit under their plans or, if they 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level of payment may not be sufficient to allow us to sell our products on a profitable basis.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The ACA made other changes intended to broaden access to health insurance, reduce or constrain the growth of healthcare spending, enhance remedies against fraud and abuse, add new transparency requirements for healthcare and health insurance industries, impose new taxes and fees on the health care industry, and impose additional health policy reforms. The law expanded the eligibility criteria for Medicaid programs, thereby potentially increasing both the volume of sales and manufacturers’ Medicaid rebate liability. The law also expanded the entities eligible for discounts under the 340B Drug Discount Program, which mandates discounts to certain hospitals, community centers, and other qualifying providers, although, with the exception of children’s hospitals, these newly eligible entities are not eligible to receive discounted 340B pricing on orphan drugs and the Health Resources and Services Administration has narrowed its interpretation of which beneficiaries may fill prescriptions through 340B inventories. The law additionally extended manufacturer’s Medicaid rebate liability to covered drugs dispensed to patients enrolled in Medicaid managed care organizations, increased the statutory minimum rebates a manufacturer must pay under the Medicaid Drug Rebate program, and created an alternative rebate formula for certain new formulations of certain existing products, which is intended to increase the amount of rebates due on those drugs. The revisions to the Medicaid rebate formula can have the further effect of increasing the required 340B discounts. Finally, the ACA imposes a significant annual fee on companies that manufacture or import branded prescription drug products. Substantial new provisions affecting compliance have also been enacted through the ACA and otherwise, including the reporting of drug sample distribution, which may require us to modify our business practices with healthcare practitioners. Moreover, in the coming years, additional changes could be made to governmental healthcare programs that could significantly impact the success of our products.</w:t>
      </w:r>
    </w:p>
    <w:p>
      <w:pPr>
        <w:spacing w:after="0" w:line="196"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ACA also imposed an affirmative obligation to report and repay any overpayments, including those payments that resulted from violations of the Anti-Kickback Statute, FCA, or Civil Monetary Penalties Law, within sixty (60) days after such overpayment has been identified. Corresponding case law imposes an obligation on entities to exercise reasonable diligence in identifying such overpayments. The failure to timely report and repay is, itself, considered to constitute a violation of the FCA.</w:t>
      </w:r>
    </w:p>
    <w:p>
      <w:pPr>
        <w:spacing w:after="0" w:line="180"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The framework of the ACA continues to evolve as a result of executive, legislative, regulatory, and administrative developments that have challenged the law and contribute to legal uncertainty that could affect the profitability of our products. While Congress has not enacted legislation to comprehensively repeal the ACA, legislation affecting the ACA has been signed into law, including the elimination, effective January 1, 2019, of the tax-based shared responsibility payment imposed by the ACA on certain individuals who fail to maintain qualifying health coverage for all or part of a year, which is commonly referred to as the “individual mandate.”</w:t>
      </w:r>
    </w:p>
    <w:p>
      <w:pPr>
        <w:spacing w:after="0" w:line="183"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of 2003, or the MMA, established a prescription drug benefit program for Medicare beneficiaries. Under Part D, Medicare beneficiaries may enroll in prescription drug plans offered by private entities that provide coverage of outpatient prescription drugs. Part D plans include both standalone prescription drug benefit plans and prescription drug coverage as a supplement to Medicare Advantage plans. Unlike Medicare Part A and B, which do not utilize formularies to restrict coverage, Part D coverage varies by plan. With some exceptions,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any products for which we receive marketing approval. However, Part D plans use competition for coverage to leverage manufacturer rebates. Further, the law requires manufacturers to absorb a significant percentage of the prescription price paid for NDA drugs, including 504(b)(2) drugs, during a beneficiary’s coverage gap. The Bipartisan Budget Act of 2018 permanently increased manufacturer liability for the prescription price in the coverage gap from 50% to 70% beginning in 2019, while simultaneously accelerating closure of the gap. These cost reduction initiatives and other provisions of the legislation, as well as any negotiated price discounts for our future products covered by a Part D prescription drug plan, may decrease the coverage and reimbursement rate that we receive, lower the net price realized on our sales to pharmacies, or both. Moreover, while the MMA applies only to drug benefits for Medicare beneficiaries, private payors often follow Medicare coverage policy and payment limitations in setting their own payment rates. Any reduction in payment that results from Medicare Part D may result in a similar reduction in payments from non-governmental payors.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There have been numerous initiatives on the federal and state levels in the United States for comprehensive reforms affecting the payment for, the availability of, and reimbursement for, healthcare services. Current and future U.S. legislative healthcare reforms may result in price controls and other restrictions for any approved products, if covered, and could seriously harm our business. In August 2022, the Inflation Reduction Act of 2022, or the IRA, was signed into law. The IRA includes several provisions that impose new manufacturer financial liability on all drugs in Medicare Part D beginning in 2025, allow the U.S. government to negotiate prices for some drugs covered under Medicare Part D beginning in 2026 and Medicare Part B beginning in 2028, and require companies to pay rebates to Medicare beginning in 2023 for drug prices that increase faster than inflation. The IRA permits the Secretary of HHS to implement many of these provisions through guidance, as opposed to regulation, for the initial years. For that and other reasons, it is currently unclear how the IRA will be effectuated, and the impact of the IRA on the pharmaceutical industry cannot yet be fully determined. On December 14, 2023, President Biden announced that, through the IRA, dozens of pharmaceutical companies are required to pay rebates to Medicare for price hikes on prescription drugs.</w:t>
      </w:r>
    </w:p>
    <w:p>
      <w:pPr>
        <w:spacing w:after="0" w:line="194"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For example, the Budget Control Act of 2011, among other things, resulted in reductions in payments to Medicare providers of 2% per fiscal year, which went into effect on April 1, 2013 and, due to subsequent legislation, will remain in effect through 2031, with the exception of a temporary suspension of the payment reduction from May 1, 2020 through March 31, 2022 due to the coronavirus pandemic. Sequestration began again on April 1, 2022. From April 1, 2022 to June 30, 2022, payments for Medicare fee-for-service claims were adjusted downwards by 1%; beginning on July 1, 2022, the payments were adjusted downwards by 2%. In addition, on March 11, 2021, President Biden signed the American Rescue Plan Act of 2021 into law, which eliminated the statutory Medicaid drug rebate cap, currently set at 100% of a drug’s average manufacturer price, for single source and innovator multiple source drugs, beginning January 1, 2024. These legislative changes may result in additional reductions in Medicare and other healthcare funding and otherwise affect the prices we may obtain for any of our products or the frequency with which any such product is prescribed or used.</w:t>
      </w:r>
    </w:p>
    <w:p>
      <w:pPr>
        <w:spacing w:after="0" w:line="188"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Recently, the cost of prescription pharmaceuticals has been the subject of considerable discussion in the United States. Congress considered and passed legislation, and the former Trump administration pursued several regulatory reforms to further increase transparency around prices and price increases, lower out-of-pocket costs for consumers, and decrease spending on prescription drugs by government programs. Congress also continued to conduct inquiries into the prescription drug industry’s pricing practices. While several proposed reform measures will require Congress to pass legislation to become effective, Congress and the Biden administration have each indicated that it will continue to seek new legislative and/or administrative measures to address prescription drug costs. The Biden administration has taken several recent executive actions that signal changes in policy from the prior administration. For example, on July 9, 2021, President Biden signed an executive order to promote competition in the U.S. economy that included several initiatives addressing prescription drugs. Among other provisions, the executive order directed the Secretary of HHS to issue a report to the White House within 45 days that included a plan to, among other things, reduce prices for prescription drugs, including prices paid by the federal government for such drugs. In response to the executive order, on September 9, 2021, HHS issued a Comprehensive Plan for Addressing High Drug Prices that identified potential legislative policies and administrative tools that Congress and HHS can pursue in order to make drug prices more affordable and equitable, improve and promote competition throughout the prescription drug industry, and foster scientific innovation. Additionally, on February 2, 2022, the Biden administration signaled its continued commitment to the Cancer Moonshot initiative, which was initially launched in 2016. In its announcement, the administration noted that its new goals under the initiative include addressing inequities in order to ensure broader access to cutting-edge cancer therapeutics and investing in a robust pipeline for new treatments.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Some states, such as California, have enacted transparency laws that require manufacturers to report drug price increases and related information. The boom in state laws targeting drug pricing is unprecedented and the requirements are not uniform from state to state, creating additional compliance and commercialization challenges for manufacturers. We further expect that the pharmaceutical industry will experience pricing pressures due to the trend toward managed healthcare, the increasing influence of managed care organizations, judicial interpretation of health care reform efforts, and additional legislative and regulatory proposals resulting in ongoing, relatively rapid changes to applicable laws and regulations. Our results of operations could be adversely affected by current and future healthcare reforms.</w:t>
      </w:r>
    </w:p>
    <w:p>
      <w:pPr>
        <w:spacing w:after="0" w:line="148" w:lineRule="exact"/>
        <w:rPr>
          <w:sz w:val="20"/>
          <w:szCs w:val="20"/>
          <w:color w:val="auto"/>
        </w:rPr>
      </w:pPr>
    </w:p>
    <w:p>
      <w:pPr>
        <w:ind w:firstLine="749"/>
        <w:spacing w:after="0" w:line="228" w:lineRule="exact"/>
        <w:rPr>
          <w:sz w:val="20"/>
          <w:szCs w:val="20"/>
          <w:color w:val="auto"/>
        </w:rPr>
      </w:pPr>
      <w:r>
        <w:rPr>
          <w:rFonts w:ascii="Times New Roman" w:cs="Times New Roman" w:eastAsia="Times New Roman" w:hAnsi="Times New Roman"/>
          <w:sz w:val="18"/>
          <w:szCs w:val="18"/>
          <w:color w:val="auto"/>
        </w:rPr>
        <w:t>Government and private payors also increasingly require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of coverage for new or innovative devices or drug therapies or condition coverage on unsuccessful alternative treatment before they will reimburse healthcare providers that use such therapies. For some specialty drugs, payors are conditioning payment on successful treatment measured by objective metrics. While we cannot predict whether any proposed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containment measures will be adopted or otherwise implemented in the future, the announcement or adoption of these proposals could have a material adverse effect on our ability to obtain adequate prices for our products and operate profitably.</w:t>
      </w:r>
    </w:p>
    <w:p>
      <w:pPr>
        <w:spacing w:after="0" w:line="198" w:lineRule="exact"/>
        <w:rPr>
          <w:sz w:val="20"/>
          <w:szCs w:val="20"/>
          <w:color w:val="auto"/>
        </w:rPr>
      </w:pPr>
    </w:p>
    <w:p>
      <w:pPr>
        <w:ind w:right="220" w:firstLine="749"/>
        <w:spacing w:after="0" w:line="254" w:lineRule="auto"/>
        <w:rPr>
          <w:sz w:val="20"/>
          <w:szCs w:val="20"/>
          <w:color w:val="auto"/>
        </w:rPr>
      </w:pPr>
      <w:r>
        <w:rPr>
          <w:rFonts w:ascii="Times New Roman" w:cs="Times New Roman" w:eastAsia="Times New Roman" w:hAnsi="Times New Roman"/>
          <w:sz w:val="18"/>
          <w:szCs w:val="18"/>
          <w:color w:val="auto"/>
        </w:rPr>
        <w:t>In the future, there may continue to be additional proposals relating to the reform of the U.S. healthcare system, some of which could further limit the prices we will be able to charge for our products, or the amounts of reimbursement available for our products. We continue to monitor the potential impact of proposals to lower prescription drug costs at the federal and state level. Managed care organizations, as well as Medicaid and other government agencies, continue to seek price discounts. Some states have implemented, and other states are considering, measures to reduce costs of the Medicaid program, and some states are considering implementing measures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192"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These and other healthcare reform initiatives may result in additional reductions in Medicare and other healthcare funding, which could have a material adverse effect on our financial operations. We expect that additional state and federal healthcare reform measures will be adopted in the future, any of which could limit the amounts that federal and state governments will pay for healthcare products and services, which could result in reduced demand for our products or additional pricing pressures.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Foreign Corrupt Practices Act</w:t>
      </w:r>
    </w:p>
    <w:p>
      <w:pPr>
        <w:spacing w:after="0" w:line="229"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The Foreign Corrupt Practices Act of 1977, or FCPA, prohibits any U.S. individual or business from paying, offering, or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229" w:lineRule="exact"/>
        <w:rPr>
          <w:sz w:val="20"/>
          <w:szCs w:val="20"/>
          <w:color w:val="auto"/>
        </w:rPr>
      </w:pPr>
    </w:p>
    <w:p>
      <w:pPr>
        <w:ind w:right="100" w:firstLine="749"/>
        <w:spacing w:after="0" w:line="252" w:lineRule="auto"/>
        <w:rPr>
          <w:sz w:val="20"/>
          <w:szCs w:val="20"/>
          <w:color w:val="auto"/>
        </w:rPr>
      </w:pPr>
      <w:r>
        <w:rPr>
          <w:rFonts w:ascii="Times New Roman" w:cs="Times New Roman" w:eastAsia="Times New Roman" w:hAnsi="Times New Roman"/>
          <w:sz w:val="18"/>
          <w:szCs w:val="18"/>
          <w:color w:val="auto"/>
        </w:rPr>
        <w:t>We are subject to a variety of foreign regulatory requirements regarding safety and efficacy and governing, among other things, clinical trials, marketing authorization, commercial sales, and distribution of our products. For example, in the European Union, or EU, Regulation (EU) 536/2014 on clinical trials, or CTR, requires sponsors to submit a single clinical trial application, or CTA, through the Clinical Trials Information System, or CTIS, an online portal to streamline the authorization process. While under the previously applicable Directive 2001/20/EC, or CTD, sponsors had to request separate approvals in each EU/EEA member state, the CTIS is a single-entry point that allows sponsors to apply for authorization to run a clinical trial in up to 30 EU/EEA countries. The CTIS authorization procedure is composed of two parts: (i) member states jointly cooperate during the Part I assessment of the applicable CTA and (ii) during Part II, the applicable CTA is assessed by each member state individually. All ongoing clinical trials in the EU/EEA were required to transition to the CTIS by January 30, 2025. This date marked the end of a three-year transition period that began when the CTR became applicable. Whether or not we obtain FDA approval for a product, we would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The requirements governing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As in the United States, post approval regulatory requirements, such as those regarding product manufacture, marketing, or distribution, would apply to any product that is approved outside the United States.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European Union Drug Approval Process</w:t>
      </w:r>
    </w:p>
    <w:p>
      <w:pPr>
        <w:spacing w:after="0" w:line="227" w:lineRule="exact"/>
        <w:rPr>
          <w:sz w:val="20"/>
          <w:szCs w:val="20"/>
          <w:color w:val="auto"/>
        </w:rPr>
      </w:pPr>
    </w:p>
    <w:p>
      <w:pPr>
        <w:ind w:right="340" w:firstLine="749"/>
        <w:spacing w:after="0" w:line="239" w:lineRule="exact"/>
        <w:rPr>
          <w:sz w:val="20"/>
          <w:szCs w:val="20"/>
          <w:color w:val="auto"/>
        </w:rPr>
      </w:pPr>
      <w:r>
        <w:rPr>
          <w:rFonts w:ascii="Times New Roman" w:cs="Times New Roman" w:eastAsia="Times New Roman" w:hAnsi="Times New Roman"/>
          <w:sz w:val="18"/>
          <w:szCs w:val="18"/>
          <w:color w:val="auto"/>
        </w:rPr>
        <w:t>To obtain a marketing authorization of a drug in the European Union, we may submit marketing authorization applications, or MAAs, either under the so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called centralized, decentralized, mutual recognition, or national authorization procedures.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Centralized Procedure</w:t>
      </w:r>
    </w:p>
    <w:p>
      <w:pPr>
        <w:spacing w:after="0" w:line="22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the centralized procedure, the European Commission, or EC, grants a single marketing authorization following a favorable opinion by the European Medicines Agency, or EMA, which is valid in all European Union member states, as well as in the European Economic Area, or EEA, countries (Iceland, Liechtenstein, and Norway). The centralized procedure is compulsory for medicines produced by specified biotechnological processes, products designated as orphan medicinal products, advanced-therapy medicinal products, or ATMPs, and products with a new active substance indicated for the treatment of specified diseases, such as HIV/AIDS, cancer, diabetes, neurodegenerative disorders, autoimmune diseases and other immune dysfunctions, or viral diseases. The centralized procedure is optional for products containing new active substances for indications other than those stated above, products that represent a significant therapeutic, scientific, or technical innovation, or whose authorization would be in the interest of public health. Under the centralized procedure, the maximum timeframe for the evaluation of an MAA by the EMA is 210 days, excluding clock stops, when additional written or oral information is to be provided by the applicant in response to questions asked by the Committee for Medicinal Products for Human Use, or the CHMP. Accelerated assessment might be granted by the CHMP in exceptional cases, such as when a medicinal product is expected to be of a major public health interest, particularly from the point of view of therapeutic innovation. The timeframe for the evaluation of an MAA under the accelerated assessment procedure is 150 days, excluding clock stops.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Authorization Procedures</w:t>
      </w:r>
    </w:p>
    <w:p>
      <w:pPr>
        <w:spacing w:after="0" w:line="225"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There are also other possible routes to authorize medicinal products in several European Union countries, which are available for investigational medicinal products that fall outside the scope of the centralized procedure:</w:t>
      </w:r>
    </w:p>
    <w:p>
      <w:pPr>
        <w:spacing w:after="0" w:line="160" w:lineRule="exact"/>
        <w:rPr>
          <w:sz w:val="20"/>
          <w:szCs w:val="20"/>
          <w:color w:val="auto"/>
        </w:rPr>
      </w:pPr>
    </w:p>
    <w:p>
      <w:pPr>
        <w:ind w:left="1140" w:right="80" w:hanging="383"/>
        <w:spacing w:after="0" w:line="258"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Decentralized procedure. </w:t>
      </w:r>
      <w:r>
        <w:rPr>
          <w:rFonts w:ascii="Times New Roman" w:cs="Times New Roman" w:eastAsia="Times New Roman" w:hAnsi="Times New Roman"/>
          <w:sz w:val="18"/>
          <w:szCs w:val="18"/>
          <w:color w:val="auto"/>
        </w:rPr>
        <w:t>Using the decentralized procedure, an applicant may apply in more than one European Union country in parallel,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although the applicant must nominate one reference European Union Member State, for simultaneous authorization of medicinal products that have not yet been authorized in any European Union country and that do not fall within the mandatory scope of the centralized procedure. Failing agreement, there is a procedure for resolving disagreements between member states and ultimately an arbitration procedure before the CHMP.</w:t>
      </w:r>
    </w:p>
    <w:p>
      <w:pPr>
        <w:spacing w:after="0" w:line="183" w:lineRule="exact"/>
        <w:rPr>
          <w:rFonts w:ascii="Times New Roman" w:cs="Times New Roman" w:eastAsia="Times New Roman" w:hAnsi="Times New Roman"/>
          <w:sz w:val="18"/>
          <w:szCs w:val="18"/>
          <w:color w:val="auto"/>
        </w:rPr>
      </w:pPr>
    </w:p>
    <w:p>
      <w:pPr>
        <w:ind w:left="1140" w:right="200" w:hanging="383"/>
        <w:spacing w:after="0" w:line="258"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Mutual recognition procedure. </w:t>
      </w:r>
      <w:r>
        <w:rPr>
          <w:rFonts w:ascii="Times New Roman" w:cs="Times New Roman" w:eastAsia="Times New Roman" w:hAnsi="Times New Roman"/>
          <w:sz w:val="18"/>
          <w:szCs w:val="18"/>
          <w:color w:val="auto"/>
        </w:rPr>
        <w:t>In the mutual recognition procedure, a medicine is first authorized in one European Union Member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referred to as the reference member state, in accordance with the national procedures of that country. Following this, further marketing authorizations can be sought from other nominated European Union countries, referred to as the concerned member states, in a procedure whereby the countries concerned agree to recognize the validity of the original, national marketing authorization. The procedure for disagreements described above similarly applies.</w:t>
      </w:r>
    </w:p>
    <w:p>
      <w:pPr>
        <w:spacing w:after="0" w:line="183" w:lineRule="exact"/>
        <w:rPr>
          <w:rFonts w:ascii="Times New Roman" w:cs="Times New Roman" w:eastAsia="Times New Roman" w:hAnsi="Times New Roman"/>
          <w:sz w:val="18"/>
          <w:szCs w:val="18"/>
          <w:color w:val="auto"/>
        </w:rPr>
      </w:pPr>
    </w:p>
    <w:p>
      <w:pPr>
        <w:ind w:left="1140" w:right="160" w:hanging="383"/>
        <w:spacing w:after="0" w:line="284"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National procedures. </w:t>
      </w:r>
      <w:r>
        <w:rPr>
          <w:rFonts w:ascii="Times New Roman" w:cs="Times New Roman" w:eastAsia="Times New Roman" w:hAnsi="Times New Roman"/>
          <w:sz w:val="18"/>
          <w:szCs w:val="18"/>
          <w:color w:val="auto"/>
        </w:rPr>
        <w:t>Purely national procedures continue to be possible but are strictly limited to where the product is to be authorized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member state only.</w:t>
      </w:r>
    </w:p>
    <w:p>
      <w:pPr>
        <w:spacing w:after="0" w:line="160" w:lineRule="exact"/>
        <w:rPr>
          <w:sz w:val="20"/>
          <w:szCs w:val="20"/>
          <w:color w:val="auto"/>
        </w:rPr>
      </w:pPr>
    </w:p>
    <w:p>
      <w:pPr>
        <w:ind w:firstLine="749"/>
        <w:spacing w:after="0" w:line="218" w:lineRule="exact"/>
        <w:rPr>
          <w:sz w:val="20"/>
          <w:szCs w:val="20"/>
          <w:color w:val="auto"/>
        </w:rPr>
      </w:pPr>
      <w:r>
        <w:rPr>
          <w:rFonts w:ascii="Times New Roman" w:cs="Times New Roman" w:eastAsia="Times New Roman" w:hAnsi="Times New Roman"/>
          <w:sz w:val="18"/>
          <w:szCs w:val="18"/>
          <w:color w:val="auto"/>
        </w:rPr>
        <w:t>In the European Union, new products authorized for marketing, referred to as reference products, qualify for eight years of data exclusivity and an additional two years of market exclusivity upon marketing authorization. The data exclusivity period prevents generic applicants from relying on the preclinical and clinical trial data contained in the dossier of the reference product when applying for a generic marketing authorization in the European Union during a period of eight years from the date on which the reference product was first authorized in the European Union. The market exclusivity period prevents a successful generic applicant from commercializing its product in the European Union until 10 years have elapsed from the initial authorization of the reference product in the European Union. The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Overall, this period of regulatory data protection, or RDP, is commonly referred to as the “8+2+1” approach. This period of RDP equally applies to medicinal products that are authorized through the national procedure (or decentralized or mutual recognition procedures) under national law or through the centralized procedure.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Conducting research and development is central to our business model. We have invested and expect to continue to invest significant time and capital in our research and development operations. Our research and development expenses were $187.1 million, and $97.9 million for the years ended December 31, 2024 and 2023, respectively. Research and development expenses are expected to stabilize in the near term as certain development programs near completion while new development programs are initiated.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Management</w:t>
      </w:r>
    </w:p>
    <w:p>
      <w:pPr>
        <w:spacing w:after="0" w:line="188" w:lineRule="exact"/>
        <w:rPr>
          <w:sz w:val="20"/>
          <w:szCs w:val="20"/>
          <w:color w:val="auto"/>
        </w:rPr>
      </w:pPr>
    </w:p>
    <w:p>
      <w:pPr>
        <w:ind w:right="100" w:firstLine="749"/>
        <w:spacing w:after="0" w:line="223" w:lineRule="exact"/>
        <w:rPr>
          <w:sz w:val="20"/>
          <w:szCs w:val="20"/>
          <w:color w:val="auto"/>
        </w:rPr>
      </w:pPr>
      <w:r>
        <w:rPr>
          <w:rFonts w:ascii="Times New Roman" w:cs="Times New Roman" w:eastAsia="Times New Roman" w:hAnsi="Times New Roman"/>
          <w:sz w:val="18"/>
          <w:szCs w:val="18"/>
          <w:color w:val="auto"/>
        </w:rPr>
        <w:t>As of February 11, 2025, we had 683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employees. None of our employees are represented by a collective bargaining agreement and we have never experienced any work stoppage. We believe that we maintain good relations with our employees. Our employees are highly skilled, and many hold advanced degrees. Many of our employees have experience with drug commercialization or development.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healthcare and insurance benefits, health savings and flexible spending accounts, paid time off, family leave, and flexible work schedules, among other benefits. We may take further actions, in compliance with all appropriate government regulations, that we determine to be in the best interest of our employees.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We were incorporated in Delaware in January 2012. Our offices are located at One World Trade Center 22nd Floor, New York, New York 10007, and our telephone number is (212) 332-3241.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file reports and other information with the SEC, as required by the Exchange Act. We make available free of charge through our website (http://www.axsome.com) our annual reports on Form 10-K, quarterly reports on Form 10-Q, current reports on Form 8-K and amendments to those reports filed or furnished pursuant to Sections 13(a) and 15(d) of the Exchange Act. We make these reports available through our website as soon as reasonably practicable after we electronically file such reports with, or furnish such reports to, the SEC. In addition, we regularly use our website to post information regarding our business, product development programs and governance, and we encourage investors to use our website, particularly the information in the section entitled “Investors,” as a source of information about us. The foregoing references to our website are not intended to, nor shall they be deemed to, incorporate information on our website into this Annual Report on Form 10-K by reference.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The Company is subject to a number of risks that if realized could materially adversely affect its business, results of operations, cash flow, financial condition or prospects. The following is a summary of the principal risk factors facing the Company. The list below is not exhaustive, and the Company faces additional challenges and risks. Investors should carefully consider all of the information set forth in this Annual Report on Form 10-K, including the following risk factors, before deciding to invest in any of the Company’s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risks discussed at length below. These risks include, among others, the following:</w:t>
      </w:r>
    </w:p>
    <w:p>
      <w:pPr>
        <w:spacing w:after="0" w:line="158" w:lineRule="exact"/>
        <w:rPr>
          <w:sz w:val="20"/>
          <w:szCs w:val="20"/>
          <w:color w:val="auto"/>
        </w:rPr>
      </w:pPr>
    </w:p>
    <w:p>
      <w:pPr>
        <w:ind w:left="760" w:right="220" w:hanging="378"/>
        <w:spacing w:after="0" w:line="286" w:lineRule="auto"/>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We have incurred significant losses since our inception, anticipate that we will continue to have losses, and may never achieve or maintain profitability.</w:t>
      </w:r>
    </w:p>
    <w:p>
      <w:pPr>
        <w:spacing w:after="0" w:line="154" w:lineRule="exact"/>
        <w:rPr>
          <w:rFonts w:ascii="Times New Roman" w:cs="Times New Roman" w:eastAsia="Times New Roman" w:hAnsi="Times New Roman"/>
          <w:sz w:val="16"/>
          <w:szCs w:val="16"/>
          <w:color w:val="auto"/>
        </w:rPr>
      </w:pPr>
    </w:p>
    <w:p>
      <w:pPr>
        <w:ind w:left="760" w:right="380" w:hanging="378"/>
        <w:spacing w:after="0" w:line="268" w:lineRule="auto"/>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70" w:lineRule="exact"/>
        <w:rPr>
          <w:rFonts w:ascii="Times New Roman" w:cs="Times New Roman" w:eastAsia="Times New Roman" w:hAnsi="Times New Roman"/>
          <w:sz w:val="16"/>
          <w:szCs w:val="16"/>
          <w:color w:val="auto"/>
        </w:rPr>
      </w:pPr>
    </w:p>
    <w:p>
      <w:pPr>
        <w:ind w:left="760" w:right="40" w:hanging="378"/>
        <w:spacing w:after="0" w:line="268" w:lineRule="auto"/>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70"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We have a limited operating history of commercializing products, which may make it difficult to evaluate our business and prospects.</w:t>
      </w:r>
    </w:p>
    <w:p>
      <w:pPr>
        <w:spacing w:after="0" w:line="225" w:lineRule="exact"/>
        <w:rPr>
          <w:rFonts w:ascii="Times New Roman" w:cs="Times New Roman" w:eastAsia="Times New Roman" w:hAnsi="Times New Roman"/>
          <w:sz w:val="16"/>
          <w:szCs w:val="16"/>
          <w:color w:val="auto"/>
        </w:rPr>
      </w:pPr>
    </w:p>
    <w:p>
      <w:pPr>
        <w:ind w:left="760" w:right="360" w:hanging="378"/>
        <w:spacing w:after="0" w:line="286" w:lineRule="auto"/>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54" w:lineRule="exact"/>
        <w:rPr>
          <w:rFonts w:ascii="Times New Roman" w:cs="Times New Roman" w:eastAsia="Times New Roman" w:hAnsi="Times New Roman"/>
          <w:sz w:val="16"/>
          <w:szCs w:val="16"/>
          <w:color w:val="auto"/>
        </w:rPr>
      </w:pPr>
    </w:p>
    <w:p>
      <w:pPr>
        <w:ind w:left="760" w:right="60" w:hanging="378"/>
        <w:spacing w:after="0" w:line="262" w:lineRule="auto"/>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76" w:lineRule="exact"/>
        <w:rPr>
          <w:rFonts w:ascii="Times New Roman" w:cs="Times New Roman" w:eastAsia="Times New Roman" w:hAnsi="Times New Roman"/>
          <w:sz w:val="16"/>
          <w:szCs w:val="16"/>
          <w:color w:val="auto"/>
        </w:rPr>
      </w:pPr>
    </w:p>
    <w:p>
      <w:pPr>
        <w:ind w:left="760" w:hanging="378"/>
        <w:spacing w:after="0" w:line="262" w:lineRule="auto"/>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176" w:lineRule="exact"/>
        <w:rPr>
          <w:rFonts w:ascii="Times New Roman" w:cs="Times New Roman" w:eastAsia="Times New Roman" w:hAnsi="Times New Roman"/>
          <w:sz w:val="16"/>
          <w:szCs w:val="16"/>
          <w:color w:val="auto"/>
        </w:rPr>
      </w:pPr>
    </w:p>
    <w:p>
      <w:pPr>
        <w:ind w:left="760" w:right="160" w:hanging="378"/>
        <w:spacing w:after="0" w:line="286" w:lineRule="auto"/>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54" w:lineRule="exact"/>
        <w:rPr>
          <w:rFonts w:ascii="Times New Roman" w:cs="Times New Roman" w:eastAsia="Times New Roman" w:hAnsi="Times New Roman"/>
          <w:sz w:val="16"/>
          <w:szCs w:val="16"/>
          <w:color w:val="auto"/>
        </w:rPr>
      </w:pPr>
    </w:p>
    <w:p>
      <w:pPr>
        <w:ind w:left="760" w:right="100" w:hanging="378"/>
        <w:spacing w:after="0" w:line="286" w:lineRule="auto"/>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If we are unable to establish effective marketing, sales and distribution capabilities or enter into agreements with third parties to market, sell and distribute our products, we may be unable to generate substantial product revenues.</w:t>
      </w:r>
    </w:p>
    <w:p>
      <w:pPr>
        <w:spacing w:after="0" w:line="15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If any of our products do not achieve broad market acceptance, we may be unable to generate substantial product revenues.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60" w:right="20" w:hanging="378"/>
        <w:spacing w:after="0" w:line="259" w:lineRule="auto"/>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We rely, and expect to continue to rely, on third parties to perform many essential services for our products and product candidates, including services related to our preclinical studies and clinical trials, warehousing and inventory control, distribution, government price reporting, customer service, and adverse event reporting. If these third parties fail to perform satisfactorily, including by failing to meet deadlines for the completion of our preclinical studies and clinical trials, or fail to comply with legal and regulatory requirements, our ability to commercialize any of our products will be significantly impacted and we may be subject to regulatory sanctions.</w:t>
      </w:r>
    </w:p>
    <w:p>
      <w:pPr>
        <w:spacing w:after="0" w:line="179" w:lineRule="exact"/>
        <w:rPr>
          <w:rFonts w:ascii="Times New Roman" w:cs="Times New Roman" w:eastAsia="Times New Roman" w:hAnsi="Times New Roman"/>
          <w:sz w:val="16"/>
          <w:szCs w:val="16"/>
          <w:color w:val="auto"/>
        </w:rPr>
      </w:pPr>
    </w:p>
    <w:p>
      <w:pPr>
        <w:ind w:left="760" w:right="40" w:hanging="378"/>
        <w:spacing w:after="0" w:line="268" w:lineRule="auto"/>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or fail to generate potential revenues.</w:t>
      </w:r>
    </w:p>
    <w:p>
      <w:pPr>
        <w:spacing w:after="0" w:line="170" w:lineRule="exact"/>
        <w:rPr>
          <w:rFonts w:ascii="Times New Roman" w:cs="Times New Roman" w:eastAsia="Times New Roman" w:hAnsi="Times New Roman"/>
          <w:sz w:val="16"/>
          <w:szCs w:val="16"/>
          <w:color w:val="auto"/>
        </w:rPr>
      </w:pPr>
    </w:p>
    <w:p>
      <w:pPr>
        <w:ind w:left="760" w:right="740" w:hanging="378"/>
        <w:spacing w:after="0" w:line="286" w:lineRule="auto"/>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54" w:lineRule="exact"/>
        <w:rPr>
          <w:rFonts w:ascii="Times New Roman" w:cs="Times New Roman" w:eastAsia="Times New Roman" w:hAnsi="Times New Roman"/>
          <w:sz w:val="16"/>
          <w:szCs w:val="16"/>
          <w:color w:val="auto"/>
        </w:rPr>
      </w:pPr>
    </w:p>
    <w:p>
      <w:pPr>
        <w:ind w:left="760" w:right="40" w:hanging="378"/>
        <w:spacing w:after="0" w:line="268" w:lineRule="auto"/>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70" w:lineRule="exact"/>
        <w:rPr>
          <w:rFonts w:ascii="Times New Roman" w:cs="Times New Roman" w:eastAsia="Times New Roman" w:hAnsi="Times New Roman"/>
          <w:sz w:val="16"/>
          <w:szCs w:val="16"/>
          <w:color w:val="auto"/>
        </w:rPr>
      </w:pPr>
    </w:p>
    <w:p>
      <w:pPr>
        <w:ind w:left="760" w:right="320" w:hanging="378"/>
        <w:spacing w:after="0" w:line="268" w:lineRule="auto"/>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If we fail to comply with federal, state, and foreign healthcare laws, including laws governing fraud and abuse, transparency, health and other data protection, information privacy and security, we could face substantial penalties and liabilities, and our business, financial condition, results of operations, and prospects could be adversely affected.</w:t>
      </w:r>
    </w:p>
    <w:p>
      <w:pPr>
        <w:spacing w:after="0" w:line="170" w:lineRule="exact"/>
        <w:rPr>
          <w:rFonts w:ascii="Times New Roman" w:cs="Times New Roman" w:eastAsia="Times New Roman" w:hAnsi="Times New Roman"/>
          <w:sz w:val="16"/>
          <w:szCs w:val="16"/>
          <w:color w:val="auto"/>
        </w:rPr>
      </w:pPr>
    </w:p>
    <w:p>
      <w:pPr>
        <w:ind w:left="760" w:right="40" w:hanging="378"/>
        <w:spacing w:after="0" w:line="268" w:lineRule="auto"/>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If the government or third-party payors fail to provide adequate coverage and payment rates for any of our products, or if such payors and health care providers including health maintenance organizations (HMOs) and long-term care facilities choose to use therapies that are less expensive, our revenue and prospects for profitability may be limited.</w:t>
      </w:r>
    </w:p>
    <w:p>
      <w:pPr>
        <w:spacing w:after="0" w:line="170" w:lineRule="exact"/>
        <w:rPr>
          <w:rFonts w:ascii="Times New Roman" w:cs="Times New Roman" w:eastAsia="Times New Roman" w:hAnsi="Times New Roman"/>
          <w:sz w:val="16"/>
          <w:szCs w:val="16"/>
          <w:color w:val="auto"/>
        </w:rPr>
      </w:pPr>
    </w:p>
    <w:p>
      <w:pPr>
        <w:jc w:val="both"/>
        <w:ind w:left="760" w:right="120" w:hanging="378"/>
        <w:spacing w:after="0" w:line="268" w:lineRule="auto"/>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70" w:lineRule="exact"/>
        <w:rPr>
          <w:rFonts w:ascii="Times New Roman" w:cs="Times New Roman" w:eastAsia="Times New Roman" w:hAnsi="Times New Roman"/>
          <w:sz w:val="16"/>
          <w:szCs w:val="16"/>
          <w:color w:val="auto"/>
        </w:rPr>
      </w:pPr>
    </w:p>
    <w:p>
      <w:pPr>
        <w:ind w:left="760" w:hanging="378"/>
        <w:spacing w:after="0" w:line="268" w:lineRule="auto"/>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70" w:lineRule="exact"/>
        <w:rPr>
          <w:rFonts w:ascii="Times New Roman" w:cs="Times New Roman" w:eastAsia="Times New Roman" w:hAnsi="Times New Roman"/>
          <w:sz w:val="16"/>
          <w:szCs w:val="16"/>
          <w:color w:val="auto"/>
        </w:rPr>
      </w:pPr>
    </w:p>
    <w:p>
      <w:pPr>
        <w:ind w:left="760" w:right="400" w:hanging="378"/>
        <w:spacing w:after="0" w:line="286" w:lineRule="auto"/>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may be able to exert significant control over matters subject to stockholder approval.</w:t>
      </w:r>
    </w:p>
    <w:p>
      <w:pPr>
        <w:spacing w:after="0" w:line="15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The use of our net operating loss carryforwards and research tax credits may be limited.</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significant losses since our inception, anticipate that we will continue to have losses, and may never achieve or maintain profitability.</w:t>
      </w:r>
    </w:p>
    <w:p>
      <w:pPr>
        <w:spacing w:after="0" w:line="241"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8"/>
          <w:szCs w:val="18"/>
          <w:color w:val="auto"/>
        </w:rPr>
        <w:t>We are a biopharmaceutical company with a limited operating history. Since inception, we have incurred significant operating losses. Our net loss was $287.2 million for the year ended December 31, 2024. As of December 31, 2024, we had an accumulated deficit of $1,122.8 million. In 2022, we commenced the commercial sale of Auvelity in the United States and Sunosi in the United States and select global markets. In January 2025, Symbravo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was approved by the FDA for the acute treatment of migraine with or without aura in adults. Apart from Auvelity, Sunosi, and Symbravo, we have no other products which have received regulatory approval.</w:t>
      </w:r>
    </w:p>
    <w:p>
      <w:pPr>
        <w:spacing w:after="0" w:line="196"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We expect to continue to incur substantial expenses and operating losses, as we continue to develop our current and future product candidates. In addition, we expect to incur significant sales, marketing, and manufacturing expenses related to the commercialization of Auvelity, Sunosi, Symbravo, and any other product candidate which the FDA may approve or which we may in-license. We anticipate that our expenses will increase substantially as we:</w:t>
      </w:r>
    </w:p>
    <w:p>
      <w:pPr>
        <w:spacing w:after="0" w:line="176"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seek regulatory approval for additional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hire additional commercial, clinical, medical, quality, regulatory, and scientific personnel;</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add operational, financial, and management information systems and personnel;</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expand our sales, marketing, and distribution infrastructure;</w:t>
      </w:r>
    </w:p>
    <w:p>
      <w:pPr>
        <w:spacing w:after="0" w:line="225" w:lineRule="exact"/>
        <w:rPr>
          <w:rFonts w:ascii="Times New Roman" w:cs="Times New Roman" w:eastAsia="Times New Roman" w:hAnsi="Times New Roman"/>
          <w:sz w:val="16"/>
          <w:szCs w:val="16"/>
          <w:color w:val="auto"/>
        </w:rPr>
      </w:pPr>
    </w:p>
    <w:p>
      <w:pPr>
        <w:ind w:left="760" w:right="580" w:hanging="378"/>
        <w:spacing w:after="0" w:line="282" w:lineRule="auto"/>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expand external manufacturing capabilities and production to commercialize any additional products for which we may obtain regulatory approval and that we choose not to license to a third party;</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undertake additional manufacturing activities of our product candidates to satisfy FDA requirements for marketing application submissions;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continue to evaluate, plan for, and conduct clinical trials for AXS-05 as an aid to smoking cessation treatment and other CNS disorders;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continue to evaluate, plan for, and conduct clinical trials for solriamfetol in additional indications;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continue to evaluate, plan for, and potentially submit NDAs for other pipeline products;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continue to expand commercial sales of Auvelity and Sunosi;</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commercially launch Symbravo;</w:t>
      </w:r>
    </w:p>
    <w:p>
      <w:pPr>
        <w:spacing w:after="0" w:line="184" w:lineRule="exact"/>
        <w:rPr>
          <w:rFonts w:ascii="Times New Roman" w:cs="Times New Roman" w:eastAsia="Times New Roman" w:hAnsi="Times New Roman"/>
          <w:sz w:val="16"/>
          <w:szCs w:val="16"/>
          <w:color w:val="auto"/>
        </w:rPr>
      </w:pPr>
    </w:p>
    <w:p>
      <w:pPr>
        <w:ind w:left="760" w:hanging="378"/>
        <w:spacing w:after="0" w:line="207" w:lineRule="exact"/>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develop,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or acquire additional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line="207" w:lineRule="exact"/>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conduct late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for any product candidates that successfully complete early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w:t>
      </w:r>
    </w:p>
    <w:p>
      <w:pPr>
        <w:spacing w:after="0" w:line="225" w:lineRule="exact"/>
        <w:rPr>
          <w:rFonts w:ascii="Times New Roman" w:cs="Times New Roman" w:eastAsia="Times New Roman" w:hAnsi="Times New Roman"/>
          <w:sz w:val="16"/>
          <w:szCs w:val="16"/>
          <w:color w:val="auto"/>
        </w:rPr>
      </w:pPr>
    </w:p>
    <w:p>
      <w:pPr>
        <w:ind w:left="760" w:hanging="378"/>
        <w:spacing w:after="0" w:line="207" w:lineRule="exact"/>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conduct additional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with any product candidates; and</w:t>
      </w:r>
    </w:p>
    <w:p>
      <w:pPr>
        <w:spacing w:after="0" w:line="26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(or in-licensing) and commercializing products that generate significant revenue. This will require us to be successful in a range of challenging activities, which may include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with respect to certain products and product candidates. We may never succeed in some of these activities and, even if we do, may never achieve profitability.</w:t>
      </w:r>
    </w:p>
    <w:p>
      <w:pPr>
        <w:spacing w:after="0" w:line="18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80"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continue the commercialization of our products, or even continue our operations. A decline in the value of our company could also cause you to lose all or part of your investment.</w:t>
      </w:r>
    </w:p>
    <w:p>
      <w:pPr>
        <w:spacing w:after="0" w:line="176"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75" w:lineRule="exact"/>
        <w:rPr>
          <w:sz w:val="20"/>
          <w:szCs w:val="20"/>
          <w:color w:val="auto"/>
        </w:rPr>
      </w:pPr>
    </w:p>
    <w:p>
      <w:pPr>
        <w:ind w:right="180" w:firstLine="749"/>
        <w:spacing w:after="0" w:line="222" w:lineRule="exact"/>
        <w:rPr>
          <w:sz w:val="20"/>
          <w:szCs w:val="20"/>
          <w:color w:val="auto"/>
        </w:rPr>
      </w:pPr>
      <w:r>
        <w:rPr>
          <w:rFonts w:ascii="Times New Roman" w:cs="Times New Roman" w:eastAsia="Times New Roman" w:hAnsi="Times New Roman"/>
          <w:sz w:val="18"/>
          <w:szCs w:val="18"/>
          <w:color w:val="auto"/>
        </w:rPr>
        <w:t>Conducting clinical trials, pursuing regulatory approvals, establishing outsourced manufacturing relationships, and successfully manufacturing and commercializing our product candidates is a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expensive, and uncertain process that takes years to complete. We may need to raise additional capital to:</w:t>
      </w:r>
    </w:p>
    <w:p>
      <w:pPr>
        <w:spacing w:after="0" w:line="199" w:lineRule="exact"/>
        <w:rPr>
          <w:sz w:val="20"/>
          <w:szCs w:val="20"/>
          <w:color w:val="auto"/>
        </w:rPr>
      </w:pPr>
    </w:p>
    <w:p>
      <w:pPr>
        <w:ind w:left="760" w:right="180" w:hanging="378"/>
        <w:spacing w:after="0" w:line="282" w:lineRule="auto"/>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fund our future clinical trials for our current product candidates, especially if we encounter any unforeseen delays or difficulties in our planned development activities;</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fund our operations and continue to commercialize our products;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qualify and outsource the commercial scale manufacturing of our products under cGMP;</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develop additional product candidates; and</w:t>
      </w:r>
    </w:p>
    <w:p>
      <w:pPr>
        <w:spacing w:after="0" w:line="184" w:lineRule="exact"/>
        <w:rPr>
          <w:rFonts w:ascii="Times New Roman" w:cs="Times New Roman" w:eastAsia="Times New Roman" w:hAnsi="Times New Roman"/>
          <w:sz w:val="16"/>
          <w:szCs w:val="16"/>
          <w:color w:val="auto"/>
        </w:rPr>
      </w:pPr>
    </w:p>
    <w:p>
      <w:pPr>
        <w:ind w:left="760" w:hanging="378"/>
        <w:spacing w:after="0" w:line="207" w:lineRule="exact"/>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other product candidates.</w:t>
      </w:r>
    </w:p>
    <w:p>
      <w:pPr>
        <w:spacing w:after="0" w:line="266" w:lineRule="exact"/>
        <w:rPr>
          <w:sz w:val="20"/>
          <w:szCs w:val="20"/>
          <w:color w:val="auto"/>
        </w:rPr>
      </w:pPr>
    </w:p>
    <w:p>
      <w:pPr>
        <w:ind w:right="280" w:firstLine="749"/>
        <w:spacing w:after="0" w:line="289" w:lineRule="auto"/>
        <w:rPr>
          <w:sz w:val="20"/>
          <w:szCs w:val="20"/>
          <w:color w:val="auto"/>
        </w:rPr>
      </w:pPr>
      <w:r>
        <w:rPr>
          <w:rFonts w:ascii="Times New Roman" w:cs="Times New Roman" w:eastAsia="Times New Roman" w:hAnsi="Times New Roman"/>
          <w:sz w:val="17"/>
          <w:szCs w:val="17"/>
          <w:color w:val="auto"/>
        </w:rPr>
        <w:t>We believe that our current cash is sufficient to fund anticipated operations into cash flow positivity, based on the current operating plan. Our assumptions may prove to be wrong, and we could spend our available financial resources faster than we currently expect. Further, we may not have sufficient financial resources to meet all of our objectives. Our future funding requirements will depend on many factors, including, but not limited to:</w:t>
      </w:r>
    </w:p>
    <w:p>
      <w:pPr>
        <w:spacing w:after="0" w:line="158" w:lineRule="exact"/>
        <w:rPr>
          <w:sz w:val="20"/>
          <w:szCs w:val="20"/>
          <w:color w:val="auto"/>
        </w:rPr>
      </w:pPr>
    </w:p>
    <w:p>
      <w:pPr>
        <w:ind w:left="760" w:right="620" w:hanging="378"/>
        <w:spacing w:after="0" w:line="282" w:lineRule="auto"/>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rate of progress and costs related to the development of our product candidates, including the costs of preparing filings for regulatory approval;</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associated with conducting additional clinical and non-clinical studies with any of our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potential for delays in our efforts to seek regulatory approval for our product candidates, and any costs associated with such delays;</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associated with selling, marketing, and distributing our approved products;</w:t>
      </w:r>
    </w:p>
    <w:p>
      <w:pPr>
        <w:spacing w:after="0" w:line="225" w:lineRule="exact"/>
        <w:rPr>
          <w:rFonts w:ascii="Times New Roman" w:cs="Times New Roman" w:eastAsia="Times New Roman" w:hAnsi="Times New Roman"/>
          <w:sz w:val="16"/>
          <w:szCs w:val="16"/>
          <w:color w:val="auto"/>
        </w:rPr>
      </w:pPr>
    </w:p>
    <w:p>
      <w:pPr>
        <w:ind w:left="760" w:right="400" w:hanging="378"/>
        <w:spacing w:after="0" w:line="282" w:lineRule="auto"/>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 associated with our product candidates;</w:t>
      </w:r>
    </w:p>
    <w:p>
      <w:pPr>
        <w:spacing w:after="0" w:line="161" w:lineRule="exact"/>
        <w:rPr>
          <w:rFonts w:ascii="Times New Roman" w:cs="Times New Roman" w:eastAsia="Times New Roman" w:hAnsi="Times New Roman"/>
          <w:sz w:val="16"/>
          <w:szCs w:val="16"/>
          <w:color w:val="auto"/>
        </w:rPr>
      </w:pPr>
    </w:p>
    <w:p>
      <w:pPr>
        <w:ind w:left="760" w:right="600" w:hanging="378"/>
        <w:spacing w:after="0" w:line="282" w:lineRule="auto"/>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 and timing of manufacturing, or having third parties manufacture, sufficient supplies of our product candidates in preparation for commercialization;</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revenues from commercial sales of our approved products;</w:t>
      </w:r>
    </w:p>
    <w:p>
      <w:pPr>
        <w:spacing w:after="0" w:line="184" w:lineRule="exact"/>
        <w:rPr>
          <w:rFonts w:ascii="Times New Roman" w:cs="Times New Roman" w:eastAsia="Times New Roman" w:hAnsi="Times New Roman"/>
          <w:sz w:val="16"/>
          <w:szCs w:val="16"/>
          <w:color w:val="auto"/>
        </w:rPr>
      </w:pPr>
    </w:p>
    <w:p>
      <w:pPr>
        <w:ind w:left="760" w:hanging="378"/>
        <w:spacing w:after="0" w:line="207" w:lineRule="exact"/>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terms and timing of any collaborative, licensing,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promotion, or other arrangements that we may establish; and</w:t>
      </w:r>
    </w:p>
    <w:p>
      <w:pPr>
        <w:spacing w:after="0" w:line="26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success of the commercialization of any of our current products and, if approved, any of our product candidates.</w:t>
      </w:r>
    </w:p>
    <w:p>
      <w:pPr>
        <w:spacing w:after="0" w:line="225"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Future capital requirements will also depend on the extent to which we acquire or invest in additional businesses, products, and technologies. Until we can generate a sufficient amount of product revenue, if ever, we may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7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75"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September 2020, we entered into a Loan and Security Agreement, or the Loan Agreement, for a term loan, which we refer to as the 2020 Term Loan, with Hercules Capital, Inc., or Hercules, in its capacity as administrative agent and collateral agent and as a lender, and the other financial institutions that from time to time become parties to the Loan Agreement, collectively referred to as the Lenders, secured by a lien on substantially all of our assets, including intellectual property. In October 2021, we entered into a First Amendment to the Loan Agreement to, among other things, increase the size of the 2020 Term Loan. In March 2022, we entered into a Second Amendment to the Loan Agreement that, among other things, changed the terms of the Term Loan Advances (as defined in the Loan Agreement) upon the consummation of the Acquisition (as defined in the Loan Agreement). In January 2023, we entered into the Third Amendment, which amended the terms of the Loan Agreement to, among other things, increase the size of the aggregate principal amount under the 2020 Term Loan from $300.0 million to $350.0 million, reduce the interest rate, and extend the maturity and interest-only period of the Loan Agreement. In May 2023, we entered into the Fourth Amendment, which increased the amount of cash that could be held by the Malta Subsidiary outside of the United States and waived any purported default with respect to the amount of cash held by the Malta Subsidiary prior to the date of the Fourth Amendment. In August 2023, Hercules granted Axsome a waiver to the Fourth Amendment, increasing the amount of cash that could be held by the Malta Subsidiary outside of the United States until December 31, 2023. In September 30, 2024, we entered into the Fifth Amendment, which amended the terms of the Loan Agreement to, among other things: (i) increase the size of the aggregate principal amount under tranche 3 of the 2020 Term Loan from $75.0 to $80.0 million; (ii) extend the availability periods of certain tranches of the 2020 Term Loan; (iii) alter the terms of the performance covenants contained in the Loan Agreement and also add a new performance covenant; (iv) conditionally waive the minimum cash requirement during such periods of time that Axsome’s market capitalization exceeds $1.5 billion; and (v) permit the Malta Subsidiary to request an advance from the Lenders up to a certain amount to the extent that Axsome may request an advance in such amount and to increase the amount of cash that the Malta Subsidiary may hold outside of the United States, as set forth in greater detail in the Fifth Amendment.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Loan Agreement contains various covenants that limit our ability to engage in specified types of transactions. These covenants limit our ability to, among other things, sell, transfer, lease or dispose of certain assets; incur indebtedness; encumber or permit liens on certain assets; make certain investments; make certain restricted payments, including paying dividends on, or repurchasing or making distributions with respect to, our common stock; and enter into certain transactions with affiliates. Our business may be adversely affected by these restrictions on our ability to operate our business.</w:t>
      </w:r>
    </w:p>
    <w:p>
      <w:pPr>
        <w:spacing w:after="0" w:line="180"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The covenants under the Loan Agreement also require maintaining a minimum amount of cash in an account or accounts in which the Lenders have a first priority security interest.</w:t>
      </w:r>
    </w:p>
    <w:p>
      <w:pPr>
        <w:spacing w:after="0" w:line="16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A breach of any of the covenants under the Loan Agreement could result in a default under the 2020 Term Loan. Upon the occurrence of an event of default under the 2020 Term Loan,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it to secure such indebtedness.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of commercializing products, which may make it difficult to evaluate our business and prospects.</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We are a commercial-stage company. Prior to our commercialization of Auvelity and Sunosi in 2022, and the recent approval of Symbravo, we had not obtained marketing approvals for any product candidates, manufactured products on a commercial scale or arranged for a third party to do so on our behalf, or conducted sales and marketing activities necessary for successful commercialization. Consequently, predictions about our future success or viability may not be as accurate as they would be if we had a longer history of successfully developing and commercializing products.</w:t>
      </w:r>
    </w:p>
    <w:p>
      <w:pPr>
        <w:spacing w:after="0" w:line="18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from quarter to quarter and year to year due to a variety of factors, many of which are beyond our control. We have transitioned from a company with solely a research and development focus to a company also capable of undertaking commercial activities. We may continue to encounter unforeseen expenses, difficulties, complications and delays, and this may not be a successful transition.</w:t>
      </w:r>
    </w:p>
    <w:p>
      <w:pPr>
        <w:spacing w:after="0" w:line="176"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ongoing military conflicts between Russia and Ukraine and between Israel and Hamas, Hezbollah, and the Houthis, and record inflation. Our business, financial condition, and results of operations could be materially adversely affected by any negative impact on the global economy and capital markets resulting from the conflicts in Ukraine and the Middle East, geopolitical tensions, or record inflation.</w:t>
      </w:r>
    </w:p>
    <w:p>
      <w:pPr>
        <w:spacing w:after="0" w:line="18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w:t>
      </w:r>
    </w:p>
    <w:p>
      <w:pPr>
        <w:spacing w:after="0" w:line="183"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Additionally, the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addition, on October 7, 2023, Hamas militants and members of other terrorist organizations infiltrated Israel’s southern border from the Gaza Strip and conducted a series of terror attacks on civilian and military targets. Shortly following the attack, Israel’s security cabinet declared war against Hamas, and Israel launched an aerial bombardment of various targets within the Gaza Strip and then also began ground operations in the Gaza Strip, which remain ongoing. Other terrorist and/or regional organizations have joined the hostilities as well, including Hezbollah in Lebanon, and the Houthis in Yemen, and it is possible that other countries in the Middle East, including Iran, will become further involved in hostilities with Israel, resulting in a further widening of the conflict. The intensity and duration of Israel’s current wars are difficult to predict as are such wars’ implications for the global economy.</w:t>
      </w:r>
    </w:p>
    <w:p>
      <w:pPr>
        <w:spacing w:after="0" w:line="187"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Although our business has not been materially impacted by these geopolitical issues, or the U.S. domestic political climate, to date, it is impossible to predict the extent to which our operations, or those of our suppliers and manufacturers, will be impacted in the short and long term, or the ways in which conflicts may impact our business. The extent and duration of military action, sanctions, and resulting market disruptions are impossible to predict, but could be substantial. Any such disruptions may also magnify the impact of other risks described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uncertainty may have an adverse impact on our operating performance and results of operations.</w:t>
      </w:r>
    </w:p>
    <w:p>
      <w:pPr>
        <w:spacing w:after="0" w:line="229"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General political uncertainty may have an adverse impact on our operating performance and results of operations. In particular, the U.S. continues to experience significant political events that cast uncertainty on global financial and economic markets, especially following the recent presidential election. It is presently unclear exactly what actions the second Trump administration in the U.S. will implement, and if implemented, how these actions may impact the biopharmaceutical industry in the U.S. Any actions taken by the Trump administration, including the many recent executive orders, may have a negative impact on the U.S. economy and on our business, financial condition, and results of operations.</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negatively affect our business, results of operations, cash flows and prospects.</w:t>
      </w:r>
    </w:p>
    <w:p>
      <w:pPr>
        <w:spacing w:after="0" w:line="15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its supply chain, which may result in increased costs.</w:t>
      </w:r>
    </w:p>
    <w:p>
      <w:pPr>
        <w:spacing w:after="0" w:line="18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THE DEVELOPMENT OF OUR PRODUCT CANDIDATES</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59"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We currently have three products approved for commercial distribution. We have invested a significant portion of our efforts and financial resources in the development of our product candidates. Our business, including our ability to generate revenue, depends entirely on the successful commercialization of Auvelity, Sunosi, and Symbravo, and the successful development and commercialization of our product candidates and/or future in-licensing activities, which may never occur. Furthermore, given the nature of our business, the biopharmaceutical industry in general and the uncertainty and costs associated with developing and commercializing our products within a complicated and costly regulatory regime, our goals, plans and assumptions with respect to our products may evolve or change. For example, we may not continue to emphasize, focus our research and development efforts on or direct resources to certain of our product candidates, and we may shift our focus and resources to our other current or future products. Any such change in our business strategy could harm our business, cause uncertainty or confusion in the marketplace or harm the clinical prospects of our products.</w:t>
      </w:r>
    </w:p>
    <w:p>
      <w:pPr>
        <w:spacing w:after="0" w:line="188"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Our product candidates will require additional clinical and non-clinical development, regulatory approval, commercial manufacturing arrangements, significant marketing efforts, and further investment before we generate any revenues from the sale of such product candidates. Multiple clinical trials are ongoing. As a result of one or more risks discussed in this section, we cannot assure you that we will meet projected timelines related to these trials.</w:t>
      </w:r>
    </w:p>
    <w:p>
      <w:pPr>
        <w:spacing w:after="0" w:line="180" w:lineRule="exact"/>
        <w:rPr>
          <w:sz w:val="20"/>
          <w:szCs w:val="20"/>
          <w:color w:val="auto"/>
        </w:rPr>
      </w:pPr>
    </w:p>
    <w:p>
      <w:pPr>
        <w:ind w:right="200" w:firstLine="749"/>
        <w:spacing w:after="0" w:line="254" w:lineRule="auto"/>
        <w:rPr>
          <w:sz w:val="20"/>
          <w:szCs w:val="20"/>
          <w:color w:val="auto"/>
        </w:rPr>
      </w:pPr>
      <w:r>
        <w:rPr>
          <w:rFonts w:ascii="Times New Roman" w:cs="Times New Roman" w:eastAsia="Times New Roman" w:hAnsi="Times New Roman"/>
          <w:sz w:val="18"/>
          <w:szCs w:val="18"/>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188"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Although we submitted NDAs to the FDA for Auvelity (which was approved) and for Symbravo for the acute treatment of migraines (which received a CRL and has now been approved), we have not otherwise submitted an NDA to the FDA, or similar drug approval filings to comparable foreign authorities, for any product candidate, and we cannot be certain that our current or future product candidates will be successful in clinical trials or receive regulatory approval.</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We conducted one interim analysis for the Phase 2/3 trial of AXS-05 in TRD and one interim analysis for the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If approved for marketing by applicable regulatory authorities, our ability to generate revenues from our product candidates depend on our ability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7" w:lineRule="exact"/>
        <w:rPr>
          <w:sz w:val="20"/>
          <w:szCs w:val="20"/>
          <w:color w:val="auto"/>
        </w:rPr>
      </w:pPr>
    </w:p>
    <w:p>
      <w:pPr>
        <w:ind w:left="760" w:right="220" w:hanging="378"/>
        <w:spacing w:after="0" w:line="282" w:lineRule="auto"/>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create market demand for our product candidates through our own marketing and sales activities, and any other arrangements to promote these product candidates that we may otherwise establish;</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receive regulatory approval for claims that are necessary or desirable for successful marketing;</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hire, train, and deploy a sales force to commercialize our product candidates;</w:t>
      </w:r>
    </w:p>
    <w:p>
      <w:pPr>
        <w:spacing w:after="0" w:line="225" w:lineRule="exact"/>
        <w:rPr>
          <w:rFonts w:ascii="Times New Roman" w:cs="Times New Roman" w:eastAsia="Times New Roman" w:hAnsi="Times New Roman"/>
          <w:sz w:val="16"/>
          <w:szCs w:val="16"/>
          <w:color w:val="auto"/>
        </w:rPr>
      </w:pPr>
    </w:p>
    <w:p>
      <w:pPr>
        <w:ind w:left="760" w:right="160" w:hanging="378"/>
        <w:spacing w:after="0" w:line="282" w:lineRule="auto"/>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manufacture (or have manufactured by third parties) our product candidates in sufficient quantities and at acceptable quality and manufacturing cost to meet commercial demand at launch and thereafter;</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establish and maintain agreements with wholesalers, distributors, and group purchasing organizations on commercially reasonable terms;</w:t>
      </w:r>
    </w:p>
    <w:p>
      <w:pPr>
        <w:spacing w:after="0" w:line="225" w:lineRule="exact"/>
        <w:rPr>
          <w:rFonts w:ascii="Times New Roman" w:cs="Times New Roman" w:eastAsia="Times New Roman" w:hAnsi="Times New Roman"/>
          <w:sz w:val="16"/>
          <w:szCs w:val="16"/>
          <w:color w:val="auto"/>
        </w:rPr>
      </w:pPr>
    </w:p>
    <w:p>
      <w:pPr>
        <w:ind w:left="760" w:right="600" w:hanging="378"/>
        <w:spacing w:after="0" w:line="282" w:lineRule="auto"/>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create partnerships with, or offer licenses to, third parties to promote and sell our product candidates in foreign markets where we receive marketing approval;</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maintain patent and trade secret protection and regulatory exclusivity for our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launch commercial sales of our product candidates, whether alone or in collaboration with others;</w:t>
      </w:r>
    </w:p>
    <w:p>
      <w:pPr>
        <w:spacing w:after="0" w:line="184" w:lineRule="exact"/>
        <w:rPr>
          <w:rFonts w:ascii="Times New Roman" w:cs="Times New Roman" w:eastAsia="Times New Roman" w:hAnsi="Times New Roman"/>
          <w:sz w:val="16"/>
          <w:szCs w:val="16"/>
          <w:color w:val="auto"/>
        </w:rPr>
      </w:pPr>
    </w:p>
    <w:p>
      <w:pPr>
        <w:ind w:left="760" w:hanging="378"/>
        <w:spacing w:after="0" w:line="207" w:lineRule="exact"/>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achieve market acceptance of our product candidates by patients, the medical community, and government and private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w:t>
      </w:r>
    </w:p>
    <w:p>
      <w:pPr>
        <w:spacing w:after="0" w:line="26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achieve appropriate reimbursement for our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effectively compete with other therapies; and</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maintain a continued acceptable safety profile of our product candidates following launch.</w:t>
      </w:r>
    </w:p>
    <w:p>
      <w:pPr>
        <w:spacing w:after="0" w:line="22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59"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In 2012, we entered into three exclusive license agreements with Antecip, an entity owned by our Chief Executive Officer and Chairman of the Board, Herriot Tabuteau, M.D., in which we were granted exclusive licenses to develop, manufacture, and commercialize Antecip’s patents and applications related to the development of certain of the Company’s then current product candidates. The patents licensed from Antecip include certain intellectual property pertaining to the Company’s Auvelity product / AXS-05 portfolio product.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solriamfetol for additional indications, AXS-05 for the treatment of agitation associated with AD and smoking cessation, AXS-12 for the treatment of narcolepsy, and AXS-14 for the treatment of fibromyalgia. As a result, we may forego or delay pursuit of opportunities with other product candidates or for other indications that may prove to have greater commercial potential. Additionally, as more fully described in “Business—Material License Agreements,” we are required to pay to an entity owned by our Chief Executive Officer and Chairman of the Board certain royalty payments related to the sales of the Company’s Auvelity product / AXS-05 portfolio product, as well as two product candidates that are not currently in active development. This may influence management’s decision concerning which product candidates or indications to pursue and/or the manner in which our products are commercialized.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59"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A component of our business strategy is to continue to develop a pipeline of product candidates by developing products that we believe are a strategic fit with our focus on CNS therapies. However, these business activities may entail numerous operational and financial risks, including:</w:t>
      </w:r>
    </w:p>
    <w:p>
      <w:pPr>
        <w:spacing w:after="0" w:line="162"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difficulty or inability to secure financing to fund business activities for such development;</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disruption of our business and diversion of our management’s time and attention;</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higher than expected development costs;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exposure to unknown liabilities;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difficulty in managing multiple product development programs; and</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inability to successfully develop new products or clinical failure.</w:t>
      </w:r>
    </w:p>
    <w:p>
      <w:pPr>
        <w:spacing w:after="0" w:line="225"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For instance, our prior efforts have resulted in our decision not to further develop certain product candidates that, at one time, appeared to be promising. Likewise, we received a CRL from the FDA relating to the Company’s Symbravo product in 2022 (we have since obtained approval for Symbravo). Moreover, we may devote resources to potential development that are never completed, or we may fail to realize the anticipated benefits of such efforts. If we do not successfully develop and commercialize product candidates, we may not be able to obtain revenues from such product candidates in future periods.</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75"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marketing approval from the FDA. In the EU, we are not permitted to commercialize, market, promote, or sell any product candidate without obtaining marketing approval from the EC or national competent authorities at the EU member state level.</w:t>
      </w:r>
    </w:p>
    <w:p>
      <w:pPr>
        <w:spacing w:after="0" w:line="176" w:lineRule="exact"/>
        <w:rPr>
          <w:sz w:val="20"/>
          <w:szCs w:val="20"/>
          <w:color w:val="auto"/>
        </w:rPr>
      </w:pPr>
    </w:p>
    <w:p>
      <w:pPr>
        <w:jc w:val="both"/>
        <w:ind w:right="140" w:firstLine="749"/>
        <w:spacing w:after="0" w:line="258" w:lineRule="auto"/>
        <w:rPr>
          <w:sz w:val="20"/>
          <w:szCs w:val="20"/>
          <w:color w:val="auto"/>
        </w:rPr>
      </w:pPr>
      <w:r>
        <w:rPr>
          <w:rFonts w:ascii="Times New Roman" w:cs="Times New Roman" w:eastAsia="Times New Roman" w:hAnsi="Times New Roman"/>
          <w:sz w:val="18"/>
          <w:szCs w:val="18"/>
          <w:color w:val="auto"/>
        </w:rPr>
        <w:t>In the United States, we currently plan to, at least initially, seek approval of some of our product candidates using the 505(b)(2) pathway. These 505(b)(2) product candidates include additional indications for AXS-05. The FDA interprets Section 505(b)(2) of the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83" w:lineRule="exact"/>
        <w:rPr>
          <w:sz w:val="20"/>
          <w:szCs w:val="20"/>
          <w:color w:val="auto"/>
        </w:rPr>
      </w:pPr>
    </w:p>
    <w:p>
      <w:pPr>
        <w:ind w:right="20" w:firstLine="749"/>
        <w:spacing w:after="0" w:line="226" w:lineRule="exact"/>
        <w:rPr>
          <w:sz w:val="20"/>
          <w:szCs w:val="20"/>
          <w:color w:val="auto"/>
        </w:rPr>
      </w:pPr>
      <w:r>
        <w:rPr>
          <w:rFonts w:ascii="Times New Roman" w:cs="Times New Roman" w:eastAsia="Times New Roman" w:hAnsi="Times New Roman"/>
          <w:sz w:val="18"/>
          <w:szCs w:val="18"/>
          <w:color w:val="auto"/>
        </w:rPr>
        <w:t>Under the 505(b)(2) pathway, the FDA may approve our product candidates for all or some of the label indications for which the referenced product has been approved, as well as for any new indication sought pursuant to the 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warnings. For instance, antidepressants, including Auvelity, include a class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black box warning regarding the increased risk of suicidal thoughts and behavior.</w:t>
      </w:r>
    </w:p>
    <w:p>
      <w:pPr>
        <w:spacing w:after="0" w:line="171"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addition, because we plan to file certain product candidates under an NDA submitted pursuant to 505(b)(2), we will rely, at least in part, upon a reference drug and published literature. For example, we have and/or intend to rely on third-party studies in the published literature as well as FDA findings of safety and efficacy for approved drug products containing the same active molecules in AXS-05. If the FDA disagrees with our conclusions regarding the appropriateness of our reliance on a reference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 consuming 505(b)(1) approval process, which consists of full reports of investigations of safety and effectiveness conducted by or for the applicant. In addition, because we have submitted NDAs for AXS-05 and AXS-07 pursuant to the 505(b)(2) process, we have not conducted certain additional clinical trials for these product candidates and, as such, we will have less experience with actual testing of these product candidates.</w:t>
      </w:r>
    </w:p>
    <w:p>
      <w:pPr>
        <w:spacing w:after="0" w:line="188"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ANDA, for a generic version of the approved product. We may, however, not be able to immediately submit an ANDA or have an ANDA approval made effective, as we could be blocked by others’ periods of patent and regulatory exclusivity protection.</w:t>
      </w:r>
    </w:p>
    <w:p>
      <w:pPr>
        <w:spacing w:after="0" w:line="183"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timelines and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75"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The timeline for review and time required to obtain approval by the FDA and comparable foreign authorities is unpredictable but typically takes many years following the commencement of clinical trials and depends upon numerous factors, including the substantial discretion of the regulatory authorities and the availability and prioritization of regulatory agency resources. The timeline for regulatory approval can be affected by a variety of factors, including budget and funding levels, agency staffing, and statutory, regulatory, and policy changes. In addition, approval policies, regulations, or the type and amount of clinical data necessary to gain approval may change during the course of a product candidate’s clinical development, vary among jurisdictions, and/or require us to amend our clinical trial protocols or conduct additional studies that require regulatory or IRB approval, or otherwise cause delays in the approval or rejection of an application. To date, we have submitted two NDAs to the FDA and have obtained regulatory approval for both of our product candidates, Auvelity and Symbravo. It is possible that none of our other existing product candidates, or any product candidates we may seek to develop in the future, will ever obtain regulatory approval. Any delay in obtaining or failure to obtain required approvals or uncertainty in the timing of regulatory action could materially adversely impact our development efforts and affect our ability or that of any of our collaborators to generate revenue from the particular product candidate, which likely would result in significant harm to our financial position and adversely impact our stock price.</w:t>
      </w:r>
    </w:p>
    <w:p>
      <w:pPr>
        <w:spacing w:after="0" w:line="19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products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and/or national competent authorities in Europe, and similar regulatory authorities outside the United States and Europe. Failure to obtain marketing approval for a product candidate will prevent us from commercializing the product candidate. We have limited experience in filing and supporting the applications necessary to gain marketing approvals and rely on third 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spacing w:after="0" w:line="188"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198"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We may also experience numerous unforeseen events during, or as a result of, clinical trials and in the course of our preparation, submission, and review of NDA filings that could delay or prevent our ability to receive marketing approval or commercialize our product candidates, including:</w:t>
      </w:r>
    </w:p>
    <w:p>
      <w:pPr>
        <w:spacing w:after="0" w:line="162" w:lineRule="exact"/>
        <w:rPr>
          <w:sz w:val="20"/>
          <w:szCs w:val="20"/>
          <w:color w:val="auto"/>
        </w:rPr>
      </w:pPr>
    </w:p>
    <w:p>
      <w:pPr>
        <w:ind w:left="760" w:right="280" w:hanging="378"/>
        <w:spacing w:after="0" w:line="282" w:lineRule="auto"/>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regulators or IRBs may not authorize us or our investigators to commence a clinical trial or conduct a clinical trial at a prospective trial site or amend trial protocols;</w:t>
      </w:r>
    </w:p>
    <w:p>
      <w:pPr>
        <w:spacing w:after="0" w:line="161" w:lineRule="exact"/>
        <w:rPr>
          <w:rFonts w:ascii="Times New Roman" w:cs="Times New Roman" w:eastAsia="Times New Roman" w:hAnsi="Times New Roman"/>
          <w:sz w:val="16"/>
          <w:szCs w:val="16"/>
          <w:color w:val="auto"/>
        </w:rPr>
      </w:pPr>
    </w:p>
    <w:p>
      <w:pPr>
        <w:ind w:left="760" w:right="60" w:hanging="378"/>
        <w:spacing w:after="0" w:line="282" w:lineRule="auto"/>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and our CROs;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760" w:right="420" w:hanging="378"/>
        <w:spacing w:after="0" w:line="266" w:lineRule="auto"/>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175" w:lineRule="exact"/>
        <w:rPr>
          <w:rFonts w:ascii="Times New Roman" w:cs="Times New Roman" w:eastAsia="Times New Roman" w:hAnsi="Times New Roman"/>
          <w:sz w:val="16"/>
          <w:szCs w:val="16"/>
          <w:color w:val="auto"/>
        </w:rPr>
      </w:pPr>
    </w:p>
    <w:p>
      <w:pPr>
        <w:ind w:left="760" w:right="320" w:hanging="378"/>
        <w:spacing w:after="0" w:line="282" w:lineRule="auto"/>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61" w:lineRule="exact"/>
        <w:rPr>
          <w:rFonts w:ascii="Times New Roman" w:cs="Times New Roman" w:eastAsia="Times New Roman" w:hAnsi="Times New Roman"/>
          <w:sz w:val="16"/>
          <w:szCs w:val="16"/>
          <w:color w:val="auto"/>
        </w:rPr>
      </w:pPr>
    </w:p>
    <w:p>
      <w:pPr>
        <w:ind w:left="760" w:right="260" w:hanging="378"/>
        <w:spacing w:after="0" w:line="282" w:lineRule="auto"/>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20" w:lineRule="exact"/>
        <w:rPr>
          <w:rFonts w:ascii="Times New Roman" w:cs="Times New Roman" w:eastAsia="Times New Roman" w:hAnsi="Times New Roman"/>
          <w:sz w:val="16"/>
          <w:szCs w:val="16"/>
          <w:color w:val="auto"/>
        </w:rPr>
      </w:pPr>
    </w:p>
    <w:p>
      <w:pPr>
        <w:ind w:left="760" w:right="120" w:hanging="378"/>
        <w:spacing w:after="0" w:line="245" w:lineRule="exact"/>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198" w:lineRule="exact"/>
        <w:rPr>
          <w:rFonts w:ascii="Times New Roman" w:cs="Times New Roman" w:eastAsia="Times New Roman" w:hAnsi="Times New Roman"/>
          <w:sz w:val="16"/>
          <w:szCs w:val="16"/>
          <w:color w:val="auto"/>
        </w:rPr>
      </w:pPr>
    </w:p>
    <w:p>
      <w:pPr>
        <w:ind w:left="760" w:right="240" w:hanging="378"/>
        <w:spacing w:after="0" w:line="261" w:lineRule="auto"/>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7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changes in marketing approval policies during the development period rendering our data insufficient to obtain marketing approval;</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changes in or the enactment of additional statutes or regulations;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changes in regulatory review for each submitted product application;</w:t>
      </w:r>
    </w:p>
    <w:p>
      <w:pPr>
        <w:spacing w:after="0" w:line="225" w:lineRule="exact"/>
        <w:rPr>
          <w:rFonts w:ascii="Times New Roman" w:cs="Times New Roman" w:eastAsia="Times New Roman" w:hAnsi="Times New Roman"/>
          <w:sz w:val="16"/>
          <w:szCs w:val="16"/>
          <w:color w:val="auto"/>
        </w:rPr>
      </w:pPr>
    </w:p>
    <w:p>
      <w:pPr>
        <w:ind w:left="760" w:right="180" w:hanging="378"/>
        <w:spacing w:after="0" w:line="282" w:lineRule="auto"/>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61" w:lineRule="exact"/>
        <w:rPr>
          <w:rFonts w:ascii="Times New Roman" w:cs="Times New Roman" w:eastAsia="Times New Roman" w:hAnsi="Times New Roman"/>
          <w:sz w:val="16"/>
          <w:szCs w:val="16"/>
          <w:color w:val="auto"/>
        </w:rPr>
      </w:pPr>
    </w:p>
    <w:p>
      <w:pPr>
        <w:ind w:left="760" w:right="820" w:hanging="378"/>
        <w:spacing w:after="0" w:line="282" w:lineRule="auto"/>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161" w:lineRule="exact"/>
        <w:rPr>
          <w:rFonts w:ascii="Times New Roman" w:cs="Times New Roman" w:eastAsia="Times New Roman" w:hAnsi="Times New Roman"/>
          <w:sz w:val="16"/>
          <w:szCs w:val="16"/>
          <w:color w:val="auto"/>
        </w:rPr>
      </w:pPr>
    </w:p>
    <w:p>
      <w:pPr>
        <w:ind w:left="760" w:hanging="378"/>
        <w:spacing w:after="0" w:line="256" w:lineRule="auto"/>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may decide, or regulators may require us, to conduct additional clinical trials, analyses, reports, data, or preclinical/nonclinical studies than we currently plan, or we may abandon product development programs. For instance, although we believe that we are able to rely on the Phase 2 CONCERT trial and SYMPHONY trial to support an NDA for AXS-12 for the treatment of cataplexy and narcolepsy and the completed Phase 2 trial and Phase 3 trial to support an NDA for AXS-14 for the management of fibromyalgia, the FDA could still require additional studies to support the approval of an NDA for these product candidates. The outcome of our studies may further necessitate additional clinical or preclinical work;</w:t>
      </w:r>
    </w:p>
    <w:p>
      <w:pPr>
        <w:spacing w:after="0" w:line="187"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may fail to reach an agreement with regulators regarding the scope or design of our clinical trials;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may have delays in adding new investigators or clinical trial sites, or we may experience a withdrawal of clinical trial sites;</w:t>
      </w:r>
    </w:p>
    <w:p>
      <w:pPr>
        <w:spacing w:after="0" w:line="225" w:lineRule="exact"/>
        <w:rPr>
          <w:rFonts w:ascii="Times New Roman" w:cs="Times New Roman" w:eastAsia="Times New Roman" w:hAnsi="Times New Roman"/>
          <w:sz w:val="16"/>
          <w:szCs w:val="16"/>
          <w:color w:val="auto"/>
        </w:rPr>
      </w:pPr>
    </w:p>
    <w:p>
      <w:pPr>
        <w:ind w:left="760" w:hanging="378"/>
        <w:spacing w:after="0" w:line="266" w:lineRule="auto"/>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right="820" w:hanging="378"/>
        <w:spacing w:after="0" w:line="282" w:lineRule="auto"/>
        <w:tabs>
          <w:tab w:leader="none" w:pos="7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there may be regulatory questions regarding interpretations of data and results, or new information may emerge regarding our product candidates;</w:t>
      </w:r>
    </w:p>
    <w:p>
      <w:pPr>
        <w:spacing w:after="0" w:line="161" w:lineRule="exact"/>
        <w:rPr>
          <w:rFonts w:ascii="Times New Roman" w:cs="Times New Roman" w:eastAsia="Times New Roman" w:hAnsi="Times New Roman"/>
          <w:sz w:val="16"/>
          <w:szCs w:val="16"/>
          <w:color w:val="auto"/>
        </w:rPr>
      </w:pPr>
    </w:p>
    <w:p>
      <w:pPr>
        <w:ind w:left="760" w:hanging="378"/>
        <w:spacing w:after="0" w:line="258" w:lineRule="auto"/>
        <w:tabs>
          <w:tab w:leader="none" w:pos="7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species and doses used in our preclinical studies, and the results of our preclinical studies;</w:t>
      </w:r>
    </w:p>
    <w:p>
      <w:pPr>
        <w:spacing w:after="0" w:line="183" w:lineRule="exact"/>
        <w:rPr>
          <w:rFonts w:ascii="Times New Roman" w:cs="Times New Roman" w:eastAsia="Times New Roman" w:hAnsi="Times New Roman"/>
          <w:sz w:val="16"/>
          <w:szCs w:val="16"/>
          <w:color w:val="auto"/>
        </w:rPr>
      </w:pPr>
    </w:p>
    <w:p>
      <w:pPr>
        <w:ind w:left="760" w:right="100" w:hanging="378"/>
        <w:spacing w:after="0" w:line="258" w:lineRule="auto"/>
        <w:tabs>
          <w:tab w:leader="none" w:pos="7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FDA or comparable foreign regulatory authorities may disagree with our belief that certain product attributes are advantageous or may require further study of product attributes that are different than our reference listed drugs.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8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FDA or comparable foreign regulatory authorities may disagree with our intended indications;</w:t>
      </w:r>
    </w:p>
    <w:p>
      <w:pPr>
        <w:spacing w:after="0" w:line="225" w:lineRule="exact"/>
        <w:rPr>
          <w:rFonts w:ascii="Times New Roman" w:cs="Times New Roman" w:eastAsia="Times New Roman" w:hAnsi="Times New Roman"/>
          <w:sz w:val="16"/>
          <w:szCs w:val="16"/>
          <w:color w:val="auto"/>
        </w:rPr>
      </w:pPr>
    </w:p>
    <w:p>
      <w:pPr>
        <w:ind w:left="760" w:right="340" w:hanging="378"/>
        <w:spacing w:after="0" w:line="282" w:lineRule="auto"/>
        <w:tabs>
          <w:tab w:leader="none" w:pos="7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manufacturing facilities for clinical and future commercial supplies;</w:t>
      </w:r>
    </w:p>
    <w:p>
      <w:pPr>
        <w:spacing w:after="0" w:line="161" w:lineRule="exact"/>
        <w:rPr>
          <w:rFonts w:ascii="Times New Roman" w:cs="Times New Roman" w:eastAsia="Times New Roman" w:hAnsi="Times New Roman"/>
          <w:sz w:val="16"/>
          <w:szCs w:val="16"/>
          <w:color w:val="auto"/>
        </w:rPr>
      </w:pPr>
    </w:p>
    <w:p>
      <w:pPr>
        <w:ind w:left="760" w:right="80" w:hanging="378"/>
        <w:spacing w:after="0" w:line="282" w:lineRule="auto"/>
        <w:tabs>
          <w:tab w:leader="none" w:pos="7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 connection with the CMC data necessary for our NDA filing and approval, we will need to conduct stability studies and provide stability data to establish appropriate retest or expiration dating periods;</w:t>
      </w:r>
    </w:p>
    <w:p>
      <w:pPr>
        <w:spacing w:after="0" w:line="161" w:lineRule="exact"/>
        <w:rPr>
          <w:rFonts w:ascii="Times New Roman" w:cs="Times New Roman" w:eastAsia="Times New Roman" w:hAnsi="Times New Roman"/>
          <w:sz w:val="16"/>
          <w:szCs w:val="16"/>
          <w:color w:val="auto"/>
        </w:rPr>
      </w:pPr>
    </w:p>
    <w:p>
      <w:pPr>
        <w:ind w:left="760" w:right="180" w:hanging="378"/>
        <w:spacing w:after="0" w:line="282" w:lineRule="auto"/>
        <w:tabs>
          <w:tab w:leader="none" w:pos="7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product candidates may not demonstrate sufficient long-term stability to support an NDA filing or obtain approval, or the product shelf life may be limited by stability results;</w:t>
      </w:r>
    </w:p>
    <w:p>
      <w:pPr>
        <w:spacing w:after="0" w:line="161" w:lineRule="exact"/>
        <w:rPr>
          <w:rFonts w:ascii="Times New Roman" w:cs="Times New Roman" w:eastAsia="Times New Roman" w:hAnsi="Times New Roman"/>
          <w:sz w:val="16"/>
          <w:szCs w:val="16"/>
          <w:color w:val="auto"/>
        </w:rPr>
      </w:pPr>
    </w:p>
    <w:p>
      <w:pPr>
        <w:ind w:left="760" w:right="240" w:hanging="378"/>
        <w:spacing w:after="0" w:line="282" w:lineRule="auto"/>
        <w:tabs>
          <w:tab w:leader="none" w:pos="7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there may be delays in the FDA’s ability to conduct necessary Pre-Approval Inspections, or PAIs, and more generally the FDA or comparable foreign regulatory authorities may take longer than we anticipate to make a decision on our product candidates; and</w:t>
      </w:r>
    </w:p>
    <w:p>
      <w:pPr>
        <w:spacing w:after="0" w:line="161" w:lineRule="exact"/>
        <w:rPr>
          <w:rFonts w:ascii="Times New Roman" w:cs="Times New Roman" w:eastAsia="Times New Roman" w:hAnsi="Times New Roman"/>
          <w:sz w:val="16"/>
          <w:szCs w:val="16"/>
          <w:color w:val="auto"/>
        </w:rPr>
      </w:pPr>
    </w:p>
    <w:p>
      <w:pPr>
        <w:ind w:left="760" w:right="40" w:hanging="378"/>
        <w:spacing w:after="0" w:line="282" w:lineRule="auto"/>
        <w:tabs>
          <w:tab w:leader="none" w:pos="7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spacing w:after="0" w:line="162"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Moreover, if we are required to conduct additional clinical trials or other testing of our product candidates beyond that which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76"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not obtain marketing approval at all;</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obtain approval for indications or patient populations that are not as broad as intended or desired or are not covered by our intellectual property;</w:t>
      </w:r>
    </w:p>
    <w:p>
      <w:pPr>
        <w:spacing w:after="0" w:line="225" w:lineRule="exact"/>
        <w:rPr>
          <w:rFonts w:ascii="Times New Roman" w:cs="Times New Roman" w:eastAsia="Times New Roman" w:hAnsi="Times New Roman"/>
          <w:sz w:val="16"/>
          <w:szCs w:val="16"/>
          <w:color w:val="auto"/>
        </w:rPr>
      </w:pPr>
    </w:p>
    <w:p>
      <w:pPr>
        <w:ind w:left="760" w:right="20" w:hanging="378"/>
        <w:spacing w:after="0" w:line="266" w:lineRule="auto"/>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60" w:hanging="378"/>
        <w:spacing w:after="0" w:line="207" w:lineRule="exact"/>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be subject to additional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and surveillance requirements, including REMS; or</w:t>
      </w:r>
    </w:p>
    <w:p>
      <w:pPr>
        <w:spacing w:after="0" w:line="26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product development plans may be impacted. For example, in December 2022, with the passage of the Food and Drug Omnibus Reform Act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diversity action plans must include the sponsor’s goals for enrollment, the underlying rationale for those goals, and an explanation of how the sponsor intends to meet them. In terms of the compliance deadline, the requirement to submit a diversity action plan applies to clinical studies for which enrollment begins 180 days after the final guidance is published, which was originally anticipated to occur in June 2025. In January 2025, the previously-published draft guidance was removed from the FDA website, which may impact the eventual publication date of the final guidance, and as a result, may delay the compliance deadline.</w:t>
      </w:r>
    </w:p>
    <w:p>
      <w:pPr>
        <w:spacing w:after="0" w:line="194"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may be materially harmed.</w:t>
      </w:r>
    </w:p>
    <w:p>
      <w:pPr>
        <w:spacing w:after="0" w:line="18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For example, in the CRL with respect to our NDA for Symbravo, the FDA noted the need for additional CMC data. Symbravo was subsequently approved by the FDA. Furthermore, there is the possibility that the FDA or comparable foreign regulatory authorities have not previously reviewed product candidates for the indications we are pursuing, such as AD agitation or smoking cessation. As a result, we may experience delays in regulatory approval due to uncertainties in the approval process.</w:t>
      </w:r>
    </w:p>
    <w:p>
      <w:pPr>
        <w:spacing w:after="0" w:line="19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 Furthermore, there is the possibility that the FDA or comparable foreign regulatory authorities have not previously reviewed product candidates for the indications we are pursuing, such as AD agitation or smoking cessation. As a result, we may experience delays in regulatory approval due to uncertainties in the approval process.</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demonstrate an acceptable safety and toxicity profile for our product candidates, we will not be able to continue our clinical trials of or obtain approval for those product candidates.</w:t>
      </w:r>
    </w:p>
    <w:p>
      <w:pPr>
        <w:spacing w:after="0" w:line="15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spacing w:after="0" w:line="187" w:lineRule="exact"/>
        <w:rPr>
          <w:sz w:val="20"/>
          <w:szCs w:val="20"/>
          <w:color w:val="auto"/>
        </w:rPr>
      </w:pPr>
    </w:p>
    <w:p>
      <w:pPr>
        <w:ind w:left="760" w:right="40" w:hanging="378"/>
        <w:spacing w:after="0" w:line="282" w:lineRule="auto"/>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preclinical or nonclinical testing may produce inconclusive or negative safety results, which may require us to conduct additional nonclinical testing or to abandon product candidates;</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product candidates may have unfavorable pharmacology or toxicity characteristics or suggest possible drug-drug interaction;</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product candidates may cause undesirable side effects; and</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FDA or other regulatory authorities may determine that additional safety testing is required.</w:t>
      </w:r>
    </w:p>
    <w:p>
      <w:pPr>
        <w:spacing w:after="0" w:line="225"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Any such events would increase our costs and could delay or prevent our ability to commercialize our product candidates, which could adversely impact our business, financial condition and results of operation.</w:t>
      </w:r>
    </w:p>
    <w:p>
      <w:pPr>
        <w:spacing w:after="0" w:line="15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5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83"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198" w:lineRule="exact"/>
        <w:rPr>
          <w:sz w:val="20"/>
          <w:szCs w:val="20"/>
          <w:color w:val="auto"/>
        </w:rPr>
      </w:pPr>
    </w:p>
    <w:p>
      <w:pPr>
        <w:ind w:right="120" w:firstLine="749"/>
        <w:spacing w:after="0" w:line="260" w:lineRule="auto"/>
        <w:rPr>
          <w:sz w:val="20"/>
          <w:szCs w:val="20"/>
          <w:color w:val="auto"/>
        </w:rPr>
      </w:pPr>
      <w:r>
        <w:rPr>
          <w:rFonts w:ascii="Times New Roman" w:cs="Times New Roman" w:eastAsia="Times New Roman" w:hAnsi="Times New Roman"/>
          <w:sz w:val="18"/>
          <w:szCs w:val="18"/>
          <w:color w:val="auto"/>
        </w:rPr>
        <w:t>Based on the side effects disclosed in the EMA required product label for marketed drugs that contain the same active molecule as our product candidates, AXS-12 and AXS-14 may result in decreased appetite, insomnia, agitation, anxiety, dizziness, headache, paresthesia,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Known side effects for Auvelity, Sunosi, and Symbravo are described on the approved labels for those products. In relation to further development efforts with respect to these compounds, different patient populations may react to these compounds differently. For example, AD agitation patients in the case of AXS-05 or ADHD patients in the case of solriamfetol may experience different side effects than patients taking these products for their currently approved indications. This is particularly true where different dosing, formulations or methods of administration are implicated.</w:t>
      </w:r>
    </w:p>
    <w:p>
      <w:pPr>
        <w:spacing w:after="0" w:line="180" w:lineRule="exact"/>
        <w:rPr>
          <w:sz w:val="20"/>
          <w:szCs w:val="20"/>
          <w:color w:val="auto"/>
        </w:rPr>
      </w:pPr>
    </w:p>
    <w:p>
      <w:pPr>
        <w:ind w:right="240" w:firstLine="749"/>
        <w:spacing w:after="0" w:line="220" w:lineRule="exact"/>
        <w:rPr>
          <w:sz w:val="20"/>
          <w:szCs w:val="20"/>
          <w:color w:val="auto"/>
        </w:rPr>
      </w:pPr>
      <w:r>
        <w:rPr>
          <w:rFonts w:ascii="Times New Roman" w:cs="Times New Roman" w:eastAsia="Times New Roman" w:hAnsi="Times New Roman"/>
          <w:sz w:val="18"/>
          <w:szCs w:val="18"/>
          <w:color w:val="auto"/>
        </w:rPr>
        <w:t>If any of our other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benefit perspective. The drug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9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5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83"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size and nature of the patient population;</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severity of the disease under investigation;</w:t>
      </w:r>
    </w:p>
    <w:p>
      <w:pPr>
        <w:spacing w:after="0" w:line="225" w:lineRule="exact"/>
        <w:rPr>
          <w:rFonts w:ascii="Times New Roman" w:cs="Times New Roman" w:eastAsia="Times New Roman" w:hAnsi="Times New Roman"/>
          <w:sz w:val="16"/>
          <w:szCs w:val="16"/>
          <w:color w:val="auto"/>
        </w:rPr>
      </w:pPr>
    </w:p>
    <w:p>
      <w:pPr>
        <w:ind w:left="760" w:right="100" w:hanging="378"/>
        <w:spacing w:after="0" w:line="282" w:lineRule="auto"/>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eligibility criteria for, and design of, the clinical trial in question, including factors such as frequency of required assessments, length of the study, and ongoing monitoring requirements;</w:t>
      </w:r>
    </w:p>
    <w:p>
      <w:pPr>
        <w:spacing w:after="0" w:line="161" w:lineRule="exact"/>
        <w:rPr>
          <w:rFonts w:ascii="Times New Roman" w:cs="Times New Roman" w:eastAsia="Times New Roman" w:hAnsi="Times New Roman"/>
          <w:sz w:val="16"/>
          <w:szCs w:val="16"/>
          <w:color w:val="auto"/>
        </w:rPr>
      </w:pPr>
    </w:p>
    <w:p>
      <w:pPr>
        <w:ind w:left="760" w:right="580" w:hanging="378"/>
        <w:spacing w:after="0" w:line="282" w:lineRule="auto"/>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perceived risks and benefits of the product candidate under study, including the potential advantages or disadvantages of the product candidate being studied in relation to other available therapies;</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competition in recruiting and enrolling patients in clinical trials;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efforts to facilitate timely enrollment in clinical trials;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patient referral practices of physicians;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effectiveness of publicity created by clinical trial sites regarding the trial;</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patients’ ability to comply with the specific instructions related to the trial protocol, proper documentation, and use of the drug product;</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inability to obtain or maintain patient informed consents;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risk that enrolled patients will drop out before completion;</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ability to identify patients for enrollment and maintain a sufficient level of patient participants in our clinical studies;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5"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We may be required by the FDA to modify the entry criteria for our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8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combination product candidates may present more or different challenges than development of single agent product candidates.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Certain product candidates of ours, including AXS-05,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 Moreover, the applicable requirements for approval may differ from country to country.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or formulation may result in additional costs or delay.</w:t>
      </w:r>
    </w:p>
    <w:p>
      <w:pPr>
        <w:spacing w:after="0" w:line="229"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For instance, as we begin scale-up efforts for commercial-size manufacturing batches, formulation changes may be necessary to improve tablet robustness.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products from being marketed abroad.</w:t>
      </w:r>
    </w:p>
    <w:p>
      <w:pPr>
        <w:spacing w:after="0" w:line="188" w:lineRule="exact"/>
        <w:rPr>
          <w:sz w:val="20"/>
          <w:szCs w:val="20"/>
          <w:color w:val="auto"/>
        </w:rPr>
      </w:pPr>
    </w:p>
    <w:p>
      <w:pPr>
        <w:ind w:right="140" w:firstLine="749"/>
        <w:spacing w:after="0" w:line="222" w:lineRule="exact"/>
        <w:rPr>
          <w:sz w:val="20"/>
          <w:szCs w:val="20"/>
          <w:color w:val="auto"/>
        </w:rPr>
      </w:pPr>
      <w:r>
        <w:rPr>
          <w:rFonts w:ascii="Times New Roman" w:cs="Times New Roman" w:eastAsia="Times New Roman" w:hAnsi="Times New Roman"/>
          <w:sz w:val="18"/>
          <w:szCs w:val="18"/>
          <w:color w:val="auto"/>
        </w:rPr>
        <w:t>In order to market and sell our products in the EU, and many other jurisdictions, we or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196"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15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have received a Fast Track product designation for AXS-05 for both the treatment of TRD as well as for the treatment of AD agitation, and we may seek Fast Track designation for other of our current or future product candidates.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w:t>
      </w:r>
    </w:p>
    <w:p>
      <w:pPr>
        <w:spacing w:after="0" w:line="192"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also received Breakthrough Therapy designation for AXS-05 for both the treatment of MDD and the treatment of AD agitation, and we may seek Breakthrough Therapy designation for other current or future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Breakthrough Therapy designation also allows the sponsor to request a Priority Review or file sections of the NDA on an ongoing basis for rolling review where the FDA may consider beginning review portions of a marketing application before the full submission is complete. Product candidates designated as Breakthrough Therapies by the FDA are also eligible for Priority Review if supported by clinical data at the time of the submission of the NDA.</w:t>
      </w:r>
    </w:p>
    <w:p>
      <w:pPr>
        <w:spacing w:after="0" w:line="194"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Breakthrough Therapy or Fast Track designation is within the discretion of the FDA. The receipt of a Breakthrough Therapy or Fast Track designation for a product candidate may not ultimately result in a faster development process or review, and it does not in any way assure approval of product candidates by the FDA. In addition, the FDA may later decide to rescind the Breakthrough Therapy or Fast Track designation for one or more of our applicable product candidates if such product candidates no longer meet the conditions for qualification of this program. For example, we were initially granted Breakthrough Therapy designation for AXS-12 for the treatment of cataplexy in patients with narcolepsy in August 2020. In July 2021, the FDA rescinded our Breakthrough Therapy designation due to the FDA approving an additional drug product for the treatment of cataplexy in narcolepsy.</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label” uses, resulting in damage to our reputation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2847975</wp:posOffset>
            </wp:positionH>
            <wp:positionV relativeFrom="paragraph">
              <wp:posOffset>-103505</wp:posOffset>
            </wp:positionV>
            <wp:extent cx="64135"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52"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We, and any of our collaborators, must comply with requirements concerning advertising and promotion for any of our products for which we or they obtain marketing approval. Promotional communications with respect to prescription drugs are subject to a variety of legal and regulatory restrictions and continuing review by the FDA, Department of Justice, HHS’s OIG,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or comparable foreign regulatory authorities’ approval for any desired uses or indications for our products and product candidates, we may not market or promote our products for those indications and uses, referred to as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and our business may be adversely affected. We further must be able to sufficiently substantiate any claims that we make for our products including claims comparing our products to other companies’ products.</w:t>
      </w:r>
    </w:p>
    <w:p>
      <w:pPr>
        <w:spacing w:after="0" w:line="198" w:lineRule="exact"/>
        <w:rPr>
          <w:sz w:val="20"/>
          <w:szCs w:val="20"/>
          <w:color w:val="auto"/>
        </w:rPr>
      </w:pPr>
    </w:p>
    <w:p>
      <w:pPr>
        <w:ind w:right="40" w:firstLine="749"/>
        <w:spacing w:after="0" w:line="224" w:lineRule="exact"/>
        <w:rPr>
          <w:sz w:val="20"/>
          <w:szCs w:val="20"/>
          <w:color w:val="auto"/>
        </w:rPr>
      </w:pPr>
      <w:r>
        <w:rPr>
          <w:rFonts w:ascii="Times New Roman" w:cs="Times New Roman" w:eastAsia="Times New Roman" w:hAnsi="Times New Roman"/>
          <w:sz w:val="18"/>
          <w:szCs w:val="18"/>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w:t>
      </w:r>
    </w:p>
    <w:p>
      <w:pPr>
        <w:spacing w:after="0" w:line="172" w:lineRule="exact"/>
        <w:rPr>
          <w:sz w:val="20"/>
          <w:szCs w:val="20"/>
          <w:color w:val="auto"/>
        </w:rPr>
      </w:pPr>
    </w:p>
    <w:p>
      <w:pPr>
        <w:ind w:right="80" w:firstLine="749"/>
        <w:spacing w:after="0" w:line="219" w:lineRule="exact"/>
        <w:rPr>
          <w:sz w:val="20"/>
          <w:szCs w:val="20"/>
          <w:color w:val="auto"/>
        </w:rPr>
      </w:pPr>
      <w:r>
        <w:rPr>
          <w:rFonts w:ascii="Times New Roman" w:cs="Times New Roman" w:eastAsia="Times New Roman" w:hAnsi="Times New Roman"/>
          <w:sz w:val="18"/>
          <w:szCs w:val="18"/>
          <w:color w:val="auto"/>
        </w:rPr>
        <w:t>If we are found to have impermissibly promoted any of our products,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Recent court decisions have impacted the FDA’s enforcement activity regarding off-label promotion in light of First Amendment considerations; however, there are still significant risks in this area in part due to the potential FCA exposure. The FCA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FCA, a penalty may be imposed for each false claim, for example, a claim for payment for each prescription for the product, and, when aggregated, these penalties often total millions of dollars and incentivize qui tam lawsuits. These FCA lawsuits against pharmaceutical companies have increased significantly in volume and breadth, leading to several substantial civil and criminal settlements, pertaining to certain sales practices and promoting off-label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other actions and, if we do not successfully defend against such actions, those actions may have a material adverse effect on our business, financial condition, results of operations, and prospects.</w:t>
      </w:r>
    </w:p>
    <w:p>
      <w:pPr>
        <w:spacing w:after="0" w:line="192"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In the United States, the distribution of product samples to physicians must further comply with the requirements of the U.S. PDMA.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183"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and will continue to be subject to, ongoing obligations and continued regulatory review, which may result in significant additional expense. Additionally, any of our products, could be subject to labeling and other restrictions and market withdrawal and we may be subject to penalties if we fail to comply with regulatory requirements or experience unanticipated problems with our products.</w:t>
      </w:r>
    </w:p>
    <w:p>
      <w:pPr>
        <w:spacing w:after="0" w:line="175"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Our product(s) are subject to extensive and ongoing requirements of and review by the FDA and other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program fees for our products; continued compliance with cGMP requirements relating to manufacturing, quality control, quality assurance, and corresponding maintenance of records and documents; requirements regarding the distribution of samples to physicians and recordkeeping; and GCP, for any clinical trials that we conduct post-approval.</w:t>
      </w:r>
    </w:p>
    <w:p>
      <w:pPr>
        <w:spacing w:after="0" w:line="18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We and any of our collaborators, including our contract manufacturers, could be subject to periodic unannounced inspections by the FDA to monitor and ensure compliance with cGMP and GCP. Application holders must further notify the FDA, and depending on the nature of the change, obtain FDA pre-approval for product and manufacturing changes. Application fees may apply to certain changes.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76"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restrictions on manufacturing or distribution, or marketing of such products;</w:t>
      </w:r>
    </w:p>
    <w:p>
      <w:pPr>
        <w:spacing w:after="0" w:line="225" w:lineRule="exact"/>
        <w:rPr>
          <w:rFonts w:ascii="Times New Roman" w:cs="Times New Roman" w:eastAsia="Times New Roman" w:hAnsi="Times New Roman"/>
          <w:sz w:val="16"/>
          <w:szCs w:val="16"/>
          <w:color w:val="auto"/>
        </w:rPr>
      </w:pPr>
    </w:p>
    <w:p>
      <w:pPr>
        <w:ind w:left="760" w:right="100" w:hanging="378"/>
        <w:spacing w:after="0" w:line="282" w:lineRule="auto"/>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restrictions on the labeling, including required additional warnings, such as black box warnings, contraindications, precautions, and restrictions on the approved indication or use;</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modifications to promotional pieces;</w:t>
      </w:r>
    </w:p>
    <w:p>
      <w:pPr>
        <w:spacing w:after="0" w:line="184" w:lineRule="exact"/>
        <w:rPr>
          <w:rFonts w:ascii="Times New Roman" w:cs="Times New Roman" w:eastAsia="Times New Roman" w:hAnsi="Times New Roman"/>
          <w:sz w:val="16"/>
          <w:szCs w:val="16"/>
          <w:color w:val="auto"/>
        </w:rPr>
      </w:pPr>
    </w:p>
    <w:p>
      <w:pPr>
        <w:ind w:left="760" w:hanging="378"/>
        <w:spacing w:after="0" w:line="207" w:lineRule="exact"/>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requirements to conduct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studies or clinical trials;</w:t>
      </w:r>
    </w:p>
    <w:p>
      <w:pPr>
        <w:spacing w:after="0" w:line="26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clinical holds or termination of clinical trials;</w:t>
      </w:r>
    </w:p>
    <w:p>
      <w:pPr>
        <w:spacing w:after="0" w:line="225" w:lineRule="exact"/>
        <w:rPr>
          <w:rFonts w:ascii="Times New Roman" w:cs="Times New Roman" w:eastAsia="Times New Roman" w:hAnsi="Times New Roman"/>
          <w:sz w:val="16"/>
          <w:szCs w:val="16"/>
          <w:color w:val="auto"/>
        </w:rPr>
      </w:pPr>
    </w:p>
    <w:p>
      <w:pPr>
        <w:ind w:left="760" w:right="20" w:hanging="378"/>
        <w:spacing w:after="0" w:line="289" w:lineRule="auto"/>
        <w:tabs>
          <w:tab w:leader="none" w:pos="7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requirements to establish or modify a REMS or a comparable foreign authority may require that we establish or modify a similar strategy, that may, for instance, require us to create or modify a medication guide outlining the risks of the previously unidentified side effects for distribution to patients, or restrict distribution of the product, if and when approved, and impose burdensome implementation requirements on us;</w:t>
      </w:r>
    </w:p>
    <w:p>
      <w:pPr>
        <w:spacing w:after="0" w:line="157"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changes to the way the drug is administered;</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liability for harm caused to patients or subjects;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reputational harm;</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drug becoming less competitive;</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warning or untitled letters;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suspension of marketing or withdrawal of the products from the market;</w:t>
      </w:r>
    </w:p>
    <w:p>
      <w:pPr>
        <w:spacing w:after="0" w:line="225" w:lineRule="exact"/>
        <w:rPr>
          <w:rFonts w:ascii="Times New Roman" w:cs="Times New Roman" w:eastAsia="Times New Roman" w:hAnsi="Times New Roman"/>
          <w:sz w:val="16"/>
          <w:szCs w:val="16"/>
          <w:color w:val="auto"/>
        </w:rPr>
      </w:pPr>
    </w:p>
    <w:p>
      <w:pPr>
        <w:ind w:left="760" w:right="140" w:hanging="378"/>
        <w:spacing w:after="0" w:line="282" w:lineRule="auto"/>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drug;</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recall of products;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fines, damages, restitution, or disgorgement of profits or revenues;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refusal to permit the import or export of our products;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product seizure or detention;</w:t>
      </w:r>
    </w:p>
    <w:p>
      <w:pPr>
        <w:spacing w:after="0" w:line="225" w:lineRule="exact"/>
        <w:rPr>
          <w:rFonts w:ascii="Times New Roman" w:cs="Times New Roman" w:eastAsia="Times New Roman" w:hAnsi="Times New Roman"/>
          <w:sz w:val="16"/>
          <w:szCs w:val="16"/>
          <w:color w:val="auto"/>
        </w:rPr>
      </w:pPr>
    </w:p>
    <w:p>
      <w:pPr>
        <w:ind w:left="760" w:right="80" w:hanging="378"/>
        <w:spacing w:after="0" w:line="282" w:lineRule="auto"/>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FDA debarment, debarment from government contracts, and refusal of future orders under existing contracts, exclusion from federal healthcare programs, consent decrees, or corporate integrity agreements; or</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8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or that could impose additional regulatory obligations on our products.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78" w:lineRule="exact"/>
        <w:rPr>
          <w:sz w:val="20"/>
          <w:szCs w:val="20"/>
          <w:color w:val="auto"/>
        </w:rPr>
      </w:pPr>
    </w:p>
    <w:p>
      <w:pPr>
        <w:ind w:right="160" w:firstLine="749"/>
        <w:spacing w:after="0" w:line="253" w:lineRule="auto"/>
        <w:rPr>
          <w:sz w:val="20"/>
          <w:szCs w:val="20"/>
          <w:color w:val="auto"/>
        </w:rPr>
      </w:pPr>
      <w:r>
        <w:rPr>
          <w:rFonts w:ascii="Times New Roman" w:cs="Times New Roman" w:eastAsia="Times New Roman" w:hAnsi="Times New Roman"/>
          <w:sz w:val="18"/>
          <w:szCs w:val="18"/>
          <w:color w:val="auto"/>
        </w:rPr>
        <w:t xml:space="preserve">In addition, there is a great degree of uncertainty regarding how recent U.S. Supreme Court decisions, including </w:t>
      </w:r>
      <w:r>
        <w:rPr>
          <w:rFonts w:ascii="Times New Roman" w:cs="Times New Roman" w:eastAsia="Times New Roman" w:hAnsi="Times New Roman"/>
          <w:sz w:val="18"/>
          <w:szCs w:val="18"/>
          <w:i w:val="1"/>
          <w:iCs w:val="1"/>
          <w:color w:val="auto"/>
        </w:rPr>
        <w:t>Loper Bright Enterprises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Raimondo</w:t>
      </w:r>
      <w:r>
        <w:rPr>
          <w:rFonts w:ascii="Times New Roman" w:cs="Times New Roman" w:eastAsia="Times New Roman" w:hAnsi="Times New Roman"/>
          <w:sz w:val="18"/>
          <w:szCs w:val="18"/>
          <w:color w:val="auto"/>
        </w:rPr>
        <w:t>, 603 U.S. 369 (2024) and</w:t>
      </w:r>
      <w:r>
        <w:rPr>
          <w:rFonts w:ascii="Times New Roman" w:cs="Times New Roman" w:eastAsia="Times New Roman" w:hAnsi="Times New Roman"/>
          <w:sz w:val="18"/>
          <w:szCs w:val="18"/>
          <w:i w:val="1"/>
          <w:iCs w:val="1"/>
          <w:color w:val="auto"/>
        </w:rPr>
        <w:t xml:space="preserve"> Corner Post, Inc. v. Board of Governors of the Federal Reserve System</w:t>
      </w:r>
      <w:r>
        <w:rPr>
          <w:rFonts w:ascii="Times New Roman" w:cs="Times New Roman" w:eastAsia="Times New Roman" w:hAnsi="Times New Roman"/>
          <w:sz w:val="18"/>
          <w:szCs w:val="18"/>
          <w:color w:val="auto"/>
        </w:rPr>
        <w:t>, 603 U.S. 799 (2024), will impact the FDA’s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enforcement and decision-making authority. </w:t>
      </w:r>
      <w:r>
        <w:rPr>
          <w:rFonts w:ascii="Times New Roman" w:cs="Times New Roman" w:eastAsia="Times New Roman" w:hAnsi="Times New Roman"/>
          <w:sz w:val="18"/>
          <w:szCs w:val="18"/>
          <w:i w:val="1"/>
          <w:iCs w:val="1"/>
          <w:color w:val="auto"/>
        </w:rPr>
        <w:t>Loper Bright</w:t>
      </w:r>
      <w:r>
        <w:rPr>
          <w:rFonts w:ascii="Times New Roman" w:cs="Times New Roman" w:eastAsia="Times New Roman" w:hAnsi="Times New Roman"/>
          <w:sz w:val="18"/>
          <w:szCs w:val="18"/>
          <w:color w:val="auto"/>
        </w:rPr>
        <w:t xml:space="preserve"> explicitly overturned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deference, which previously gave judicial deference to administrative action by agencies in the executive branch. Furthermore, the Supreme Court’s decision in </w:t>
      </w:r>
      <w:r>
        <w:rPr>
          <w:rFonts w:ascii="Times New Roman" w:cs="Times New Roman" w:eastAsia="Times New Roman" w:hAnsi="Times New Roman"/>
          <w:sz w:val="18"/>
          <w:szCs w:val="18"/>
          <w:i w:val="1"/>
          <w:iCs w:val="1"/>
          <w:color w:val="auto"/>
        </w:rPr>
        <w:t>Corner Post</w:t>
      </w:r>
      <w:r>
        <w:rPr>
          <w:rFonts w:ascii="Times New Roman" w:cs="Times New Roman" w:eastAsia="Times New Roman" w:hAnsi="Times New Roman"/>
          <w:sz w:val="18"/>
          <w:szCs w:val="18"/>
          <w:color w:val="auto"/>
        </w:rPr>
        <w:t xml:space="preserve"> may result in challenges to FDA decisions by new litigants long into the future. These decisions could result in additional legal challenges to regulations and guidance issued by federal agencies, including the FDA, on which we rely. Any such legal challenges, if successful, could have a material impact on our business. Additionally, the </w:t>
      </w:r>
      <w:r>
        <w:rPr>
          <w:rFonts w:ascii="Times New Roman" w:cs="Times New Roman" w:eastAsia="Times New Roman" w:hAnsi="Times New Roman"/>
          <w:sz w:val="18"/>
          <w:szCs w:val="18"/>
          <w:i w:val="1"/>
          <w:iCs w:val="1"/>
          <w:color w:val="auto"/>
        </w:rPr>
        <w:t xml:space="preserve">Loper </w:t>
      </w:r>
      <w:r>
        <w:rPr>
          <w:rFonts w:ascii="Times New Roman" w:cs="Times New Roman" w:eastAsia="Times New Roman" w:hAnsi="Times New Roman"/>
          <w:sz w:val="18"/>
          <w:szCs w:val="18"/>
          <w:color w:val="auto"/>
        </w:rPr>
        <w:t>decision may result in increased regulatory uncertainty, inconsistent judicial interpretations, and could impact various aspects of the agency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spacing w:after="0" w:line="194" w:lineRule="exact"/>
        <w:rPr>
          <w:sz w:val="20"/>
          <w:szCs w:val="20"/>
          <w:color w:val="auto"/>
        </w:rPr>
      </w:pPr>
    </w:p>
    <w:p>
      <w:pPr>
        <w:ind w:right="680" w:firstLine="749"/>
        <w:spacing w:after="0" w:line="239" w:lineRule="exact"/>
        <w:rPr>
          <w:sz w:val="20"/>
          <w:szCs w:val="20"/>
          <w:color w:val="auto"/>
        </w:rPr>
      </w:pPr>
      <w:r>
        <w:rPr>
          <w:rFonts w:ascii="Times New Roman" w:cs="Times New Roman" w:eastAsia="Times New Roman" w:hAnsi="Times New Roman"/>
          <w:sz w:val="18"/>
          <w:szCs w:val="18"/>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regulations may have a negative effect on our operating results and financial condition.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international operations could materially adversely affect our business.</w:t>
      </w:r>
    </w:p>
    <w:p>
      <w:pPr>
        <w:spacing w:after="0" w:line="229"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We are, and may become party to further agreements, pursuant to which we out-license our products outside of the United States. The Company also currently markets Sunosi in Canada. We expect that we will be subject to additional risks related to entering into international business relationships, including:</w:t>
      </w:r>
    </w:p>
    <w:p>
      <w:pPr>
        <w:spacing w:after="0" w:line="176"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different regulatory requirements for approval of drugs in foreign countries;</w:t>
      </w:r>
    </w:p>
    <w:p>
      <w:pPr>
        <w:spacing w:after="0" w:line="184" w:lineRule="exact"/>
        <w:rPr>
          <w:rFonts w:ascii="Times New Roman" w:cs="Times New Roman" w:eastAsia="Times New Roman" w:hAnsi="Times New Roman"/>
          <w:sz w:val="16"/>
          <w:szCs w:val="16"/>
          <w:color w:val="auto"/>
        </w:rPr>
      </w:pPr>
    </w:p>
    <w:p>
      <w:pPr>
        <w:ind w:left="760" w:hanging="378"/>
        <w:spacing w:after="0" w:line="236" w:lineRule="exact"/>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potential for so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198" w:lineRule="exact"/>
        <w:rPr>
          <w:rFonts w:ascii="Times New Roman" w:cs="Times New Roman" w:eastAsia="Times New Roman" w:hAnsi="Times New Roman"/>
          <w:sz w:val="16"/>
          <w:szCs w:val="16"/>
          <w:color w:val="auto"/>
        </w:rPr>
      </w:pPr>
    </w:p>
    <w:p>
      <w:pPr>
        <w:ind w:left="760" w:hanging="378"/>
        <w:spacing w:after="0" w:line="266" w:lineRule="auto"/>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stricter harmonized EU rules on data privacy particularly in relation to personal data, including health data, than is the case in the United States which are being further toughened with the EU General Data Protection Regulation, or the GDPR, which became enforceable beginning May 25, 2018;</w:t>
      </w:r>
    </w:p>
    <w:p>
      <w:pPr>
        <w:spacing w:after="0" w:line="175" w:lineRule="exact"/>
        <w:rPr>
          <w:rFonts w:ascii="Times New Roman" w:cs="Times New Roman" w:eastAsia="Times New Roman" w:hAnsi="Times New Roman"/>
          <w:sz w:val="16"/>
          <w:szCs w:val="16"/>
          <w:color w:val="auto"/>
        </w:rPr>
      </w:pPr>
    </w:p>
    <w:p>
      <w:pPr>
        <w:ind w:left="760" w:right="680" w:hanging="378"/>
        <w:spacing w:after="0" w:line="282" w:lineRule="auto"/>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unexpected changes in tariffs, trade barriers, and regulatory requirements and in the health care policies of foreign jurisdictions;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foreign taxes, including withholding of payroll taxes;</w:t>
      </w:r>
    </w:p>
    <w:p>
      <w:pPr>
        <w:spacing w:after="0" w:line="225" w:lineRule="exact"/>
        <w:rPr>
          <w:rFonts w:ascii="Times New Roman" w:cs="Times New Roman" w:eastAsia="Times New Roman" w:hAnsi="Times New Roman"/>
          <w:sz w:val="16"/>
          <w:szCs w:val="16"/>
          <w:color w:val="auto"/>
        </w:rPr>
      </w:pPr>
    </w:p>
    <w:p>
      <w:pPr>
        <w:ind w:left="760" w:right="120" w:hanging="378"/>
        <w:spacing w:after="0" w:line="282" w:lineRule="auto"/>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difficulties staffing and managing foreign operations;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workforce uncertainty in countries where labor unrest is more common than in the United States and worker rights tend to be stronger;</w:t>
      </w:r>
    </w:p>
    <w:p>
      <w:pPr>
        <w:spacing w:after="0" w:line="225" w:lineRule="exact"/>
        <w:rPr>
          <w:rFonts w:ascii="Times New Roman" w:cs="Times New Roman" w:eastAsia="Times New Roman" w:hAnsi="Times New Roman"/>
          <w:sz w:val="16"/>
          <w:szCs w:val="16"/>
          <w:color w:val="auto"/>
        </w:rPr>
      </w:pPr>
    </w:p>
    <w:p>
      <w:pPr>
        <w:ind w:left="760" w:right="100" w:hanging="378"/>
        <w:spacing w:after="0" w:line="282" w:lineRule="auto"/>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costs of compliance with U.S. laws and regulations for foreign operations, including the FCPA or comparable foreign regulations, and the risks and costs of noncompliance;</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225" w:lineRule="exact"/>
        <w:rPr>
          <w:rFonts w:ascii="Times New Roman" w:cs="Times New Roman" w:eastAsia="Times New Roman" w:hAnsi="Times New Roman"/>
          <w:sz w:val="16"/>
          <w:szCs w:val="16"/>
          <w:color w:val="auto"/>
        </w:rPr>
      </w:pPr>
    </w:p>
    <w:p>
      <w:pPr>
        <w:ind w:left="760" w:right="360" w:hanging="378"/>
        <w:spacing w:after="0" w:line="282" w:lineRule="auto"/>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162"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international operations may materially adversely affect our ability to attain or maintain profitable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market risk from fluctuations in currency exchange rates and interest rates.</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We operate in multiple jurisdictions, and virtually all sales are denominated in currencies of the local jurisdiction. Additionally, we have entered and may enter into business development transactions, borrowings, or other financial transactions that may give rise to currency and interest rate exposure.</w:t>
      </w:r>
    </w:p>
    <w:p>
      <w:pPr>
        <w:spacing w:after="0" w:line="162"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Since we cannot, with certainty, foresee and mitigate against such adverse changes, fluctuations in currency exchange rates, interest rates, and inflation could negatively affect our business, cash flow, results of operations, financial condition, and prospects.</w:t>
      </w:r>
    </w:p>
    <w:p>
      <w:pPr>
        <w:spacing w:after="0" w:line="162" w:lineRule="exact"/>
        <w:rPr>
          <w:sz w:val="20"/>
          <w:szCs w:val="20"/>
          <w:color w:val="auto"/>
        </w:rPr>
      </w:pPr>
    </w:p>
    <w:p>
      <w:pPr>
        <w:jc w:val="both"/>
        <w:ind w:right="320" w:firstLine="749"/>
        <w:spacing w:after="0" w:line="266" w:lineRule="auto"/>
        <w:rPr>
          <w:sz w:val="20"/>
          <w:szCs w:val="20"/>
          <w:color w:val="auto"/>
        </w:rPr>
      </w:pPr>
      <w:r>
        <w:rPr>
          <w:rFonts w:ascii="Times New Roman" w:cs="Times New Roman" w:eastAsia="Times New Roman" w:hAnsi="Times New Roman"/>
          <w:sz w:val="18"/>
          <w:szCs w:val="18"/>
          <w:color w:val="auto"/>
        </w:rPr>
        <w:t>In order to mitigate against the adverse impact of these market fluctuations, we may from time to time enter into hedging agreements. While hedging agreements, such as currency options and forwards and interest rate swaps, may limit some of the exposure to exchange rate and interest rate fluctuations, such attempts to mitigate these risks may be costly and not always successful.</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PRODUCTS</w:t>
      </w:r>
    </w:p>
    <w:p>
      <w:pPr>
        <w:spacing w:after="0" w:line="2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5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products and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AbbVie Inc.; Amgen Inc.; Avadel Pharmaceuticals plc; Biogen Inc.; Eli Lilly and Company; H. Lundbeck A/S; Harmony Biosciences LLC; Intra-Cellular Therapies, Inc.; Janssen; Jazz; Otsuka Pharmaceutical Co. Ltd.; Pfizer; and Takeda Pharmaceutical Company Limited.</w:t>
      </w:r>
    </w:p>
    <w:p>
      <w:pPr>
        <w:spacing w:after="0" w:line="180"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Our commercial opportunities could be reduced or eliminated if our competitors develop and commercialize products that are safer, more effective, have fewer or less severe side effects, more convenient, or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18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Generic forms of the active ingredients of our product candidates, including dextromethorphan, bupropion, meloxicam, rizatriptan, and reboxetine, are available in the United States and abroad and could be used off-label. Any such off-label use could adversely affect our profitability and have a negative effect on our operating results and financial condition. For example, even though meloxicam is not currently approved for the treatment of acute migraine, we would not be able to prevent a physician from prescribing it for such treatment. Nor could we prevent a payor from offering favorable coverage for such product and disadvantaging our product candidates, even if the generics would be used off-label.</w:t>
      </w:r>
    </w:p>
    <w:p>
      <w:pPr>
        <w:spacing w:after="0" w:line="183"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exclusivity before approving generic or similar versions of our products, the sales of our products could be adversely affected.</w:t>
      </w:r>
    </w:p>
    <w:p>
      <w:pPr>
        <w:spacing w:after="0" w:line="17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For example, in February 2023, we received a paragraph IV certification notice letter from Teva providing notification to the Company that Teva has submitted an ANDA to the FDA seeking approval to manufacture, use, or sell a generic version of Auvelity. Additionally, beginning in August 2023, we received paragraph IV certification notice letters from six other pharmaceutical companies providing notification to the Company that each such filer has submitted an ANDA to the FDA seeking approval to manufacture, use, or sell a generic version of Sunosi.</w:t>
      </w:r>
    </w:p>
    <w:p>
      <w:pPr>
        <w:spacing w:after="0" w:line="188" w:lineRule="exact"/>
        <w:rPr>
          <w:sz w:val="20"/>
          <w:szCs w:val="20"/>
          <w:color w:val="auto"/>
        </w:rPr>
      </w:pPr>
    </w:p>
    <w:p>
      <w:pPr>
        <w:ind w:right="120" w:firstLine="749"/>
        <w:spacing w:after="0" w:line="220" w:lineRule="exact"/>
        <w:rPr>
          <w:sz w:val="20"/>
          <w:szCs w:val="20"/>
          <w:color w:val="auto"/>
        </w:rPr>
      </w:pPr>
      <w:r>
        <w:rPr>
          <w:rFonts w:ascii="Times New Roman" w:cs="Times New Roman" w:eastAsia="Times New Roman" w:hAnsi="Times New Roman"/>
          <w:sz w:val="18"/>
          <w:szCs w:val="18"/>
          <w:color w:val="auto"/>
        </w:rPr>
        <w:t>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Thus, following the introduction of a generic drug, a significant percentage of the sales of any branded product or reference listed drug is typically lost to the generic product.</w:t>
      </w:r>
    </w:p>
    <w:p>
      <w:pPr>
        <w:spacing w:after="0" w:line="20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Moreover, in addition to generic competition, we could face competition from other companies seeking approval of drug products that are similar to ours using the 505(b)(2) pathway. Such applicants may be able to rely on our products, or other approved drug products or published literature to develop drug products that are similar to ours. The introduction of a drug product similar to our product candidates could expose us to increased competition.</w:t>
      </w:r>
    </w:p>
    <w:p>
      <w:pPr>
        <w:spacing w:after="0" w:line="180" w:lineRule="exact"/>
        <w:rPr>
          <w:sz w:val="20"/>
          <w:szCs w:val="20"/>
          <w:color w:val="auto"/>
        </w:rPr>
      </w:pPr>
    </w:p>
    <w:p>
      <w:pPr>
        <w:ind w:right="240" w:firstLine="749"/>
        <w:spacing w:after="0" w:line="219" w:lineRule="exact"/>
        <w:rPr>
          <w:sz w:val="20"/>
          <w:szCs w:val="20"/>
          <w:color w:val="auto"/>
        </w:rPr>
      </w:pPr>
      <w:r>
        <w:rPr>
          <w:rFonts w:ascii="Times New Roman" w:cs="Times New Roman" w:eastAsia="Times New Roman" w:hAnsi="Times New Roman"/>
          <w:sz w:val="18"/>
          <w:szCs w:val="18"/>
          <w:color w:val="auto"/>
        </w:rPr>
        <w:t>Further, if we do not file a patent infringement lawsuit against a generic manufacturer within 45 days of receiving notice of its paragraph IV certification, the ANDA or 505(b)(2) applicant may not be subject to a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we may be subject to generic competition or competition from similar products, or may need to commence patent infringement proceedings, which would divert our resources.</w:t>
      </w:r>
    </w:p>
    <w:p>
      <w:pPr>
        <w:spacing w:after="0" w:line="203"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our product candidates.</w:t>
      </w:r>
    </w:p>
    <w:p>
      <w:pPr>
        <w:spacing w:after="0" w:line="158"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75"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AXS-12 received Orphan Drug Designation from FDA for the treatment of narcolepsy. We may also seek Orphan Drug Designation for our other products, as appropriate.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8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FDA or the EMA may grant orphan exclusivity to two different sponsors for the same compound or active molecule and for the same indication. For example, if another sponsor receives FDA approval for a reboxetine containing product for the treatment of narcolepsy before we obtain FDA approval for AXS-12 for the treatment of narcolepsy, we would be prevented from launching our product in the United States for this indication for a period of at least 7 years. If another sponsor receives EMA approval for a reboxetine containing product for the treatment of narcolepsy before we obtain EMA approval for AXS-12 for the treatment of narcolepsy, we would be prevented from launching our product in the EU for this indication for a period of at least 10 to 12 years.</w:t>
      </w:r>
    </w:p>
    <w:p>
      <w:pPr>
        <w:spacing w:after="0" w:line="18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7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effective marketing, sales and distribution capabilities or enter into agreements with third parties to market, sell and distribute our products, we may be unable to generate significant product awareness and that lack of awareness may limit the product revenues that we generate.</w:t>
      </w:r>
    </w:p>
    <w:p>
      <w:pPr>
        <w:spacing w:after="0" w:line="175"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We recently expanded our commercial infrastructure for the marketing, sale, and distribution of pharmaceutical products, which included the creation of a sales force to launch our commercial stage products throughout the United States. This effort requires additional compliance with a range of federal and state laws. Additionally, we currently commercialize Sunosi outside the United States. Each global market we commercialize Sunosi in has its own set of applicable laws.</w:t>
      </w:r>
    </w:p>
    <w:p>
      <w:pPr>
        <w:spacing w:after="0" w:line="180"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have limited experience in the marketing, sale, and distribution of pharmaceutical products, and there are significant risks involved in the building and managing of a commercial infrastructure. We have to compete with other pharmaceutical and biotechnology companies to recruit, hire, train, manage, and retain marketing and sales personnel. In the event we are unable to maintain our marketing and sales infrastructure, we may not be able to successfully commercialize any of our existing commercial stage products or future product candidates, which would limit our ability to generate revenue. Factors that may inhibit our efforts to commercialize any of our products on our own include:</w:t>
      </w:r>
    </w:p>
    <w:p>
      <w:pPr>
        <w:spacing w:after="0" w:line="183"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inability to recruit, train, manage, and retain adequate numbers of effective sales and marketing personnel;</w:t>
      </w:r>
    </w:p>
    <w:p>
      <w:pPr>
        <w:spacing w:after="0" w:line="225" w:lineRule="exact"/>
        <w:rPr>
          <w:rFonts w:ascii="Times New Roman" w:cs="Times New Roman" w:eastAsia="Times New Roman" w:hAnsi="Times New Roman"/>
          <w:sz w:val="16"/>
          <w:szCs w:val="16"/>
          <w:color w:val="auto"/>
        </w:rPr>
      </w:pPr>
    </w:p>
    <w:p>
      <w:pPr>
        <w:ind w:left="760" w:right="160" w:hanging="378"/>
        <w:spacing w:after="0" w:line="282" w:lineRule="auto"/>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inability of sales personnel to obtain access to physicians or appropriately persuade adequate numbers of physicians to prescribe any of our current or future product candidates;</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inability to effectively oversee a geographically dispersed sales and marketing team;</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application of federal and state drug distribution and supply chain requirements to our business;</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associated with training sales and marketing personnel on legal and regulatory compliance matters and monitoring their actions;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 inability to secure adequate or any coverage and reimbursement by government and private health plans or other payers;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clinical indications and labeled claims for which the product is approved;</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any distribution and use restrictions imposed by the FDA or to which we agree as part of a mandatory REMS or voluntary risk management plan;</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liability for sales or marketing personnel who fail to comply with the applicable legal and regulatory requirements;</w:t>
      </w:r>
    </w:p>
    <w:p>
      <w:pPr>
        <w:spacing w:after="0" w:line="225" w:lineRule="exact"/>
        <w:rPr>
          <w:rFonts w:ascii="Times New Roman" w:cs="Times New Roman" w:eastAsia="Times New Roman" w:hAnsi="Times New Roman"/>
          <w:sz w:val="16"/>
          <w:szCs w:val="16"/>
          <w:color w:val="auto"/>
        </w:rPr>
      </w:pPr>
    </w:p>
    <w:p>
      <w:pPr>
        <w:ind w:left="760" w:right="80" w:hanging="378"/>
        <w:spacing w:after="0" w:line="282" w:lineRule="auto"/>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61" w:lineRule="exact"/>
        <w:rPr>
          <w:rFonts w:ascii="Times New Roman" w:cs="Times New Roman" w:eastAsia="Times New Roman" w:hAnsi="Times New Roman"/>
          <w:sz w:val="16"/>
          <w:szCs w:val="16"/>
          <w:color w:val="auto"/>
        </w:rPr>
      </w:pPr>
    </w:p>
    <w:p>
      <w:pPr>
        <w:ind w:left="760" w:right="920" w:hanging="378"/>
        <w:spacing w:after="0" w:line="282" w:lineRule="auto"/>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or engaging a contract sales organization.</w:t>
      </w:r>
    </w:p>
    <w:p>
      <w:pPr>
        <w:spacing w:after="0" w:line="162"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If additional product candidates are approved, we may incur expenses prior to product launch in expanding our sales force and compliant marketing and sales infrastructure. If a commercial launch is delayed as a result of FDA requirements or other reasons, we may incur these expenses prior to being able to realize any revenue from sales of such product candidate(s). Furthermore, our sales force and marketing teams may not be successful in commercializing any of our current or future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any of our products do not achieve broad market acceptance, the revenues that we generate from their sales will be limited.</w:t>
      </w:r>
    </w:p>
    <w:p>
      <w:pPr>
        <w:spacing w:after="0" w:line="229"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Our products, and, if approved, our product candidates, may not gain acceptance among physicians, patients, third-party payors, or others in the medical community. If any of our products or product candidates, for which we obtain regulatory approval, do not gain an adequate level of market acceptance, we may not generate significant product revenues or become profitable. Market acceptance of any of our products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Physicians and their patients may likewise make decisions about therapies based on cost and insurance coverage and reimbursement. Such reimbursement may be impacted by our ability to enter into single-case agreements (in the absence of a longer term agreement) with insurance companies, and the absence of any agreement or inadequate coverage or reimbursement may require patients to pay from their own funds, but the costs of our product may be prohibitive in such cases. Further, patients often acclimate to the therapy that they are currently taking. While they may switch if their physicians recommend switching products, there is no guarantee. Additionally, they may also switch therapies due to lack of reimbursement for existing therapies or for other reasons. Even if physicians prescribe our products, third-party payors may not provide coverage or may not consider them cost effective without a significant price concession, which could negatively impact our revenue. Third-party payors may also implement onerous access controls, which could further impede our efforts to effectively transition eligible patients to our therapies.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140" w:firstLine="749"/>
        <w:spacing w:after="0" w:line="289" w:lineRule="auto"/>
        <w:rPr>
          <w:sz w:val="20"/>
          <w:szCs w:val="20"/>
          <w:color w:val="auto"/>
        </w:rPr>
      </w:pPr>
      <w:r>
        <w:rPr>
          <w:rFonts w:ascii="Times New Roman" w:cs="Times New Roman" w:eastAsia="Times New Roman" w:hAnsi="Times New Roman"/>
          <w:sz w:val="17"/>
          <w:szCs w:val="17"/>
          <w:color w:val="auto"/>
        </w:rPr>
        <w:t>Efforts to educate the medical community and third-party payors on the benefits of our products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products will depend on a number of factors, including:</w:t>
      </w:r>
    </w:p>
    <w:p>
      <w:pPr>
        <w:spacing w:after="0" w:line="158"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efficacy of our products;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prevalence and severity of adverse events associated with such product;</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clinical indications for which the product is approved and the approved claims that we may make for the product;</w:t>
      </w:r>
    </w:p>
    <w:p>
      <w:pPr>
        <w:spacing w:after="0" w:line="184" w:lineRule="exact"/>
        <w:rPr>
          <w:rFonts w:ascii="Times New Roman" w:cs="Times New Roman" w:eastAsia="Times New Roman" w:hAnsi="Times New Roman"/>
          <w:sz w:val="16"/>
          <w:szCs w:val="16"/>
          <w:color w:val="auto"/>
        </w:rPr>
      </w:pPr>
    </w:p>
    <w:p>
      <w:pPr>
        <w:ind w:left="760" w:right="680" w:hanging="378"/>
        <w:spacing w:after="0" w:line="245" w:lineRule="exact"/>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limitations or warnings contained in the product’s FDA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labeling, including potential limitations or warnings for such product candidate, that may be more restrictive than other competitive products;</w:t>
      </w:r>
    </w:p>
    <w:p>
      <w:pPr>
        <w:spacing w:after="0" w:line="198" w:lineRule="exact"/>
        <w:rPr>
          <w:rFonts w:ascii="Times New Roman" w:cs="Times New Roman" w:eastAsia="Times New Roman" w:hAnsi="Times New Roman"/>
          <w:sz w:val="16"/>
          <w:szCs w:val="16"/>
          <w:color w:val="auto"/>
        </w:rPr>
      </w:pPr>
    </w:p>
    <w:p>
      <w:pPr>
        <w:ind w:left="760" w:right="180" w:hanging="378"/>
        <w:spacing w:after="0" w:line="282" w:lineRule="auto"/>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changes in the standard of care for the targeted indications for such product candidate, which could reduce the marketing impact of any claims that we could make following FDA approval, if obtained;</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relative convenience and ease of administration of such product;</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cost of treatment versus economic and clinical benefit in relation to alternative treatments or therapies;</w:t>
      </w:r>
    </w:p>
    <w:p>
      <w:pPr>
        <w:spacing w:after="0" w:line="225" w:lineRule="exact"/>
        <w:rPr>
          <w:rFonts w:ascii="Times New Roman" w:cs="Times New Roman" w:eastAsia="Times New Roman" w:hAnsi="Times New Roman"/>
          <w:sz w:val="16"/>
          <w:szCs w:val="16"/>
          <w:color w:val="auto"/>
        </w:rPr>
      </w:pPr>
    </w:p>
    <w:p>
      <w:pPr>
        <w:ind w:left="760" w:right="560" w:hanging="378"/>
        <w:spacing w:after="0" w:line="282" w:lineRule="auto"/>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availability of adequate coverage or reimbursement by third parties, such as insurance companies and other healthcare payors, and by government healthcare programs, including Medicare and Medicaid;</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willingness of third-party payors to prefer other products, even if not approved for our product’s indication;</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extent and strength of our marketing and distribution of such product;</w:t>
      </w:r>
    </w:p>
    <w:p>
      <w:pPr>
        <w:spacing w:after="0" w:line="225" w:lineRule="exact"/>
        <w:rPr>
          <w:rFonts w:ascii="Times New Roman" w:cs="Times New Roman" w:eastAsia="Times New Roman" w:hAnsi="Times New Roman"/>
          <w:sz w:val="16"/>
          <w:szCs w:val="16"/>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 for any of our intended indications;</w:t>
      </w:r>
    </w:p>
    <w:p>
      <w:pPr>
        <w:spacing w:after="0" w:line="161" w:lineRule="exact"/>
        <w:rPr>
          <w:rFonts w:ascii="Times New Roman" w:cs="Times New Roman" w:eastAsia="Times New Roman" w:hAnsi="Times New Roman"/>
          <w:sz w:val="16"/>
          <w:szCs w:val="16"/>
          <w:color w:val="auto"/>
        </w:rPr>
      </w:pPr>
    </w:p>
    <w:p>
      <w:pPr>
        <w:ind w:left="760" w:right="600" w:hanging="378"/>
        <w:spacing w:after="0" w:line="282" w:lineRule="auto"/>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distribution and use restrictions imposed by the FDA with respect to such product or to which we agree as part of a mandatory REMS or voluntary risk management plan;</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timing of market introduction of such product, as well as competitive products;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ability to offer such product candidate for sale at competitive prices, including prices that are competitive with generic products;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84" w:lineRule="exact"/>
        <w:rPr>
          <w:rFonts w:ascii="Times New Roman" w:cs="Times New Roman" w:eastAsia="Times New Roman" w:hAnsi="Times New Roman"/>
          <w:sz w:val="16"/>
          <w:szCs w:val="16"/>
          <w:color w:val="auto"/>
        </w:rPr>
      </w:pPr>
    </w:p>
    <w:p>
      <w:pPr>
        <w:ind w:left="760" w:hanging="378"/>
        <w:spacing w:after="0" w:line="207" w:lineRule="exact"/>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extent and strength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 and supplier support;</w:t>
      </w:r>
    </w:p>
    <w:p>
      <w:pPr>
        <w:spacing w:after="0" w:line="26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approval of other new products for the same indications;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potential product liability claims.</w:t>
      </w: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Our efforts to educate the medical community and third-party payors on the benefits of our products may require significant resources and may never be successful. Even if the medical community accepts that one of our product candidates is safe and effective for its approved indications and third-party payors provide coverage and reimbursement for the same, physicians and patients may not immediately be receptive to such product candidate and may be slow to adopt it as an accepted treatment of the approved indication or may not accept it at all. It is unlikely that any labeling approved by the FDA will contain claims that one of our product candidates is safer or more effective than competitive products or will permit us to promote such product candidate as being superior to competing products.</w:t>
      </w:r>
    </w:p>
    <w:p>
      <w:pPr>
        <w:spacing w:after="0" w:line="187" w:lineRule="exact"/>
        <w:rPr>
          <w:sz w:val="20"/>
          <w:szCs w:val="20"/>
          <w:color w:val="auto"/>
        </w:rPr>
      </w:pPr>
    </w:p>
    <w:p>
      <w:pPr>
        <w:ind w:right="160" w:firstLine="749"/>
        <w:spacing w:after="0" w:line="219" w:lineRule="exact"/>
        <w:rPr>
          <w:sz w:val="20"/>
          <w:szCs w:val="20"/>
          <w:color w:val="auto"/>
        </w:rPr>
      </w:pPr>
      <w:r>
        <w:rPr>
          <w:rFonts w:ascii="Times New Roman" w:cs="Times New Roman" w:eastAsia="Times New Roman" w:hAnsi="Times New Roman"/>
          <w:sz w:val="18"/>
          <w:szCs w:val="18"/>
          <w:color w:val="auto"/>
        </w:rPr>
        <w:t>The potential market opportunities for our products and/or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19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successful claims are brought against us, we may incur substantial liability and may have to limit our products’ commercialization.</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use of any of our current or future product candidates in clinical trials, and the sale of any of our products exposes us to the risk of product liability claims. We face inherent risk of product liability related to the testing of our product candidates in human clinical trials and face an even greater risk for our commercialized products. For example, we may be sued if any products we develop allegedly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products. Even successful defense would require significant financial and management resources. Regardless of merit or eventual outcome, liability claims may result in loss of revenue, including from:</w:t>
      </w:r>
    </w:p>
    <w:p>
      <w:pPr>
        <w:spacing w:after="0" w:line="188"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decreased demand for our products;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impairment of our business reputation or financial stability;</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costs of related litigation;</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substantial monetary awards to patients or other claimants;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diversion of management attention;</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loss of revenues;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withdrawal of clinical trial participants and potential termination of clinical trial sites or entire clinical programs;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inability to commercialize our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significant negative media attention;</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decrease in our stock price;</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initiation of investigations and enforcement actions by regulators; and</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5" w:lineRule="exact"/>
        <w:rPr>
          <w:sz w:val="20"/>
          <w:szCs w:val="20"/>
          <w:color w:val="auto"/>
        </w:rPr>
      </w:pPr>
    </w:p>
    <w:p>
      <w:pPr>
        <w:ind w:right="220" w:firstLine="749"/>
        <w:spacing w:after="0" w:line="255" w:lineRule="auto"/>
        <w:rPr>
          <w:sz w:val="20"/>
          <w:szCs w:val="20"/>
          <w:color w:val="auto"/>
        </w:rPr>
      </w:pPr>
      <w:r>
        <w:rPr>
          <w:rFonts w:ascii="Times New Roman" w:cs="Times New Roman" w:eastAsia="Times New Roman" w:hAnsi="Times New Roman"/>
          <w:sz w:val="18"/>
          <w:szCs w:val="18"/>
          <w:color w:val="auto"/>
        </w:rPr>
        <w:t>We have obtained limited product liability insurance coverage for our products and our clinical trials.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18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Sunosi is a controlled substance and may be subject to U.S. federal and state controlled substance laws and regulations, and our failure to comply with these laws and regulations, or the cost of compliance with these laws and regulations, could materially and adversely affect our business, results of operations, financial condition and growth prospects.</w:t>
      </w:r>
    </w:p>
    <w:p>
      <w:pPr>
        <w:spacing w:after="0" w:line="17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Sunosi contains controlled substances as defined in the Federal Controlled Substances Act, or CSA. Controlled substances are subject to a number of requirements and restrictions under the CSA and implementing regulations, including certain registration, security, recordkeeping, reporting, import, export and other requirements administered by the U.S. Drug Enforcement Administration, or DEA. The DEA classifies controlled substances into five schedules: Schedule I, II, III, IV or V substances. Schedule I substances by definition have a high potential for abuse, have no currently “accepted medical use” in the U.S., lack accepted safety for use under medical supervision, and may not be prescribed, marketed or sold in the U.S. Pharmaceutical products approved for use in the U.S. which contain a controlled substance are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heightened security requirements and additional criteria for importation. In addition, dispensing of Schedule II drugs is further restricted. For example, they may not be refilled without a new prescription. Sunosi is a Schedule IV controlled substance.</w:t>
      </w:r>
    </w:p>
    <w:p>
      <w:pPr>
        <w:spacing w:after="0" w:line="194"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Individual states have also established controlled substance laws and regulations. Though state-controlled substances laws often mirror federal law, they may separately schedule our products or our product candidates as well. We, or our partners, may also be required to obtain separate state registrations, permits or licenses in order to be able to manufacture, distribute, administer or prescribe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183"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U.S facilities conducting research, manufacturing, distributing, importing or exporting, or dispensing controlled substances must be registered (licensed) to perform these activities and must comply with the security, control, recordkeeping and reporting obligations under the CSA, DEA regulations and corresponding state requirements. DEA and state regulatory bodies conduct periodic inspections of certain registered establishments that handle controlled substances. Obtaining and maintaining the necessary registrations and complying with the regulatory obligations may result in delay of the importation, manufacturing, distribution or clinical research of our products and product candidates. Furthermore, failure to maintain compliance with the CSA and DEA and state regulations by us or any of our contractors, distributors or pharmacies can result in regulatory action that could have a material adverse effect on our business, financial condition and results of operations. DEA and state regulatory bodies may seek civil penalties, refuse to renew necessary registrations, or initiate proceedings to restrict, suspend or revoke those registrations. In certain circumstances, violations could lead to criminal penalties. Any penalties imposed by the DEA to us or our third-party manufacturers could have a material adverse effect on our business, results of operations, financial condition and growth prospects.</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perform many essential services for our products and product candidates, including services related to our preclinical studies and clinical trials, warehousing and inventory control, distribution, government price reporting, customer service, and adverse event reporting. If these third parties fail to perform satisfactorily, including by failing to meet deadlines for the completion of our preclinical studies and clinical trials, or fail to comply with legal and regulatory requirements, our ability to commercialize any of our products will be significantly impacted and we may be subject to regulatory sanctions.</w:t>
      </w:r>
    </w:p>
    <w:p>
      <w:pPr>
        <w:spacing w:after="0" w:line="142" w:lineRule="exact"/>
        <w:rPr>
          <w:sz w:val="20"/>
          <w:szCs w:val="20"/>
          <w:color w:val="auto"/>
        </w:rPr>
      </w:pPr>
    </w:p>
    <w:p>
      <w:pPr>
        <w:ind w:firstLine="749"/>
        <w:spacing w:after="0" w:line="224" w:lineRule="exact"/>
        <w:rPr>
          <w:sz w:val="20"/>
          <w:szCs w:val="20"/>
          <w:color w:val="auto"/>
        </w:rPr>
      </w:pPr>
      <w:r>
        <w:rPr>
          <w:rFonts w:ascii="Times New Roman" w:cs="Times New Roman" w:eastAsia="Times New Roman" w:hAnsi="Times New Roman"/>
          <w:sz w:val="18"/>
          <w:szCs w:val="18"/>
          <w:color w:val="auto"/>
        </w:rPr>
        <w:t>We rely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parties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98"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GLP as appropriate. Moreover, the FDA and comparable foreign regulatory authorities require us to comply with standards, such as GCP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the third parties we engage fail to comply with applicable GCP, we, or those third parties,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51" w:lineRule="exact"/>
        <w:rPr>
          <w:sz w:val="20"/>
          <w:szCs w:val="20"/>
          <w:color w:val="auto"/>
        </w:rPr>
      </w:pPr>
    </w:p>
    <w:p>
      <w:pPr>
        <w:ind w:right="160" w:firstLine="749"/>
        <w:spacing w:after="0" w:line="228" w:lineRule="exact"/>
        <w:rPr>
          <w:sz w:val="20"/>
          <w:szCs w:val="20"/>
          <w:color w:val="auto"/>
        </w:rPr>
      </w:pPr>
      <w:r>
        <w:rPr>
          <w:rFonts w:ascii="Times New Roman" w:cs="Times New Roman" w:eastAsia="Times New Roman" w:hAnsi="Times New Roman"/>
          <w:sz w:val="18"/>
          <w:szCs w:val="18"/>
          <w:color w:val="auto"/>
        </w:rPr>
        <w:t>In addition, when we submit an NDA for review, we are required to report certain financial interests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198"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cannot assure you that upon inspection by a given regulatory authority, such regulatory authority will determine that any of our clinical trials comply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or to meet the related submission requirements can result in enforcement actions, including civil monetary penalties and adverse publicity.</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Third parties we engage to conduct research may also have relationships with other entities, some of which may be our competitors, for whom they may also be conducting clinical trials or other drug development activities that could harm our competitive position. In addition, these third parties are not our employees, and except for remedies available to us under our agreements with such third parties, we cannot control whether or not they devote sufficient time and resources to our ongoing clinical, non-clinical,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pacing w:after="0" w:line="19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arrangements with alternative resources or to do so on commercially reasonable terms. Switching or adding additional third parties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these third-party vendors,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8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75"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We do not manufacture any of our products, and we do not currently plan to develop any capacity to do so. We currently outsource all manufacturing of our products to third parties typically without any guarantee that there will be sufficient supplies to fulfill our requirements or that we may obtain such supplies on acceptable terms. Any delays in obtaining adequate supplies with respect to our products may delay or disrupt the development or commercialization of our products. Moreover, we do not yet in all cases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87" w:lineRule="exact"/>
        <w:rPr>
          <w:sz w:val="20"/>
          <w:szCs w:val="20"/>
          <w:color w:val="auto"/>
        </w:rPr>
      </w:pPr>
    </w:p>
    <w:p>
      <w:pPr>
        <w:ind w:right="20" w:firstLine="749"/>
        <w:spacing w:after="0" w:line="222" w:lineRule="exact"/>
        <w:rPr>
          <w:sz w:val="20"/>
          <w:szCs w:val="20"/>
          <w:color w:val="auto"/>
        </w:rPr>
      </w:pPr>
      <w:r>
        <w:rPr>
          <w:rFonts w:ascii="Times New Roman" w:cs="Times New Roman" w:eastAsia="Times New Roman" w:hAnsi="Times New Roman"/>
          <w:sz w:val="18"/>
          <w:szCs w:val="18"/>
          <w:color w:val="auto"/>
        </w:rPr>
        <w:t>We may not succeed in our efforts to establish manufacturing relationships or other alternative arrangements for any of our existing or future products and programs. Our products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for us to meet commercial demand or to advance our clinical trials while we identify and qualify replacement suppliers. If, for any reason we are unable to obtain adequate supplies of our products or the drug substances used to manufacture them, it will be more difficult for us to develop our products and compete effectively. Further, even if we do establish such collaborations or arrangements,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may breach, terminate, or not renew these agreements.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0" w:firstLine="749"/>
        <w:spacing w:after="0" w:line="223" w:lineRule="exact"/>
        <w:rPr>
          <w:sz w:val="20"/>
          <w:szCs w:val="20"/>
          <w:color w:val="auto"/>
        </w:rPr>
      </w:pPr>
      <w:r>
        <w:rPr>
          <w:rFonts w:ascii="Times New Roman" w:cs="Times New Roman" w:eastAsia="Times New Roman" w:hAnsi="Times New Roman"/>
          <w:sz w:val="18"/>
          <w:szCs w:val="18"/>
          <w:color w:val="auto"/>
        </w:rPr>
        <w:t>Any problems or delays we experience in preparing for commercial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198" w:lineRule="exact"/>
        <w:rPr>
          <w:sz w:val="20"/>
          <w:szCs w:val="20"/>
          <w:color w:val="auto"/>
        </w:rPr>
      </w:pPr>
    </w:p>
    <w:p>
      <w:pPr>
        <w:ind w:right="140" w:firstLine="749"/>
        <w:spacing w:after="0" w:line="219" w:lineRule="exact"/>
        <w:rPr>
          <w:sz w:val="20"/>
          <w:szCs w:val="20"/>
          <w:color w:val="auto"/>
        </w:rPr>
      </w:pPr>
      <w:r>
        <w:rPr>
          <w:rFonts w:ascii="Times New Roman" w:cs="Times New Roman" w:eastAsia="Times New Roman" w:hAnsi="Times New Roman"/>
          <w:sz w:val="18"/>
          <w:szCs w:val="18"/>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198"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addition, all manufacturers of our products must comply with cGMP requirements enforced by the FDA and comparable foreign regulatory authorities that are applicable to both finished drug products and active pharmaceutical ingredients used both for clinical and commercial supply, through its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products, other than through our contractual arrangements, we have little control over our manufacturers’ compliance with these regulations and standards. If the FDA or a comparable foreign regulatory authority does not approve these facilities for the manufacture of our products or if it withdraws any such approval in the future, we may need to find alternative manufacturing facilities, which would significantly impact our ability to develop or market our products, or obtain regulatory approval for, our product candidates. A failure to comply with these requirements may result in regulatory enforcement actions against our manufacturers or us, including fines and civil and criminal penalties, including imprisonment; suspension or restrictions on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FCA; corporate integrity agreements; consent decrees; or withdrawal of product approval. If the safety of any quantities supplied is compromised due to our manufacturers’ failure to adhere to applicable laws or for other reasons, we may not be able to obtain regulatory approval for our product candidates or successfully commercialize our products.</w:t>
      </w:r>
    </w:p>
    <w:p>
      <w:pPr>
        <w:spacing w:after="0" w:line="19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Any failure or refusal to supply our products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an NDA applicant and commercial “virtual manufacturer,” we may rely in many cases on third parties to perform many essential services for our products, including services related to warehousing and inventory control, distribution, government price reporting, customer service, and adverse event reporting. If these third parties fail to perform as expected or to comply with legal and regulatory requirements, our ability to commercialize any of our products will be significantly impacted and we may be subject to regulatory sanctions.</w:t>
      </w:r>
    </w:p>
    <w:p>
      <w:pPr>
        <w:spacing w:after="0" w:line="1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have retained third-party service providers to perform a variety of functions related to the sale and distribution of our products, key aspects of which are out of our direct control. These service providers provide key services related to warehousing and inventory control, distribution, government price reporting, and customer service, and, as a result, much of our inventory is stored at a single warehouse maintained by one such service provider. We substantially rely on this service provider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 Moreover, these agreements might terminate for a variety of reasons. If we fail to enter into alternative arrangements, this could further delay the commercialization of our products and adversely affect our business.</w:t>
      </w:r>
    </w:p>
    <w:p>
      <w:pPr>
        <w:spacing w:after="0" w:line="188"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addition, we may engage third parties to perform various other services for us relating to adverse event reporting, safety database management, fulfillment of requests for medical information regarding our products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80"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Additionally, if a third party errs in calculating government pricing information from transactional data in our financial records, it could impact our discount and rebate liability and potentially cause government programs to overpay providers for our products, which could expose us to significant FCA liability and other civil monetary penalties.</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59" w:lineRule="exact"/>
        <w:rPr>
          <w:sz w:val="20"/>
          <w:szCs w:val="20"/>
          <w:color w:val="auto"/>
        </w:rPr>
      </w:pPr>
    </w:p>
    <w:p>
      <w:pPr>
        <w:ind w:right="200" w:firstLine="749"/>
        <w:spacing w:after="0" w:line="253" w:lineRule="auto"/>
        <w:rPr>
          <w:sz w:val="20"/>
          <w:szCs w:val="20"/>
          <w:color w:val="auto"/>
        </w:rPr>
      </w:pPr>
      <w:r>
        <w:rPr>
          <w:rFonts w:ascii="Times New Roman" w:cs="Times New Roman" w:eastAsia="Times New Roman" w:hAnsi="Times New Roman"/>
          <w:sz w:val="18"/>
          <w:szCs w:val="18"/>
          <w:color w:val="auto"/>
        </w:rPr>
        <w:t>Our business model is to commercialize our product candidates in the United States, and we may either commercialize products outside the United States ourselves or collaborate with pharmaceutical or biotechnology companies, or academic institutions, for the development or commercialization of our product candidates in the rest of the world. For example, we currently commercialize Sunosi in Canada. In February 2023, we announced a licensing transaction with Pharmanovia to market Sunosi in Europe and certain countries in the Middle East / North Africa.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relied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192"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We may license the right to market and sell our products under our collaborators’ labeler codes. Alternatively, we may enter into agreements with collaborators to market and sell our products under our own labeler code, in which case errors and omissions by collaborators in capturing and transmitting transactional data may impact the accuracy of our government price reporting.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w:t>
      </w:r>
    </w:p>
    <w:p>
      <w:pPr>
        <w:spacing w:after="0" w:line="176"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collaborators may not perform their obligations as expected;</w:t>
      </w:r>
    </w:p>
    <w:p>
      <w:pPr>
        <w:spacing w:after="0" w:line="225" w:lineRule="exact"/>
        <w:rPr>
          <w:rFonts w:ascii="Times New Roman" w:cs="Times New Roman" w:eastAsia="Times New Roman" w:hAnsi="Times New Roman"/>
          <w:sz w:val="16"/>
          <w:szCs w:val="16"/>
          <w:color w:val="auto"/>
        </w:rPr>
      </w:pPr>
    </w:p>
    <w:p>
      <w:pPr>
        <w:ind w:left="760" w:right="60" w:hanging="378"/>
        <w:spacing w:after="0" w:line="266" w:lineRule="auto"/>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collaborators may not pursue development and commercialization of any product candidates which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75" w:lineRule="exact"/>
        <w:rPr>
          <w:rFonts w:ascii="Times New Roman" w:cs="Times New Roman" w:eastAsia="Times New Roman" w:hAnsi="Times New Roman"/>
          <w:sz w:val="16"/>
          <w:szCs w:val="16"/>
          <w:color w:val="auto"/>
        </w:rPr>
      </w:pPr>
    </w:p>
    <w:p>
      <w:pPr>
        <w:ind w:left="760" w:right="720" w:hanging="378"/>
        <w:spacing w:after="0" w:line="282" w:lineRule="auto"/>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collaborators could fail to make timely regulatory submissions for a product candidate;</w:t>
      </w:r>
    </w:p>
    <w:p>
      <w:pPr>
        <w:spacing w:after="0" w:line="225" w:lineRule="exact"/>
        <w:rPr>
          <w:rFonts w:ascii="Times New Roman" w:cs="Times New Roman" w:eastAsia="Times New Roman" w:hAnsi="Times New Roman"/>
          <w:sz w:val="16"/>
          <w:szCs w:val="16"/>
          <w:color w:val="auto"/>
        </w:rPr>
      </w:pPr>
    </w:p>
    <w:p>
      <w:pPr>
        <w:ind w:left="760" w:right="440" w:hanging="378"/>
        <w:spacing w:after="0" w:line="282" w:lineRule="auto"/>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collaborators may not comply with all applicable regulatory requirements or may fail to report safety data in accordance with all applicable regulatory requirements;</w:t>
      </w:r>
    </w:p>
    <w:p>
      <w:pPr>
        <w:spacing w:after="0" w:line="161" w:lineRule="exact"/>
        <w:rPr>
          <w:rFonts w:ascii="Times New Roman" w:cs="Times New Roman" w:eastAsia="Times New Roman" w:hAnsi="Times New Roman"/>
          <w:sz w:val="16"/>
          <w:szCs w:val="16"/>
          <w:color w:val="auto"/>
        </w:rPr>
      </w:pPr>
    </w:p>
    <w:p>
      <w:pPr>
        <w:ind w:left="760" w:right="120" w:hanging="378"/>
        <w:spacing w:after="0" w:line="266" w:lineRule="auto"/>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75" w:lineRule="exact"/>
        <w:rPr>
          <w:rFonts w:ascii="Times New Roman" w:cs="Times New Roman" w:eastAsia="Times New Roman" w:hAnsi="Times New Roman"/>
          <w:sz w:val="16"/>
          <w:szCs w:val="16"/>
          <w:color w:val="auto"/>
        </w:rPr>
      </w:pPr>
    </w:p>
    <w:p>
      <w:pPr>
        <w:ind w:left="760" w:right="140" w:hanging="378"/>
        <w:spacing w:after="0" w:line="282" w:lineRule="auto"/>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61" w:lineRule="exact"/>
        <w:rPr>
          <w:rFonts w:ascii="Times New Roman" w:cs="Times New Roman" w:eastAsia="Times New Roman" w:hAnsi="Times New Roman"/>
          <w:sz w:val="16"/>
          <w:szCs w:val="16"/>
          <w:color w:val="auto"/>
        </w:rPr>
      </w:pPr>
    </w:p>
    <w:p>
      <w:pPr>
        <w:ind w:left="760" w:right="120" w:hanging="378"/>
        <w:spacing w:after="0" w:line="282" w:lineRule="auto"/>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61" w:lineRule="exact"/>
        <w:rPr>
          <w:rFonts w:ascii="Times New Roman" w:cs="Times New Roman" w:eastAsia="Times New Roman" w:hAnsi="Times New Roman"/>
          <w:sz w:val="16"/>
          <w:szCs w:val="16"/>
          <w:color w:val="auto"/>
        </w:rPr>
      </w:pPr>
    </w:p>
    <w:p>
      <w:pPr>
        <w:ind w:left="760" w:right="320" w:hanging="378"/>
        <w:spacing w:after="0" w:line="261" w:lineRule="auto"/>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lead to additional responsibilities for us with respect to product candidates, or result in litigation or arbitration, any of which would be time consuming and expensive;</w:t>
      </w:r>
    </w:p>
    <w:p>
      <w:pPr>
        <w:spacing w:after="0" w:line="179" w:lineRule="exact"/>
        <w:rPr>
          <w:rFonts w:ascii="Times New Roman" w:cs="Times New Roman" w:eastAsia="Times New Roman" w:hAnsi="Times New Roman"/>
          <w:sz w:val="16"/>
          <w:szCs w:val="16"/>
          <w:color w:val="auto"/>
        </w:rPr>
      </w:pPr>
    </w:p>
    <w:p>
      <w:pPr>
        <w:jc w:val="both"/>
        <w:ind w:left="760" w:right="280" w:hanging="378"/>
        <w:spacing w:after="0" w:line="312" w:lineRule="auto"/>
        <w:tabs>
          <w:tab w:leader="none" w:pos="7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39"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18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5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Market exclusivity awarded by the FDA upon the approval of an NDA is limited in scope and duration. For example, our New Chemical Entity exclusivity for Sunosi expired on June 17, 2024 with an Orphan Drug Exclusivity relating to the product’s narcolepsy indication expiring on June 17, 2026. For Auvelity, the New Product Exclusivity expires on August 18, 2025. Neither of these expiry dates take into account the effect of the statutory 30-month stay should we timely commence litigation against any generic filer. A generic filer may be permitted to launch a generic version of either of our products following expiry of these exclusivities if our patents do not preclude a generic launch. Patent litigation is inherently uncertain, and we cannot guarantee the outcome of any such proceedings or that we would succeed in stopping the “at risk” launch of a generic version of either of our currently commercialized products during the pendency of litigation following expiry of the 30-month stay. Such a generic launch could materially impact our commercial success.</w:t>
      </w:r>
    </w:p>
    <w:p>
      <w:pPr>
        <w:spacing w:after="0" w:line="189" w:lineRule="exact"/>
        <w:rPr>
          <w:sz w:val="20"/>
          <w:szCs w:val="20"/>
          <w:color w:val="auto"/>
        </w:rPr>
      </w:pPr>
    </w:p>
    <w:p>
      <w:pPr>
        <w:ind w:firstLine="749"/>
        <w:spacing w:after="0" w:line="217" w:lineRule="exact"/>
        <w:rPr>
          <w:sz w:val="20"/>
          <w:szCs w:val="20"/>
          <w:color w:val="auto"/>
        </w:rPr>
      </w:pPr>
      <w:r>
        <w:rPr>
          <w:rFonts w:ascii="Times New Roman" w:cs="Times New Roman" w:eastAsia="Times New Roman" w:hAnsi="Times New Roman"/>
          <w:sz w:val="18"/>
          <w:szCs w:val="18"/>
          <w:color w:val="auto"/>
        </w:rPr>
        <w:t>We seek to protect intellectual property relating to our products and portfolio products by prosecuting patents in the United States and elsewhere. 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 applications and patents. Therefore, these patents and patent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and patent applications or 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patents and patent applications.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209" w:lineRule="exact"/>
        <w:rPr>
          <w:sz w:val="20"/>
          <w:szCs w:val="20"/>
          <w:color w:val="auto"/>
        </w:rPr>
      </w:pPr>
    </w:p>
    <w:p>
      <w:pPr>
        <w:ind w:left="760" w:hanging="378"/>
        <w:spacing w:after="0" w:line="282" w:lineRule="auto"/>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may not have been the first to conceive of and reduce to practice the inventions covered by each of our pending patent applications and issued patents;</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may not have been the first to file patent applications for these inventions;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others may independently develop similar or alternative technologies or duplicate any of our product candidates or technologies;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it is possible that none of the pending patent applications will result in issued patents;</w:t>
      </w:r>
    </w:p>
    <w:p>
      <w:pPr>
        <w:spacing w:after="0" w:line="225" w:lineRule="exact"/>
        <w:rPr>
          <w:rFonts w:ascii="Times New Roman" w:cs="Times New Roman" w:eastAsia="Times New Roman" w:hAnsi="Times New Roman"/>
          <w:sz w:val="16"/>
          <w:szCs w:val="16"/>
          <w:color w:val="auto"/>
        </w:rPr>
      </w:pPr>
    </w:p>
    <w:p>
      <w:pPr>
        <w:ind w:left="760" w:right="800" w:hanging="378"/>
        <w:spacing w:after="0" w:line="282" w:lineRule="auto"/>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issued patents may not cover commercially viable active products, may not provide us with any competitive advantages, or may be successfully challenged by third parties;</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patents of others may have an adverse effect on our business;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right="20" w:hanging="378"/>
        <w:spacing w:after="0" w:line="266" w:lineRule="auto"/>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noncompliance with requirements of governmental patent agencies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75" w:lineRule="exact"/>
        <w:rPr>
          <w:rFonts w:ascii="Times New Roman" w:cs="Times New Roman" w:eastAsia="Times New Roman" w:hAnsi="Times New Roman"/>
          <w:sz w:val="16"/>
          <w:szCs w:val="16"/>
          <w:color w:val="auto"/>
        </w:rPr>
      </w:pPr>
    </w:p>
    <w:p>
      <w:pPr>
        <w:ind w:left="760" w:right="100" w:hanging="378"/>
        <w:spacing w:after="0" w:line="266" w:lineRule="auto"/>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75" w:lineRule="exact"/>
        <w:rPr>
          <w:rFonts w:ascii="Times New Roman" w:cs="Times New Roman" w:eastAsia="Times New Roman" w:hAnsi="Times New Roman"/>
          <w:sz w:val="16"/>
          <w:szCs w:val="16"/>
          <w:color w:val="auto"/>
        </w:rPr>
      </w:pPr>
    </w:p>
    <w:p>
      <w:pPr>
        <w:ind w:left="760" w:right="60" w:hanging="378"/>
        <w:spacing w:after="0" w:line="266" w:lineRule="auto"/>
        <w:tabs>
          <w:tab w:leader="none" w:pos="7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76"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Patents have a limited lifespan. In most countries, including the United States, the expiration of a patent is typically 20 years from the date that the application for the patent is filed or 20 years from the earliest non-provisional filing date to which priority is claimed if the patent is granted from a continuing application (e.g., continuation, divisional, or continuation-in-part).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FDA-approved product. The actual length of the extension will depend on the amount of patent term lost while the product was in clinical trials. However, the applicable authorities, including the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18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Future patent reform legislation in the U.S. and/or in jurisdictions outside the U.S. could potentially further increase the uncertainties and costs surrounding the prosecution of our patent applications and the enforcement or defense of our issued patents.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36" w:lineRule="exact"/>
        <w:rPr>
          <w:sz w:val="20"/>
          <w:szCs w:val="20"/>
          <w:color w:val="auto"/>
        </w:rPr>
      </w:pPr>
    </w:p>
    <w:p>
      <w:pPr>
        <w:ind w:firstLine="749"/>
        <w:spacing w:after="0" w:line="218" w:lineRule="exact"/>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patent agencies for the patents and patent applications we own and those that we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9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5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Our ability to develop, manufacture, market, and sell any of our products depends upon our ability to avoid infringing the proprietary rights of third parties, and our commercial success depends upon our ability, and the ability of our collaborators, to develop, manufacture, market, and sell our products and use our proprietary technologies without infringing the proprietary rights of third parties. There is considerable intellectual property litigation in the biotechnology and pharmaceutical industries. Numerous U.S. and foreign issued patents and pending patent applications owned by third parties exist in the general field of treatment and management of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against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products may infringe. There could also be existing patents of which we are not aware that any of our current or future products may inadvertently infringe.</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a third-party claims that we infringe their intellectual property rights, we could face a number of issues, including:</w:t>
      </w:r>
    </w:p>
    <w:p>
      <w:pPr>
        <w:spacing w:after="0" w:line="225" w:lineRule="exact"/>
        <w:rPr>
          <w:sz w:val="20"/>
          <w:szCs w:val="20"/>
          <w:color w:val="auto"/>
        </w:rPr>
      </w:pPr>
    </w:p>
    <w:p>
      <w:pPr>
        <w:ind w:left="760" w:right="160" w:hanging="378"/>
        <w:spacing w:after="0" w:line="282" w:lineRule="auto"/>
        <w:tabs>
          <w:tab w:leader="none" w:pos="7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infringement and other intellectual property claims which, whether meritorious or not, can be expensive and time consuming to litigate and can divert management’s attention from our core business;</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substantial damages for past infringement which we may have to pay if a court decides that our product infringes on a competitor’s patent;</w:t>
      </w:r>
    </w:p>
    <w:p>
      <w:pPr>
        <w:spacing w:after="0" w:line="225" w:lineRule="exact"/>
        <w:rPr>
          <w:rFonts w:ascii="Times New Roman" w:cs="Times New Roman" w:eastAsia="Times New Roman" w:hAnsi="Times New Roman"/>
          <w:sz w:val="16"/>
          <w:szCs w:val="16"/>
          <w:color w:val="auto"/>
        </w:rPr>
      </w:pPr>
    </w:p>
    <w:p>
      <w:pPr>
        <w:ind w:left="760" w:right="240" w:hanging="378"/>
        <w:spacing w:after="0" w:line="282" w:lineRule="auto"/>
        <w:tabs>
          <w:tab w:leader="none" w:pos="7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 court prohibiting us from selling or licensing our product unless the patent holder licenses the patent to us, which it would not be required to do;</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if a license is available from a patent holder, we may have to pay substantial royalties or grant cross licenses to our patents; and</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redesigning our products and processes so they do not infringe, which may not be possible or could require substantial funds and time.</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94"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5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Competitors may infringe our issued patents, our in-licensed patents, or other intellectual property that we own or in-license.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and/or to challenge the validity of the asserted patent(s) before a court or the USPTO (e.g., in post-grant proceedings such as Inter Partes Review before the Patent Trial and Appeal Board (PTAB) of the USPTO). In addition, in a patent infringement or validity proceeding, a decision maker (e.g., a court or the PTAB)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or related proceeding at the USPTO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2"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Many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 candidates to market.</w:t>
      </w:r>
    </w:p>
    <w:p>
      <w:pPr>
        <w:spacing w:after="0" w:line="176" w:lineRule="exact"/>
        <w:rPr>
          <w:sz w:val="20"/>
          <w:szCs w:val="20"/>
          <w:color w:val="auto"/>
        </w:rPr>
      </w:pPr>
    </w:p>
    <w:p>
      <w:pPr>
        <w:jc w:val="both"/>
        <w:ind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36"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 agreements, the applicable licensor may have the right to terminate our license, in which case we may not be able to develop or commercialize the products covered by such license.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52" w:lineRule="auto"/>
        <w:rPr>
          <w:sz w:val="20"/>
          <w:szCs w:val="20"/>
          <w:color w:val="auto"/>
        </w:rPr>
      </w:pPr>
      <w:r>
        <w:rPr>
          <w:rFonts w:ascii="Times New Roman" w:cs="Times New Roman" w:eastAsia="Times New Roman" w:hAnsi="Times New Roman"/>
          <w:sz w:val="18"/>
          <w:szCs w:val="18"/>
          <w:color w:val="auto"/>
        </w:rPr>
        <w:t>In January 2020, we entered into an agreement with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trial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 price of our common stock for the 10 prior trading days of $97.538,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compounds and products in the United States and to seek and maintain regulatory approvals for the compounds and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 If the license agreement with Pfizer is terminated for any reason, our business, financial condition, results of operations, and prospects will be materially harmed.</w:t>
      </w:r>
    </w:p>
    <w:p>
      <w:pPr>
        <w:spacing w:after="0" w:line="191" w:lineRule="exact"/>
        <w:rPr>
          <w:sz w:val="20"/>
          <w:szCs w:val="20"/>
          <w:color w:val="auto"/>
        </w:rPr>
      </w:pPr>
    </w:p>
    <w:p>
      <w:pPr>
        <w:ind w:firstLine="749"/>
        <w:spacing w:after="0" w:line="217" w:lineRule="exact"/>
        <w:rPr>
          <w:sz w:val="20"/>
          <w:szCs w:val="20"/>
          <w:color w:val="auto"/>
        </w:rPr>
      </w:pPr>
      <w:r>
        <w:rPr>
          <w:rFonts w:ascii="Times New Roman" w:cs="Times New Roman" w:eastAsia="Times New Roman" w:hAnsi="Times New Roman"/>
          <w:sz w:val="18"/>
          <w:szCs w:val="18"/>
          <w:color w:val="auto"/>
        </w:rPr>
        <w:t>In 2012, we entered into three exclusive license agreements with Antecip an entity owned by our Chief Executive Officer and Chairman of the Board, Herriot Tabuteau, M.D., in which we were granted exclusive licenses to develop, manufacture, and commercialize Antecip’s patents and applications related to the development of AXS-05, as well as two product candidates that are not currently in development, anywhere in the world for human therapeutic, veterinary,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paid-up, royalty-free, perpetual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license. If Antecip terminates any of the agreements for cause, or if we exercise our right to terminate any of the agreements for convenience, the rights granted to us under such terminated agreement will revert to Antecip. We are dependent upon the license agreements with Antecip and if any of the license agreements with Antecip are terminated for any reason, our business, financial condition, results of operations, and prospects will be materially harmed.</w:t>
      </w:r>
    </w:p>
    <w:p>
      <w:pPr>
        <w:spacing w:after="0" w:line="209"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in addition to the upfront purchase price, we assumed certain liabilities in connection with the Acquisition and agreed to make non-refundable, non-creditable royalty payments to Jazz on U.S. net sales. There are no royalty payments due to Jazz for net sales outside of the U.S. In addition, we assumed all of the commitments of Jazz to SK and Aerial. The assumed commitments to SK and Aerial include single-digit tiered royalties and certain sales and development milestones. We are dependent on these agreements, and if we breach these agreements, our business, financial condition, results of operations, and prospects will be materially harmed.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5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prevent disclosure of trade secrets and other proprietary information.</w:t>
      </w:r>
    </w:p>
    <w:p>
      <w:pPr>
        <w:spacing w:after="0" w:line="188"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We rely on trade secrets to protect our proprietary technological advances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especially where we do not believe patent protection is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appropriate or obtainable. However, trade secrets are difficult to protect. We rely in part on confidentiality agreements with our employees, consultants,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contractors, outside scientific collaborators, sponsored researchers, and other advisors, including the third parties we rely on to manufacture our products,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protect our trade secrets and other proprietary information. However, any party with whom we have executed such an agreement may breach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disclose our proprietary information, including our trade secrets. Accordingly, these agreements may not effectively prevent disclosure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 information and may not provide an adequate remedy in the event of unauthorized disclosure of confidential information. Costly and</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litigation could be necessary to enforce and determine the scope of our proprietary rights. In addition, others may independently discover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trade secrets and proprietary information. Further, the FDA, as part of its Transparency Initiative, a proposal to increase disclosure and make data more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accessible to the public, is currently considering whether to make additional information publicly available on a routine basis, including information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consider to be trade secrets or other proprietary information, and it is not clear at the present time how the FDA’s disclosure policies may change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if at all. Failure to obtain or maintain trade secret protection could enable competitors to use our proprietary information to develop products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compete with our products or cause additional, material adverse effects upon our competitive business position and financial results.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or our licensors, may not be able to protect our intellectual property rights throughout the world.</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 applications and patents on products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92" w:lineRule="exact"/>
        <w:rPr>
          <w:sz w:val="20"/>
          <w:szCs w:val="20"/>
          <w:color w:val="auto"/>
        </w:rPr>
      </w:pPr>
    </w:p>
    <w:p>
      <w:pPr>
        <w:ind w:right="100" w:firstLine="749"/>
        <w:spacing w:after="0" w:line="273"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COMPLIANCE MATTERS</w:t>
      </w:r>
    </w:p>
    <w:p>
      <w:pPr>
        <w:spacing w:after="0" w:line="22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state, and foreign healthcare laws, including laws governing fraud and abuse, transparency, health, and other data protection, information privacy and security, we could face substantial penalties and liabilities, and our business, financial condition, results of operations, and prospects could be adversely affected.</w:t>
      </w:r>
    </w:p>
    <w:p>
      <w:pPr>
        <w:spacing w:after="0" w:line="175"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As a pharmaceutical company, we are subject to many federal and state healthcare laws, including those described in the “Business— Government Regulation and Product Approval” section of this Annual Report on Form 10-K, such as the federal Anti-Kickback Statute, the federal civil and criminal FCA, the civil monetary penalties statute, the Medicaid Drug Rebate Statute and other price reporting requirements, the Veterans Health Care Act of 1992, the Sunshine Act, HIPAA, the FCPA, the ACA, and other state and foreign laws. Even though we do not and will not control referrals of healthcare services or bill directly to Medicare, Medicaid, or other third-party payors, certain federal and state healthcare laws and regulations pertaining to fraud and abuse, disclosures, and patients’ rights are and will be applicable to our business. We are subject to healthcare laws by both the federal government and the states in which we conduct our business as well as by other third parties, such as patients.</w:t>
      </w:r>
    </w:p>
    <w:p>
      <w:pPr>
        <w:spacing w:after="0" w:line="18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There are numerous other laws and legislative and regulatory initiatives at the federal and state levels addressing privacy and security concerns, and some state privacy and security laws apply in broader circumstances than HIPAA and its implementing regulations. For example, California enacted legislation – the CCPA, which went into effect in January 2020, as subsequently amended by the CPRA, passed on November 3, 2020. The CCPA, among other things, creates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Further, many data privacy and security laws within the U.S. have concurrent jurisdiction, which could subject us to enforcement by multiple agencies under multiple statutes for the same conduct (e.g., FTC enforcement under Section 5, HHS-Office for Civil Rights enforcement under HIPAA, and actions by state Attorneys General for violation of applicable state laws). Since the passage of the CCPA, certain other states have passed similar laws that may also have similar impacts on our data processing practices and incurred costs. Some of these state laws have not taken effect, and we cannot predict if states will subsequently amend those laws, if other states will pass similar laws, or the costs and expenses that we will incur to comply with such laws.</w:t>
      </w:r>
    </w:p>
    <w:p>
      <w:pPr>
        <w:spacing w:after="0" w:line="19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addition, EU member states and other foreign jurisdictions, including Switzerland, have adopted data protection laws and regulations which impose significant compliance obligations. Moreover, the collection and use of personal data, including health data, relating to individuals located in the EU, which was formerly governed by the provisions of the EU Data Protection Directive 95/46, was replaced with the EU GDPR in May 2018. The GDPR, which is wide-ranging in scope, imposes several requirements relating to the legal basis of the processing of personal data,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EEA to the U.S. and other non-EEA countries that do not provide a level of protection to personal data in line with the GDPR standard, provides an enforcement authority in each EU member state and imposes large penalties for noncompliance, including the potential for fines of up to €20 million or 4% of the annual global turnover of the noncompliant company, whichever is greater. The GDPR requirements apply not only to third-party transactions, but also to transfers of information between us and our subsidiaries, including employee information. The recent coming into force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Moreover,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If we, or our operations, are found to be in violation of any federal or state healthcare, data or information privacy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8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7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government or third-party payors fail to provide adequate coverage and payment rates for any of our products, or if such payors and health care providers including health maintenance organizations (HMOs) and long-term care facilities choose to use therapies that are less expensive, our revenue and prospects for profitability may be limited.</w:t>
      </w:r>
    </w:p>
    <w:p>
      <w:pPr>
        <w:spacing w:after="0" w:line="175"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both domestic and foreign markets, sales of our products depend in part upon the availability of coverage and reimbursement from third-party payors. Such third-party payors include government health programs, such as Medicare and Medicaid, managed care organizations, private health insurers, and other similar programs and organizations. Coverage decisions may depend upon clinical and economic standards that disfavor new drug products when more established or lower cost therapeutic alternatives are already available or subsequently become available. Many private payors employ “new-to-market blocks” for newly launched medications and other products until the payors have had the opportunity to make a coverage decision based upon their internal review of such products. When a medication or other product is not covered, the patient or other third party is responsible to pay the full price, which can significantly limit utilization. If reimbursement is not available, or is available only up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drugs. Marketing approvals, pricing, and reimbursement for new drug products varies widely from country to country. Current and future legislation and/or administrative action may significantly change the approval requirements in ways that could involve additional costs and cause delays in obtaining approvals. For example, on September 20, 2024, the Centers for Medicare &amp; Medicaid Services issued a final rule titled “Medicaid Program; Misclassification of Drugs, Program Integrity Updates Under the Medicaid Drug Rebate Program,” which may impact our reimbursement and rebate strategy.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Additionally, drug pricing is a key state and federal issue within the U.S., with recent legislation and additional proposals designed to bring more transparency to drug pricing, reduce the cost of prescription drugs under Medicare and Medicaid, review the relationship between pricing and manufacturer patient programs and reform government program reimbursement methodologies for drugs. We expect continued focus and pressure on drug pricing going forward. Adverse pricing limitations may hinder our ability or the ability of our collaborators to recoup our or their investment in one or more of our products or product candidates. Our ability, and the ability of our collaborators, to commercialize our product candidates will depend in part on the extent to which coverage and reimbursement for these products and related treatments will be available from government healthcare programs, private health insurers, and other organizations. Regulatory authorities and third-party payors, such as private health insurers and HMOs, decide which medications they will cover and establish reimbursement levels. The healthcare industry is acutely focused on cost containment, both in the United States and elsewhere. Several third-party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low-cost alternatives within the class, particularly if a generic version of the same agent is available in another form.</w:t>
      </w:r>
    </w:p>
    <w:p>
      <w:pPr>
        <w:spacing w:after="0" w:line="20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8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Assuming coverage is approved, the resulting reimbursement payment rates might not be adequate. If payors subject our products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post-marketing studies in order to demonstrate the cost effectiveness of any of our products to the satisfaction of hospitals and other target customers and their third-party payors. Such studies might require us to commit a significant amount of management time and financial and other resources. Our products might not ultimately be considered cost effective. Adequate third-party coverage and reimbursement might not be available to enable us to maintain price levels sufficient to realize an appropriate return on investment in product development.</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federal programs impose penalties on manufacturers of drugs marketed under an NDA, including 505(b)(2) drugs, in the form of mandatory additional rebates and/or discounts if commercial prices increase at a rate greater than the Consumer Price Index 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 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188" w:lineRule="exact"/>
        <w:rPr>
          <w:sz w:val="20"/>
          <w:szCs w:val="20"/>
          <w:color w:val="auto"/>
        </w:rPr>
      </w:pPr>
    </w:p>
    <w:p>
      <w:pPr>
        <w:jc w:val="both"/>
        <w:ind w:right="440" w:firstLine="749"/>
        <w:spacing w:after="0" w:line="257"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w:t>
      </w:r>
    </w:p>
    <w:p>
      <w:pPr>
        <w:spacing w:after="0" w:line="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86"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8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In addition, increasingly, third-party payors are requiring higher levels of evidence of the benefits and clinical outcomes of new technologies and are challenging the prices charged. We, and our collaborators, cannot be sure that coverage will be available for any product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 funded and private payors for any of our product candidates for which we obtain marketing approval could have a material adverse effect on our operating results, ability to raise capital needed to commercialize products, and overall financial condition.</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59" w:lineRule="exact"/>
        <w:rPr>
          <w:sz w:val="20"/>
          <w:szCs w:val="20"/>
          <w:color w:val="auto"/>
        </w:rPr>
      </w:pPr>
    </w:p>
    <w:p>
      <w:pPr>
        <w:ind w:right="60" w:firstLine="749"/>
        <w:spacing w:after="0" w:line="219" w:lineRule="exact"/>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activities, and affect our ability, or the ability of our collaborators, to profitably sell any products for which we obtain marketing approval. It is unclear what impact these various efforts have and will have on our business operations and resulting financial condition.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We are unable to predict the future course of federal or state healthcare legislation in the United States directed at broadening the availability of healthcare and containing or lowering the cost of healthcare, including drugs and biologics. Any further changes in the law or regulatory framework that reduce our revenue or increase our costs could also have a material and adverse effect on our business, financial condition and results of operations.</w:t>
      </w:r>
    </w:p>
    <w:p>
      <w:pPr>
        <w:spacing w:after="0" w:line="176"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expect that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We continue to monitor the potential impact of proposals and recently enacted legislation to lower prescription drug costs at the federal and state level. For example, the IRA was signed into law by President Biden in August 2022. The IRA makes significant changes to how drugs are covered and paid for under the Medicare program, including the creation of financial penalties for drugs whose prices rise faster than the rate of inflation, redesign of the Medicare Part D program to require manufacturers to bear more of the liability for certain drug benefits, and government price-setting for certain Medicare Part D drugs, starting in 2026, and Medicare Part B drugs starting in 2028. The IRA’s changes include, by way of example, capping Medicare beneficiary out-of-pocket spending at $2,000 for 2025 and providing for no beneficiary cost sharing above the annual out-of-pocket threshold. Additionally, as of January 1, 2025, the existing Medicare Coverage Gap Discount Program ended and was replaced by the Manufacturer Discount Program, through which a manufacturer provides discounts for brand-name drugs and biologics in the initial and catastrophic coverage phases under the Medicare Part D benefit. These changes eliminated the Medicare Part D coverage gap benefit phase (commonly referred to as the “donut hole”), in which a Medicare beneficiary was originally responsible for 100% of the costs of covered prescription drugs following an initial coverage phase until the costs initiated a catastrophic coverage phase, but which was gradually phased out through the end of 2024. We are evaluating what effect, if any, the IRA may have on our business.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92"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3"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In addition, there have been a number of other legislative and regulatory proposals aimed at changing the pharmaceutical industry. For instance, the enacted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The distribution of product samples continues to be regulated under the PDMA, and some states also impose regulations on drug sample distribution.</w:t>
      </w:r>
    </w:p>
    <w:p>
      <w:pPr>
        <w:spacing w:after="0" w:line="188"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the EU, recently adopted and pending legislation will impact regulatory procedures for medicinal products. Key developments include Regulation (EU) 2021/2282 on health technology assessment (HTA Regulation), which became applicable in the EU on 12 January 2025. Additionally, in April 2023, the EC adopted a proposal to revise the EU pharmaceutical legislation consisting of a new directive and a new regulation that would replace Directive 2001/83/EC and Regulation (EC) 726/2004, among others. In April 2024, the European Parliament introduced amendments to the EC’s proposal. The EU legislative process remains ongoing, with several stages still required before the reform can receive final approval. If approved, the reform would mark the most significant overhaul of EU pharmaceutical law since 2004, with a wide range of impacts including on approval procedures, regulatory data protection, or RDP, and the so-called “Bolar exemption,” among others.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variety of U.S. and international laws and regulations.</w:t>
      </w:r>
    </w:p>
    <w:p>
      <w:pPr>
        <w:spacing w:after="0" w:line="229"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We are currently subject to a number of government laws and regulations, and, in the future, could become subject to new government laws and regulations. The costs of compliance with such laws and regulations, or the negative results of non-compliance, could adversely affect our business, cash flow, results of operations, financial condition, and prospects; these laws and regulations include (i) additional health care reform initiatives in the U.S. or in other countries, including additional mandatory discounts or fees; (ii) the FCPA or other anti-bribery and corruption laws; (iii) new laws, regulations, and judicial or other governmental decisions affecting pricing, drug reimbursement, and access or marketing within or across jurisdictions; (iv) changes in intellectual property laws; (v) changes in accounting standards; (vi) new and increasing data privacy regulations and enforcement, particularly in the EU, the U.S., and China; (vii) legislative mandates or preferences for local manufacturing of pharmaceutical products; (viii) emerging and new global regulatory requirements for reporting payments and other value transfers to healthcare professionals; (ix) environmental regulations, such as the EU’s Corporate Sustainability Reporting Directive; and (x) the potential impact of importation restrictions, embargoes, trade sanctions, and legislative and/or other regulatory changes.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229"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our product candidate to other available therapies. There can be no assurance that our products will be considered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that an adequate level of reimbursement will be available, or that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36"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p>
    <w:p>
      <w:pPr>
        <w:spacing w:after="0" w:line="151" w:lineRule="exact"/>
        <w:rPr>
          <w:sz w:val="20"/>
          <w:szCs w:val="20"/>
          <w:color w:val="auto"/>
        </w:rPr>
      </w:pPr>
    </w:p>
    <w:p>
      <w:pPr>
        <w:ind w:right="26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manufacturers may use hazardous materials in the production of our products and, if so, they must comply with environmental laws and regulations, which can be expensive and restrict how we or they do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-223520</wp:posOffset>
            </wp:positionV>
            <wp:extent cx="64135"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9"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Manufacturing activities for the production of our products involve the controlled storage, use, and disposal of hazardous materials, including the components of our products, and other hazardous compounds.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98"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18" w:lineRule="exact"/>
        <w:rPr>
          <w:sz w:val="20"/>
          <w:szCs w:val="20"/>
          <w:color w:val="auto"/>
        </w:rPr>
      </w:pPr>
    </w:p>
    <w:p>
      <w:pPr>
        <w:ind w:right="160" w:firstLine="749"/>
        <w:spacing w:after="0" w:line="226" w:lineRule="exact"/>
        <w:rPr>
          <w:sz w:val="20"/>
          <w:szCs w:val="20"/>
          <w:color w:val="auto"/>
        </w:rPr>
      </w:pPr>
      <w:r>
        <w:rPr>
          <w:rFonts w:ascii="Times New Roman" w:cs="Times New Roman" w:eastAsia="Times New Roman" w:hAnsi="Times New Roman"/>
          <w:sz w:val="18"/>
          <w:szCs w:val="18"/>
          <w:color w:val="auto"/>
        </w:rPr>
        <w:t>As of February 11, 2025, we had 683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employees. Our management, personnel, systems, and facilities currently in place may not be adequate to support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or restricted stock units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spacing w:after="0" w:line="202" w:lineRule="exact"/>
        <w:rPr>
          <w:sz w:val="20"/>
          <w:szCs w:val="20"/>
          <w:color w:val="auto"/>
        </w:rPr>
      </w:pPr>
    </w:p>
    <w:p>
      <w:pPr>
        <w:ind w:left="760" w:right="200" w:hanging="378"/>
        <w:spacing w:after="0" w:line="282" w:lineRule="auto"/>
        <w:tabs>
          <w:tab w:leader="none" w:pos="7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continue the hiring and training of personnel for our commercial organization, and maintain appropriate systems, policies and infrastructure to support that organization;</w:t>
      </w:r>
    </w:p>
    <w:p>
      <w:pPr>
        <w:spacing w:after="0" w:line="161" w:lineRule="exact"/>
        <w:rPr>
          <w:rFonts w:ascii="Times New Roman" w:cs="Times New Roman" w:eastAsia="Times New Roman" w:hAnsi="Times New Roman"/>
          <w:sz w:val="16"/>
          <w:szCs w:val="16"/>
          <w:color w:val="auto"/>
        </w:rPr>
      </w:pPr>
    </w:p>
    <w:p>
      <w:pPr>
        <w:ind w:left="760" w:right="40" w:hanging="378"/>
        <w:spacing w:after="0" w:line="282" w:lineRule="auto"/>
        <w:tabs>
          <w:tab w:leader="none" w:pos="7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ensure that our consultants and other service providers successfully carry out their contractual obligations, provide high quality results, and meet expected deadlines;</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continue to carry out our own contractual obligations to our licensors and other third parties; and</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continue to improve our operational, financial, and management controls, reporting systems, and procedures.</w:t>
      </w:r>
    </w:p>
    <w:p>
      <w:pPr>
        <w:spacing w:after="0" w:line="225" w:lineRule="exact"/>
        <w:rPr>
          <w:sz w:val="20"/>
          <w:szCs w:val="20"/>
          <w:color w:val="auto"/>
        </w:rPr>
      </w:pPr>
    </w:p>
    <w:p>
      <w:pPr>
        <w:ind w:right="1060" w:firstLine="749"/>
        <w:spacing w:after="0" w:line="282" w:lineRule="auto"/>
        <w:rPr>
          <w:sz w:val="20"/>
          <w:szCs w:val="20"/>
          <w:color w:val="auto"/>
        </w:rPr>
      </w:pPr>
      <w:r>
        <w:rPr>
          <w:rFonts w:ascii="Times New Roman" w:cs="Times New Roman" w:eastAsia="Times New Roman" w:hAnsi="Times New Roman"/>
          <w:sz w:val="18"/>
          <w:szCs w:val="18"/>
          <w:color w:val="auto"/>
        </w:rPr>
        <w:t>We may be unable to successfully implement these tasks on a larger scale and, accordingly, may not achieve our development and commercialization goals.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15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As we continue to complete our clinical trials and commercialize our product candidates, and as our company continues to grow, we may experience significant strains on our resources, including to our administrative, operational and financial infrastructure, which will result in additional burdens on management.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products, or form strategic alliances in the future, and we may not realize the benefits of such acquisitions or alliances.</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business effectively if we are unable to attract and retain key personnel.</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59"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As a public company, we continue to incur significant legal, accounting and other expenses that we did not incur as a private company. In addition, the Sarbanes-Oxley Act, as well as rules subsequently implemented by the SEC and The Nasdaq Stock Market LLC, or Nasdaq,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8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controls for financial reporting and disclosure controls and procedures. Under Section 404(a) of the Sarbanes-Oxley Act, we are required to furnish a report by management on, among other things, the effectiveness of our internal control over financial reporting. This report must include disclosure of any material weaknesses identified by our management during its periodic assessment of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404(b) of the Sarbanes-Oxley Act also requires our independent auditors to attest to, and report on, this management assessment. Ensuring that we have adequate internal controls in place so that we can produce accurate financial statements on a timely basis is a costly and time-consuming effort.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19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if we identify one or more material weaknesses in our internal control over financial reporting, we would be required to implement remediation procedures aimed at mitigating the control weakness or weaknesses. Until such remediation procedures succeed in mitigating the control weakness or weaknesses, we would be unable to assert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timely and accurately report our financial condition, results of operations or cash flows. The cost of compliance with Section 404 requires us to incur substantial accounting expense and expend significant management time on compliance-related issues as we implement additional corporate governance practices and comply with reporting requirements. Although we currently use the services of a third-party accounting firm to assist us with internal controls, we currently do not have an internal audit group, and we may need to hire additional accounting and financial staff with appropriate public company experience and technical accounting knowledge.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we could lose investor confidence in the accuracy and completeness of our financial reports, and we could be subject to sanctions or investigations by Nasdaq, the SEC or other regulatory authorities, which would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83"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In addition, as discussed above, the Sarbanes-Oxley Act requires, among other things, that we maintain effective disclosure controls and procedures and internal control over financial reporting. In particular, Section 404 of the Sarbanes-Oxley Act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Pursuant to Section 404, we are required to provide an annual management report on the effectiveness of our internal control over financial reporting and we will also be required to include with such annual report an attestation report on internal controls over financial reporting issued by our independent registered public accounting firm. In the future, our independent registered public accounting firm may issue a report that is adverse in the event that we have not maintained effective internal controls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spacing w:after="0" w:line="188"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impact our business and reputation.</w:t>
      </w:r>
    </w:p>
    <w:p>
      <w:pPr>
        <w:spacing w:after="0" w:line="229"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While we strive to improve our ESG performance, we risk negative stockholder reaction, including from proxy advisory services, as well as damage to our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our investors, customers and other stakeholders, we could experience reduced demand for our products, loss of customers, and other negative impacts on our business and results of operations.</w:t>
      </w:r>
    </w:p>
    <w:p>
      <w:pPr>
        <w:spacing w:after="0" w:line="192"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For example, in 2019, we experienced an extraordinary level of appreciation in our stock price. Such levels of gain are unlikely to continue in the future. Since then, we have seen both significant appreciations and depreciations in our stock price. As a result of this volatility, investors may not be able to sell their common stock at or above the price paid for the shares. The market price for our common stock may be influenced by many factors, including:</w:t>
      </w:r>
    </w:p>
    <w:p>
      <w:pPr>
        <w:spacing w:after="0" w:line="180"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commercial success of our products;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delays in the commencement, enrollment, and ultimate completion, of our planned and ongoing Phase 3 clinical trials for our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any delay or refusal on the part of the FDA in approving an NDA for any of our current and future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operating and stock price performance of other companies that investors deem comparable to ours;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recommendations by securities analysts;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news relating to our industry as a whole and news relating to trends in our markets;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results of clinical trials of any of our current and future product candidates or those of our competitors;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actual or anticipated variations in quarterly or annual operating results;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failure to meet or exceed financial projections we provide to the public, if any;</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failure to meet or exceed the estimates and projections of the investment community, including securities analysts;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introduction of competitive products or technologies;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changes or developments in laws or regulations applicable to our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perception of the pharmaceutical industry by the public, legislatures, regulators, and the investment community;</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general economic and market conditions and overall fluctuations in U.S. equity markets;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data or security breaches;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developments concerning our sources of manufacturing supply, warehousing, and inventory control;</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disputes or other developments relating to patents or other proprietary rights;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capital commitments;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investors’ general perception of our company and our business;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announcements and expectations of additional financing efforts, including the issuance of debt, equity or convertible securities;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sales of our common stock, including sales by our directors and officers or significant stockholders;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changes in the market valuations of companies similar to us;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general conditions or trends in our industry; and</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mid-cap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5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w:t>
      </w:r>
    </w:p>
    <w:p>
      <w:pPr>
        <w:spacing w:after="0" w:line="229"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162" w:lineRule="exact"/>
        <w:rPr>
          <w:sz w:val="20"/>
          <w:szCs w:val="20"/>
          <w:color w:val="auto"/>
        </w:rPr>
      </w:pPr>
    </w:p>
    <w:p>
      <w:pPr>
        <w:ind w:left="760" w:hanging="378"/>
        <w:spacing w:after="0"/>
        <w:tabs>
          <w:tab w:leader="none" w:pos="7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commercial success of our products;</w:t>
      </w:r>
    </w:p>
    <w:p>
      <w:pPr>
        <w:spacing w:after="0" w:line="225" w:lineRule="exact"/>
        <w:rPr>
          <w:rFonts w:ascii="Times New Roman" w:cs="Times New Roman" w:eastAsia="Times New Roman" w:hAnsi="Times New Roman"/>
          <w:sz w:val="16"/>
          <w:szCs w:val="16"/>
          <w:color w:val="auto"/>
        </w:rPr>
      </w:pPr>
    </w:p>
    <w:p>
      <w:pPr>
        <w:ind w:left="760" w:right="360" w:hanging="378"/>
        <w:spacing w:after="0" w:line="282" w:lineRule="auto"/>
        <w:tabs>
          <w:tab w:leader="none" w:pos="7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whether the FDA requires us to complete additional, unanticipated studies, tests, or other activities prior to approving any of our current and future product candidates, which may delay any such approval;</w:t>
      </w:r>
    </w:p>
    <w:p>
      <w:pPr>
        <w:spacing w:after="0" w:line="120" w:lineRule="exact"/>
        <w:rPr>
          <w:rFonts w:ascii="Times New Roman" w:cs="Times New Roman" w:eastAsia="Times New Roman" w:hAnsi="Times New Roman"/>
          <w:sz w:val="16"/>
          <w:szCs w:val="16"/>
          <w:color w:val="auto"/>
        </w:rPr>
      </w:pPr>
    </w:p>
    <w:p>
      <w:pPr>
        <w:ind w:left="760" w:right="460" w:hanging="378"/>
        <w:spacing w:after="0" w:line="245" w:lineRule="exact"/>
        <w:tabs>
          <w:tab w:leader="none" w:pos="7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ability to identify and enter into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manufacturing arrangements capable of manufacturing any of our current or future product candidates in commercial quantities;</w:t>
      </w:r>
    </w:p>
    <w:p>
      <w:pPr>
        <w:spacing w:after="0" w:line="198" w:lineRule="exact"/>
        <w:rPr>
          <w:rFonts w:ascii="Times New Roman" w:cs="Times New Roman" w:eastAsia="Times New Roman" w:hAnsi="Times New Roman"/>
          <w:sz w:val="16"/>
          <w:szCs w:val="16"/>
          <w:color w:val="auto"/>
        </w:rPr>
      </w:pPr>
    </w:p>
    <w:p>
      <w:pPr>
        <w:ind w:left="760" w:right="640" w:hanging="378"/>
        <w:spacing w:after="0" w:line="282" w:lineRule="auto"/>
        <w:tabs>
          <w:tab w:leader="none" w:pos="7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execution of other collaborative, licensing, or similar arrangements and the timing of payments we may make or receive under these arrangements;</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variations in the level of expenses related to our future development programs;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any product liability or intellectual property infringement lawsuit in which we may become involved;</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regulatory developments affecting our current products, or the products of our competitors; and</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level of underlying demand for our products.</w:t>
      </w:r>
    </w:p>
    <w:p>
      <w:pPr>
        <w:spacing w:after="0" w:line="225"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76" w:lineRule="exact"/>
        <w:rPr>
          <w:sz w:val="20"/>
          <w:szCs w:val="20"/>
          <w:color w:val="auto"/>
        </w:rPr>
      </w:pPr>
    </w:p>
    <w:p>
      <w:pPr>
        <w:ind w:right="9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5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may finance our cash needs through a combination of equity offerings, debt financings, grants, and license and development agreements in connection with any collaborations until such time, if ever, as our product sales are sufficient to meet our cash needs.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may be able to exert significant control over matters subject to stockholder approval.</w:t>
      </w:r>
    </w:p>
    <w:p>
      <w:pPr>
        <w:spacing w:after="0" w:line="159"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As of February 11, 2025, our executive officers, directors, and 5% stockholders and their affiliates beneficially owned an aggregate of approximately 44%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183"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our other stockholders.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by our existing stockholders could cause our stock price to fall.</w:t>
      </w:r>
    </w:p>
    <w:p>
      <w:pPr>
        <w:spacing w:after="0" w:line="229"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176"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18"/>
          <w:szCs w:val="18"/>
          <w:color w:val="auto"/>
        </w:rPr>
        <w:t>As of February 11, 2025, we have outstanding 48,765,403 shares of common stock and 9,570,909 shares of common stock equivalents that would increase the number of common stock outstanding if these instruments were exercised or converted, including stock options to purchase common stock based on vesting requirements and warrants to purchase common stock, as well as outstanding restricted stock units. Of our currently outstanding shares of common stock, 40,726,651 are freely tradable. The remainder of the outstanding shares of common stock are held by our affiliates and may be considered “control securities” for purposes of Rule 144 under the Securities Act.</w:t>
      </w:r>
    </w:p>
    <w:p>
      <w:pPr>
        <w:spacing w:after="0" w:line="143" w:lineRule="exact"/>
        <w:rPr>
          <w:sz w:val="20"/>
          <w:szCs w:val="20"/>
          <w:color w:val="auto"/>
        </w:rPr>
      </w:pPr>
    </w:p>
    <w:p>
      <w:pPr>
        <w:ind w:right="180" w:firstLine="749"/>
        <w:spacing w:after="0" w:line="228" w:lineRule="exact"/>
        <w:rPr>
          <w:sz w:val="20"/>
          <w:szCs w:val="20"/>
          <w:color w:val="auto"/>
        </w:rPr>
      </w:pPr>
      <w:r>
        <w:rPr>
          <w:rFonts w:ascii="Times New Roman" w:cs="Times New Roman" w:eastAsia="Times New Roman" w:hAnsi="Times New Roman"/>
          <w:sz w:val="18"/>
          <w:szCs w:val="18"/>
          <w:color w:val="auto"/>
        </w:rPr>
        <w:t>In addition, we have filed, or will soon file, one or more registration statements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registering the issuance of an aggregate of 15,600,010 shares of common stock subject to options or other equity awards issued or reserved for issuance under our 2015 Omnibus Incentive Compensation Plan and 1,100,000 shares of common stock reserved for issuance under our 2023 Employee Stock Purchase Plan. Shares registered under registration statements on Form S-8 will be available for sale in the public market subject to vesting arrangements and exercise of options, the lock up agreements described above and the restrictions of Rule 144 in the case of our affiliates.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in the use of the net proceeds from our capital raises, including the proceeds from sales pursuant to our Sales Agreement, and may not use them effectively.</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our capital raises, which we refer to as our Capital Raises, including the proceeds from sales pursuant to the March 2022 Sales Agreement with Leerink, which provides for the sale of up to $250.0 million of our common stock from time to time,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our net operating loss carryforwards and research tax credits may be limited.</w:t>
      </w:r>
    </w:p>
    <w:p>
      <w:pPr>
        <w:spacing w:after="0" w:line="229"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Our net operating loss carryforwards and any future research and development tax credits may expire and not be used. As of December 31, 2024, we had U.S. federal net operating loss, or NOL, carryforwards of approximately $572.1 million and foreign NOL carryforwards of $4.8 million. U.S. federal net operating loss carry forwards amounting to $59.8 million generated before the 2018 tax year will start expiring beginning 2032, if we have not used them prior to that time, and the U.S. federal net operating losses of approximately $512.3 million generated in 2018 and later have an indefinite carryforward 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In the event a change of ownership occurs,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intend to pay dividends on our common stock, returns for our stockholders will be limited to any increase in the value of our stock.</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In addition, the terms of our existing credit facility with Hercules preclude us from paying cash dividends without Hercules’ consent.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5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will have the authority to issue up to 10,000,000 shares of preferred stock and to fix the price, rights, preferences, privileges, and restrictions of the preferred stock without any further vote or action by our stockholders. 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48" w:lineRule="exact"/>
        <w:rPr>
          <w:sz w:val="20"/>
          <w:szCs w:val="20"/>
          <w:color w:val="auto"/>
        </w:rPr>
      </w:pPr>
    </w:p>
    <w:p>
      <w:pPr>
        <w:ind w:right="160" w:firstLine="749"/>
        <w:spacing w:after="0" w:line="228" w:lineRule="exact"/>
        <w:rPr>
          <w:sz w:val="20"/>
          <w:szCs w:val="20"/>
          <w:color w:val="auto"/>
        </w:rPr>
      </w:pPr>
      <w:r>
        <w:rPr>
          <w:rFonts w:ascii="Times New Roman" w:cs="Times New Roman" w:eastAsia="Times New Roman" w:hAnsi="Times New Roman"/>
          <w:sz w:val="18"/>
          <w:szCs w:val="18"/>
          <w:color w:val="auto"/>
        </w:rPr>
        <w:t>In addition, we are subject to the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9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alternate forum,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p>
    <w:p>
      <w:pPr>
        <w:spacing w:after="0" w:line="18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Governance and Responsibilities</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Board recognizes that cybersecurity represents an important component of the Company’s overall enterprise risk management, or ERM. The Company seeks to mitigate cybersecurity risks through a cross-functional approach, including its Cybersecurity Committee, focused on preserving the confidentiality, security, and availability of the information that the Company collects and stores by assessing, identifying, preventing, and managing risks from cybersecurity threats and effectively responding to cybersecurity incidents when they occur.</w:t>
      </w:r>
    </w:p>
    <w:p>
      <w:pPr>
        <w:spacing w:after="0" w:line="180"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Our Head of Information Technology (IT) oversees overall cybersecurity management, including appropriate risk mitigation strategies, systems, processes, and controls and provides periodic, but at least annually, reports to our Board or the Audit Committee of the Board of Directors, or the Audit Committee. The IT security team has over 40 years of combined technology experience, and over 20 years of experience in safeguarding and monitoring networks and systems, responding to incidents, and reducing the risk of business exposure. The Company’s Cybersecurity Committee is comprised of information technology, finance, legal, human resources, and data privacy employees, including the Head of IT. It meets regularly, but at least annually, to review and provide oversight of the Company’s cybersecurity risks and data security programs, policies, and strategies. Pursuant to internal policies, the Head of IT will notify the Cybersecurity Committee of significant cybersecurity incidents and breaches. The Cybersecurity Committee reviews, analyzes, and responds to cybersecurity incidents and breaches. Additional responsibilities and risk mitigation strategies relate to business continuity and business resiliency capabilities.</w:t>
      </w:r>
    </w:p>
    <w:p>
      <w:pPr>
        <w:spacing w:after="0" w:line="188"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Company’s Audit Committee has the responsibility to review and discuss with management the Company’s guidelines, policies, and governance with respect to financial risk exposures and ERM, including with respect to cybersecurity, and to report to the Board annually. The Audit Committee is also responsible for overseeing the integrity and effectiveness of the Company’s disclosure controls and procedures, which are designed to ensure that information related to cybersecurity risks and incidents is recorded, processed, summarized, and reported accurately and on a timely basis, to allow for timely decisions regarding disclosure of any such incidents. Our Audit Committee receives regular presentations and reports on cybersecurity risks from the executive management leadership team, which address recent developments, evolving standards, vulnerability assessments, third-party and independent reviews, the threat environment, technological trends, and information security considerations arising with respect to the Company’s peers and third parties. The Audit Committee is also made aware of any potential material cybersecurity incident as well as ongoing updates regarding any such incident until it has been addressed by the executive management leadership team. On an annual basis, the Board discusses the Company’s approach to cybersecurity risk management with the Audit Committee members and management (including members of the Cybersecurity Committee). Throughout the year, the Board and its committees engage with management to discuss a wide range of enterprise risks related to the Company’s businesses, including cybersecurity, and they confirm the alignment of risk assessment and mitigation with business strategy.</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Company regularly assesses and tests its cybersecurity policies, standards, processes, and practices, including, but not limited to, audits, tabletop exercises, threat modeling, and penetration and vulnerability testing. The Company regularly engages outside advisors and experts to anticipate future threats and trends and to perform assessments on our cybersecurity measures, including information security maturity assessments, audits, and independent reviews of our information security control environment and operating effectiveness. The results of such assessments, audits, and reviews are reported to the Cybersecurity Committee, Audit Committee and the Board, and the Company adjusts its cybersecurity policies, standards, processes, and practices as necessary based on the information provided by these assessments, audits, and reviews.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Technical Safeguards</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Company invests in new information and cybersecurity services and technologies. Technical safeguards designed to protect the Company’s information systems from cybersecurity threats include firewalls, continuous threat detection and response system(s), data leak prevention, enhanced email protection, antimalware functionality, and access controls, which are evaluated and improved through periodic assessments and cybersecurity threat intelligence.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Incident Response and Recovery Planning</w:t>
      </w:r>
    </w:p>
    <w:p>
      <w:pPr>
        <w:spacing w:after="0" w:line="227"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The Company has established and maintains incident response and data recovery plans that address the Company’s response to a cybersecurity incident, and plans are reviewed by the Cybersecurity Committee and members of the IT department.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Third-Party Risk Management</w:t>
      </w:r>
    </w:p>
    <w:p>
      <w:pPr>
        <w:spacing w:after="0" w:line="227"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Company maintains a risk-based approach to identifying and overseeing risks from cybersecurity threats presented by third parties, including vendors, service providers, and other external users of the Company’s systems as well as the systems of third parties that could adversely impact our business in the event of a cybersecurity incident affecting those third-party systems.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Education and Awareness</w:t>
      </w:r>
    </w:p>
    <w:p>
      <w:pPr>
        <w:spacing w:after="0" w:line="227" w:lineRule="exact"/>
        <w:rPr>
          <w:sz w:val="20"/>
          <w:szCs w:val="20"/>
          <w:color w:val="auto"/>
        </w:rPr>
      </w:pPr>
    </w:p>
    <w:p>
      <w:pPr>
        <w:jc w:val="both"/>
        <w:ind w:right="500" w:firstLine="749"/>
        <w:spacing w:after="0" w:line="266" w:lineRule="auto"/>
        <w:rPr>
          <w:sz w:val="20"/>
          <w:szCs w:val="20"/>
          <w:color w:val="auto"/>
        </w:rPr>
      </w:pPr>
      <w:r>
        <w:rPr>
          <w:rFonts w:ascii="Times New Roman" w:cs="Times New Roman" w:eastAsia="Times New Roman" w:hAnsi="Times New Roman"/>
          <w:sz w:val="18"/>
          <w:szCs w:val="18"/>
          <w:color w:val="auto"/>
        </w:rPr>
        <w:t>The Company provides regular training for personnel regarding cybersecurity threats as a means to equip the Company’s personnel with effective tools to address cybersecurity threats and to communicate the Company’s evolving information security policies, standards, processes, and practices.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Cybersecurity Risk Posture</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To date, cybersecurity threats, including as a result of any previous cybersecurity incidents, have not materially affected the Company, including its business strategy, results of operations, or financial condition. However, as discussed under “Risk Factors” in Part I, Item 1A of this Annual Report on Form 10-K, cybersecurity threats pose multiple risks to us, including potentially to our results of operations and financial condition. For additional information concerning risks related to cybersecurity, see “Item 1A. Risk Factors - </w:t>
      </w:r>
      <w:r>
        <w:rPr>
          <w:rFonts w:ascii="Times New Roman" w:cs="Times New Roman" w:eastAsia="Times New Roman" w:hAnsi="Times New Roman"/>
          <w:sz w:val="18"/>
          <w:szCs w:val="18"/>
          <w:i w:val="1"/>
          <w:iCs w:val="1"/>
          <w:color w:val="auto"/>
        </w:rPr>
        <w:t>Our business and operations would suffer in the event of system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failures.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On February 21, 2023, we entered into a Sublease with Advance Magazine Publishers d/b/a Conde Nast for the entirety of the twenty-second floor of One Word Trade Center in New York, NY, or the Sublease. This space is utilized by the Company for its corporate and executive offices. The Sublease commenced on April 7, 2023 and was for ten (10) years. The Company had a one-time option to terminate the Sublease on its fifth anniversary upon the payment of a fee to the sublandlord.</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On January 17, 2025, we entered into an Amendment to our Sublease (the “First Amendment”), pursuant to which we will relinquish our existing space in One World Trade Center and commence occupancy of different space within the building. The First Amendment extends the Sublease expiration date to January 31, 2036. We now have a one-time option to terminate the Sublease effective March 30, 2031 upon the payment of a fee to the sublandlord. The Company is responsible for base rent under the Sublease and certain additional customary variable costs, such as an allocable portion of building taxes and operating expenses. In connection with the Sublease and First Amendment, the Company received certain rent and work concessions from the sublandlord.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Except as described herein, we, and our subsidiaries, are currently not a party to, and our property is not currently the subject of, any material pending legal proceedings; however, we may also become involved in various claims and legal actions arising in the ordinary course of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227"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On May 13, 2022, Evy Gru filed a putative class action complaint captioned Gru v. Axsome Therapeutics, Inc., et al. in the U.S. District Court for the Southern District of New York, or the SDNY District Court, against the Company and certain of its current and former officers and one director, which we refer to as the Securities Class Action. The complaint asserts claims under Sections 10(b) and 20(a) of the Exchange Act and Rule 10b-5 promulgated thereunder, and alleges, among other things, that the defendants made false statements and omissions concerning the Company’s Chemistry Manufacturing and Controls practices, and its NDA with the FDA, with respect to one of its product candidates, AXS-07. The named plaintiff sought unspecified damages, fees, interest, and costs. On August 11, 2022, the SDNY District Court appointed co-lead plaintiffs in the Securities Class Action, one of whom later withdrew. On October 7, 2022, the Securities Class Action plaintiffs filed an amended complaint, which contained substantially similar allegations as in the initial complaint. On September 25, 2023, the SDNY District Court granted defendants’ motion to dismiss the amended complaint.</w:t>
      </w:r>
    </w:p>
    <w:p>
      <w:pPr>
        <w:spacing w:after="0" w:line="192"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 xml:space="preserve">On October 13, 2023, plaintiffs’ counsel filed a letter seeking leave to file an amended complaint and to substitute new plaintiffs, which defendants opposed. The SDNY District Court re-opened the lead plaintiff appointment process. Thomas Giblin, Paul Berger, and Paul Sutherland moved jointly to be appointed replacement plaintiffs. On January 22, 2024, the SDNY District Court granted that motion and ordered that the case name be changed to </w:t>
      </w:r>
      <w:r>
        <w:rPr>
          <w:rFonts w:ascii="Times New Roman" w:cs="Times New Roman" w:eastAsia="Times New Roman" w:hAnsi="Times New Roman"/>
          <w:sz w:val="18"/>
          <w:szCs w:val="18"/>
          <w:i w:val="1"/>
          <w:iCs w:val="1"/>
          <w:color w:val="auto"/>
        </w:rPr>
        <w:t>In re Axsome Therapeutics, Inc. Securities Litigation</w:t>
      </w:r>
      <w:r>
        <w:rPr>
          <w:rFonts w:ascii="Times New Roman" w:cs="Times New Roman" w:eastAsia="Times New Roman" w:hAnsi="Times New Roman"/>
          <w:sz w:val="18"/>
          <w:szCs w:val="18"/>
          <w:color w:val="auto"/>
        </w:rPr>
        <w:t>. On January 26, 2024, the replacement plaintiffs renewed their request for leave to file a proposed second amended complaint, and, on February 6, 2024, the SDNY District Court granted that request. Plaintiffs filed the second amended complaint on February 7, 2024. On March 11, 2024, the defendants moved to dismiss the second amended complaint.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Derivative Action</w:t>
      </w:r>
    </w:p>
    <w:p>
      <w:pPr>
        <w:spacing w:after="0" w:line="227"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On July 21, 2022, Daniel Engel filed a stockholder derivative complaint captioned Engel v. Herriot Tabuteau, et al. in the SDNY District Court against the Company’s current directors, certain of the Company’s current and former officers, and the Company (as nominal defendant). On January 27, 2023, Kyle Guterba filed a stockholder derivative complaint captioned Guterba v. Tabuteau, et al. in the SDNY District Court against the Company’s current directors, certain of the Company’s current and former officers, and the Company (as nominal defendant). The derivative complaints arise out of similar allegations as those made in the Securities Class Action. The plaintiffs assert claims for breach of fiduciary duties against all of the defendants and for contribution for violations of Section 10(b) and 21D of the Exchange Act. The plaintiffs seek unspecified damages, fees, interest, and costs, as well as corporate governance changes. The Engel and Guterba matters were consolidated on February 28, 2023 and are currently stayed pending further proceedings in the Securities Class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Auvelity Paragraph IV Litigation</w:t>
      </w:r>
    </w:p>
    <w:p>
      <w:pPr>
        <w:spacing w:after="0" w:line="227"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 xml:space="preserve">On March 24, 2023, we commenced a patent infringement action against Teva Pharmaceuticals, Inc., or Teva, relating to Teva’s ANDA for Auvelity. This action is captioned </w:t>
      </w:r>
      <w:r>
        <w:rPr>
          <w:rFonts w:ascii="Times New Roman" w:cs="Times New Roman" w:eastAsia="Times New Roman" w:hAnsi="Times New Roman"/>
          <w:sz w:val="18"/>
          <w:szCs w:val="18"/>
          <w:i w:val="1"/>
          <w:iCs w:val="1"/>
          <w:color w:val="auto"/>
        </w:rPr>
        <w:t>Axsome Therapeutics, Inc. and Antecip Bioventures II LLC v. Teva Pharmaceuticals, Inc.</w:t>
      </w:r>
      <w:r>
        <w:rPr>
          <w:rFonts w:ascii="Times New Roman" w:cs="Times New Roman" w:eastAsia="Times New Roman" w:hAnsi="Times New Roman"/>
          <w:sz w:val="18"/>
          <w:szCs w:val="18"/>
          <w:color w:val="auto"/>
        </w:rPr>
        <w:t xml:space="preserve"> No. 2:23-CV-01695 in the United States District Court for the District of New Jersey, or the NJ District Court. On December 15, 2023, we commenced a second patent infringement action against Teva relating to Teva’s ANDA. This action is captioned </w:t>
      </w:r>
      <w:r>
        <w:rPr>
          <w:rFonts w:ascii="Times New Roman" w:cs="Times New Roman" w:eastAsia="Times New Roman" w:hAnsi="Times New Roman"/>
          <w:sz w:val="18"/>
          <w:szCs w:val="18"/>
          <w:i w:val="1"/>
          <w:iCs w:val="1"/>
          <w:color w:val="auto"/>
        </w:rPr>
        <w:t>Axsome Therapeutics, Inc., and Antecip Bioventures II LLC v. Teva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Pharmaceuticals, Inc. </w:t>
      </w:r>
      <w:r>
        <w:rPr>
          <w:rFonts w:ascii="Times New Roman" w:cs="Times New Roman" w:eastAsia="Times New Roman" w:hAnsi="Times New Roman"/>
          <w:sz w:val="18"/>
          <w:szCs w:val="18"/>
          <w:color w:val="auto"/>
        </w:rPr>
        <w:t>No. 2:23-cv-23142 in the NJ District Court. On February 26, 2024, the NJ District Court consolidated the first and second 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Fact discovery is currently scheduled to close on March 24, 2025 in the consolidated action. On May 28, 2024, we commenced a third patent infringement action against Teva relating to Teva’s ANDA. This action is captioned </w:t>
      </w:r>
      <w:r>
        <w:rPr>
          <w:rFonts w:ascii="Times New Roman" w:cs="Times New Roman" w:eastAsia="Times New Roman" w:hAnsi="Times New Roman"/>
          <w:sz w:val="18"/>
          <w:szCs w:val="18"/>
          <w:i w:val="1"/>
          <w:iCs w:val="1"/>
          <w:color w:val="auto"/>
        </w:rPr>
        <w:t>Axsome Therapeutics, Inc., and Antecip Bioventures II LLC v. Teva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Pharmaceuticals, Inc. </w:t>
      </w:r>
      <w:r>
        <w:rPr>
          <w:rFonts w:ascii="Times New Roman" w:cs="Times New Roman" w:eastAsia="Times New Roman" w:hAnsi="Times New Roman"/>
          <w:sz w:val="18"/>
          <w:szCs w:val="18"/>
          <w:color w:val="auto"/>
        </w:rPr>
        <w:t>No. 2:24-cv-06489 in the NJ District Court. On September 30, 2024, we commenced a fourth patent infringement action against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Teva relating to Teva’s ANDA. This action is captioned </w:t>
      </w:r>
      <w:r>
        <w:rPr>
          <w:rFonts w:ascii="Times New Roman" w:cs="Times New Roman" w:eastAsia="Times New Roman" w:hAnsi="Times New Roman"/>
          <w:sz w:val="18"/>
          <w:szCs w:val="18"/>
          <w:i w:val="1"/>
          <w:iCs w:val="1"/>
          <w:color w:val="auto"/>
        </w:rPr>
        <w:t>Axsome Therapeutics, Inc., and Antecip Bioventures II LLC v. Teva Pharmaceuticals, Inc.</w:t>
      </w:r>
      <w:r>
        <w:rPr>
          <w:rFonts w:ascii="Times New Roman" w:cs="Times New Roman" w:eastAsia="Times New Roman" w:hAnsi="Times New Roman"/>
          <w:sz w:val="18"/>
          <w:szCs w:val="18"/>
          <w:color w:val="auto"/>
        </w:rPr>
        <w:t xml:space="preserve"> No. 2-24-cv-09535 in the NJ District Court. On December 5, 2024, we commenced a fifth patent infringement action against Teva relating to Teva’s ANDA. The fifth action is captioned </w:t>
      </w:r>
      <w:r>
        <w:rPr>
          <w:rFonts w:ascii="Times New Roman" w:cs="Times New Roman" w:eastAsia="Times New Roman" w:hAnsi="Times New Roman"/>
          <w:sz w:val="18"/>
          <w:szCs w:val="18"/>
          <w:i w:val="1"/>
          <w:iCs w:val="1"/>
          <w:color w:val="auto"/>
        </w:rPr>
        <w:t>Axsome Therapeutics, Inc., and Antecip Bioventures II LLC v. Teva Pharmaceuticals, Inc.</w:t>
      </w:r>
      <w:r>
        <w:rPr>
          <w:rFonts w:ascii="Times New Roman" w:cs="Times New Roman" w:eastAsia="Times New Roman" w:hAnsi="Times New Roman"/>
          <w:sz w:val="18"/>
          <w:szCs w:val="18"/>
          <w:color w:val="auto"/>
        </w:rPr>
        <w:t xml:space="preserve"> No. 2-24-cv-10938 in the NJ District Court. On January 7, 2025, the NJ District Court consolidated that third, fourth, and fifth actions.</w:t>
      </w:r>
    </w:p>
    <w:p>
      <w:pPr>
        <w:spacing w:after="0" w:line="19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On February 10, 2025, the Company announced that it had entered into a settlement agreement with Teva to resolve all outstanding litigation between the parties relating to Auvelity. Under the terms of the settlement agreement, Axsome will grant Teva a license to sell its generic version of Auvelity beginning on or after March 31, 2039, if pediatric exclusivity is granted for Auvelity, or on or after September 30, 2038, if no pediatric exclusivity is granted, subject to FDA approval and conditions and exceptions customary for agreements of this type.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Sunosi Paragraph IV Litigation</w:t>
      </w:r>
    </w:p>
    <w:p>
      <w:pPr>
        <w:spacing w:after="0" w:line="227"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 xml:space="preserve">On September 13, 2023, we commenced a patent infringement action against Hikma and five other drug companies relating to each defendant’s ANDA for Sunosi. This action is captioned </w:t>
      </w:r>
      <w:r>
        <w:rPr>
          <w:rFonts w:ascii="Times New Roman" w:cs="Times New Roman" w:eastAsia="Times New Roman" w:hAnsi="Times New Roman"/>
          <w:sz w:val="18"/>
          <w:szCs w:val="18"/>
          <w:i w:val="1"/>
          <w:iCs w:val="1"/>
          <w:color w:val="auto"/>
        </w:rPr>
        <w:t>Axsome Malta Ltd. &amp; Axsome Therapeutics, Inc. v. Alkem Laboratories Ltd., et al</w:t>
      </w:r>
      <w:r>
        <w:rPr>
          <w:rFonts w:ascii="Times New Roman" w:cs="Times New Roman" w:eastAsia="Times New Roman" w:hAnsi="Times New Roman"/>
          <w:sz w:val="18"/>
          <w:szCs w:val="18"/>
          <w:color w:val="auto"/>
        </w:rPr>
        <w:t xml:space="preserve">. No. 2:23-CV-20354 in the NJ District Court. We commenced related patent infringement actions against the defendants relating to their ANDAs on December 20, 2023, January 11, 2024, January 18, 2024, February 14, 2024, March 19, 2024 (2 actions filed), April 5, 2024, July 2, 2024, August 8, 2024, August 21, 2024, September 16, 2024, November 20, 2024 (4 actions filed), January 21, 2025. Those actions are captioned </w:t>
      </w:r>
      <w:r>
        <w:rPr>
          <w:rFonts w:ascii="Times New Roman" w:cs="Times New Roman" w:eastAsia="Times New Roman" w:hAnsi="Times New Roman"/>
          <w:sz w:val="18"/>
          <w:szCs w:val="18"/>
          <w:i w:val="1"/>
          <w:iCs w:val="1"/>
          <w:color w:val="auto"/>
        </w:rPr>
        <w:t>Axsome Malta Ltd. &amp; Axsome Therapeutics, Inc. v. Unichem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Laboratories Ltd</w:t>
      </w:r>
      <w:r>
        <w:rPr>
          <w:rFonts w:ascii="Times New Roman" w:cs="Times New Roman" w:eastAsia="Times New Roman" w:hAnsi="Times New Roman"/>
          <w:sz w:val="18"/>
          <w:szCs w:val="18"/>
          <w:color w:val="auto"/>
        </w:rPr>
        <w:t>. No. 2:23-cv-23255;</w:t>
      </w:r>
      <w:r>
        <w:rPr>
          <w:rFonts w:ascii="Times New Roman" w:cs="Times New Roman" w:eastAsia="Times New Roman" w:hAnsi="Times New Roman"/>
          <w:sz w:val="18"/>
          <w:szCs w:val="18"/>
          <w:i w:val="1"/>
          <w:iCs w:val="1"/>
          <w:color w:val="auto"/>
        </w:rPr>
        <w:t xml:space="preserve"> Axsome Malta Ltd. &amp; Axsome Therapeutics, Inc. v. Hetero USA, Inc. et al</w:t>
      </w:r>
      <w:r>
        <w:rPr>
          <w:rFonts w:ascii="Times New Roman" w:cs="Times New Roman" w:eastAsia="Times New Roman" w:hAnsi="Times New Roman"/>
          <w:sz w:val="18"/>
          <w:szCs w:val="18"/>
          <w:color w:val="auto"/>
        </w:rPr>
        <w:t>. No 2:24-cv-00196;</w:t>
      </w:r>
      <w:r>
        <w:rPr>
          <w:rFonts w:ascii="Times New Roman" w:cs="Times New Roman" w:eastAsia="Times New Roman" w:hAnsi="Times New Roman"/>
          <w:sz w:val="18"/>
          <w:szCs w:val="18"/>
          <w:i w:val="1"/>
          <w:iCs w:val="1"/>
          <w:color w:val="auto"/>
        </w:rPr>
        <w:t xml:space="preserve"> Axsome Malta Ltd. &amp; Axsome Therapeutics, Inc. v. Aurobindo Pharma USA, Inc. et al</w:t>
      </w:r>
      <w:r>
        <w:rPr>
          <w:rFonts w:ascii="Times New Roman" w:cs="Times New Roman" w:eastAsia="Times New Roman" w:hAnsi="Times New Roman"/>
          <w:sz w:val="18"/>
          <w:szCs w:val="18"/>
          <w:color w:val="auto"/>
        </w:rPr>
        <w:t>. No. 2:24-cv-00309;</w:t>
      </w:r>
      <w:r>
        <w:rPr>
          <w:rFonts w:ascii="Times New Roman" w:cs="Times New Roman" w:eastAsia="Times New Roman" w:hAnsi="Times New Roman"/>
          <w:sz w:val="18"/>
          <w:szCs w:val="18"/>
          <w:i w:val="1"/>
          <w:iCs w:val="1"/>
          <w:color w:val="auto"/>
        </w:rPr>
        <w:t xml:space="preserve"> Axsome Malta Ltd. &amp; Axsome Therapeutics, Inc. v. Sandoz, Inc</w:t>
      </w:r>
      <w:r>
        <w:rPr>
          <w:rFonts w:ascii="Times New Roman" w:cs="Times New Roman" w:eastAsia="Times New Roman" w:hAnsi="Times New Roman"/>
          <w:sz w:val="18"/>
          <w:szCs w:val="18"/>
          <w:color w:val="auto"/>
        </w:rPr>
        <w:t>.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2:24-cv-00860; </w:t>
      </w:r>
      <w:r>
        <w:rPr>
          <w:rFonts w:ascii="Times New Roman" w:cs="Times New Roman" w:eastAsia="Times New Roman" w:hAnsi="Times New Roman"/>
          <w:sz w:val="18"/>
          <w:szCs w:val="18"/>
          <w:i w:val="1"/>
          <w:iCs w:val="1"/>
          <w:color w:val="auto"/>
        </w:rPr>
        <w:t>Axsome Malta Ltd. &amp; Axsome Therapeutics, Inc. v. Hetero USA, Inc. et al</w:t>
      </w:r>
      <w:r>
        <w:rPr>
          <w:rFonts w:ascii="Times New Roman" w:cs="Times New Roman" w:eastAsia="Times New Roman" w:hAnsi="Times New Roman"/>
          <w:sz w:val="18"/>
          <w:szCs w:val="18"/>
          <w:color w:val="auto"/>
        </w:rPr>
        <w:t xml:space="preserve">. No 2:24-cv-03999; </w:t>
      </w:r>
      <w:r>
        <w:rPr>
          <w:rFonts w:ascii="Times New Roman" w:cs="Times New Roman" w:eastAsia="Times New Roman" w:hAnsi="Times New Roman"/>
          <w:sz w:val="18"/>
          <w:szCs w:val="18"/>
          <w:i w:val="1"/>
          <w:iCs w:val="1"/>
          <w:color w:val="auto"/>
        </w:rPr>
        <w:t>Axsome Malta Ltd. &amp; Axsome Therapeutics,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 v. Aurobindo Pharma USA, Inc. et al</w:t>
      </w:r>
      <w:r>
        <w:rPr>
          <w:rFonts w:ascii="Times New Roman" w:cs="Times New Roman" w:eastAsia="Times New Roman" w:hAnsi="Times New Roman"/>
          <w:sz w:val="18"/>
          <w:szCs w:val="18"/>
          <w:color w:val="auto"/>
        </w:rPr>
        <w:t>. No. 2:24-cv-04002;</w:t>
      </w:r>
      <w:r>
        <w:rPr>
          <w:rFonts w:ascii="Times New Roman" w:cs="Times New Roman" w:eastAsia="Times New Roman" w:hAnsi="Times New Roman"/>
          <w:sz w:val="18"/>
          <w:szCs w:val="18"/>
          <w:i w:val="1"/>
          <w:iCs w:val="1"/>
          <w:color w:val="auto"/>
        </w:rPr>
        <w:t xml:space="preserve"> Axsome Malta Ltd. &amp; Axsome Therapeutics, Inc. v. Alkem Laboratories Ltd., et al</w:t>
      </w:r>
      <w:r>
        <w:rPr>
          <w:rFonts w:ascii="Times New Roman" w:cs="Times New Roman" w:eastAsia="Times New Roman" w:hAnsi="Times New Roman"/>
          <w:sz w:val="18"/>
          <w:szCs w:val="18"/>
          <w:color w:val="auto"/>
        </w:rPr>
        <w:t xml:space="preserve">. No. 2:24-CV-04608; </w:t>
      </w:r>
      <w:r>
        <w:rPr>
          <w:rFonts w:ascii="Times New Roman" w:cs="Times New Roman" w:eastAsia="Times New Roman" w:hAnsi="Times New Roman"/>
          <w:sz w:val="18"/>
          <w:szCs w:val="18"/>
          <w:i w:val="1"/>
          <w:iCs w:val="1"/>
          <w:color w:val="auto"/>
        </w:rPr>
        <w:t>Axsome Malta Ltd. &amp; Axsome Therapeutics, Inc. v. Aurobindo Pharma USA, Inc. et al</w:t>
      </w:r>
      <w:r>
        <w:rPr>
          <w:rFonts w:ascii="Times New Roman" w:cs="Times New Roman" w:eastAsia="Times New Roman" w:hAnsi="Times New Roman"/>
          <w:sz w:val="18"/>
          <w:szCs w:val="18"/>
          <w:color w:val="auto"/>
        </w:rPr>
        <w:t xml:space="preserve">. No. 2-24-cv-07511; </w:t>
      </w:r>
      <w:r>
        <w:rPr>
          <w:rFonts w:ascii="Times New Roman" w:cs="Times New Roman" w:eastAsia="Times New Roman" w:hAnsi="Times New Roman"/>
          <w:sz w:val="18"/>
          <w:szCs w:val="18"/>
          <w:i w:val="1"/>
          <w:iCs w:val="1"/>
          <w:color w:val="auto"/>
        </w:rPr>
        <w:t>Axsome Malta Ltd. &amp; Axsome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Therapeutics, Inc. v. Alkem Laboratories Ltd.</w:t>
      </w:r>
      <w:r>
        <w:rPr>
          <w:rFonts w:ascii="Times New Roman" w:cs="Times New Roman" w:eastAsia="Times New Roman" w:hAnsi="Times New Roman"/>
          <w:sz w:val="18"/>
          <w:szCs w:val="18"/>
          <w:color w:val="auto"/>
        </w:rPr>
        <w:t>No. 2-24-cv-08365;</w:t>
      </w:r>
      <w:r>
        <w:rPr>
          <w:rFonts w:ascii="Times New Roman" w:cs="Times New Roman" w:eastAsia="Times New Roman" w:hAnsi="Times New Roman"/>
          <w:sz w:val="18"/>
          <w:szCs w:val="18"/>
          <w:i w:val="1"/>
          <w:iCs w:val="1"/>
          <w:color w:val="auto"/>
        </w:rPr>
        <w:t xml:space="preserve"> Axsome Malta Ltd. &amp; Axsome Therapeutics, Inc. v. Aurobindo Pharma USA, Inc. et al. </w:t>
      </w:r>
      <w:r>
        <w:rPr>
          <w:rFonts w:ascii="Times New Roman" w:cs="Times New Roman" w:eastAsia="Times New Roman" w:hAnsi="Times New Roman"/>
          <w:sz w:val="18"/>
          <w:szCs w:val="18"/>
          <w:color w:val="auto"/>
        </w:rPr>
        <w:t xml:space="preserve">No. 2-24-cv-08624; </w:t>
      </w:r>
      <w:r>
        <w:rPr>
          <w:rFonts w:ascii="Times New Roman" w:cs="Times New Roman" w:eastAsia="Times New Roman" w:hAnsi="Times New Roman"/>
          <w:sz w:val="18"/>
          <w:szCs w:val="18"/>
          <w:i w:val="1"/>
          <w:iCs w:val="1"/>
          <w:color w:val="auto"/>
        </w:rPr>
        <w:t>Axsome Malta Ltd. &amp; Axsome Therapeutics, Inc. v. Alkem Laboratories Ltd. et al.</w:t>
      </w:r>
      <w:r>
        <w:rPr>
          <w:rFonts w:ascii="Times New Roman" w:cs="Times New Roman" w:eastAsia="Times New Roman" w:hAnsi="Times New Roman"/>
          <w:sz w:val="18"/>
          <w:szCs w:val="18"/>
          <w:color w:val="auto"/>
        </w:rPr>
        <w:t xml:space="preserve"> No. 2-24-cv-09209; </w:t>
      </w:r>
      <w:r>
        <w:rPr>
          <w:rFonts w:ascii="Times New Roman" w:cs="Times New Roman" w:eastAsia="Times New Roman" w:hAnsi="Times New Roman"/>
          <w:sz w:val="18"/>
          <w:szCs w:val="18"/>
          <w:i w:val="1"/>
          <w:iCs w:val="1"/>
          <w:color w:val="auto"/>
        </w:rPr>
        <w:t>Axsome Malta Ltd. &amp; Axsome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Therapeutics, Inc. v. Alkem Laboratories Ltd. </w:t>
      </w:r>
      <w:r>
        <w:rPr>
          <w:rFonts w:ascii="Times New Roman" w:cs="Times New Roman" w:eastAsia="Times New Roman" w:hAnsi="Times New Roman"/>
          <w:sz w:val="18"/>
          <w:szCs w:val="18"/>
          <w:color w:val="auto"/>
        </w:rPr>
        <w:t>No. 2-24-cv-10617;</w:t>
      </w:r>
      <w:r>
        <w:rPr>
          <w:rFonts w:ascii="Times New Roman" w:cs="Times New Roman" w:eastAsia="Times New Roman" w:hAnsi="Times New Roman"/>
          <w:sz w:val="18"/>
          <w:szCs w:val="18"/>
          <w:i w:val="1"/>
          <w:iCs w:val="1"/>
          <w:color w:val="auto"/>
        </w:rPr>
        <w:t xml:space="preserve"> Axsome Malta Ltd. &amp; Axsome Therapeutics, Inc. v. Hetero USA, Inc. et al</w:t>
      </w:r>
      <w:r>
        <w:rPr>
          <w:rFonts w:ascii="Times New Roman" w:cs="Times New Roman" w:eastAsia="Times New Roman" w:hAnsi="Times New Roman"/>
          <w:sz w:val="18"/>
          <w:szCs w:val="18"/>
          <w:color w:val="auto"/>
        </w:rPr>
        <w:t xml:space="preserve">. No 2:24-cv-10618; </w:t>
      </w:r>
      <w:r>
        <w:rPr>
          <w:rFonts w:ascii="Times New Roman" w:cs="Times New Roman" w:eastAsia="Times New Roman" w:hAnsi="Times New Roman"/>
          <w:sz w:val="18"/>
          <w:szCs w:val="18"/>
          <w:i w:val="1"/>
          <w:iCs w:val="1"/>
          <w:color w:val="auto"/>
        </w:rPr>
        <w:t>Axsome Malta Ltd. &amp; Axsome Therapeutics, Inc. v. Aurobindo Pharma USA, Inc. et al</w:t>
      </w:r>
      <w:r>
        <w:rPr>
          <w:rFonts w:ascii="Times New Roman" w:cs="Times New Roman" w:eastAsia="Times New Roman" w:hAnsi="Times New Roman"/>
          <w:sz w:val="18"/>
          <w:szCs w:val="18"/>
          <w:color w:val="auto"/>
        </w:rPr>
        <w:t xml:space="preserve">. No 2:24-cv-10619; </w:t>
      </w:r>
      <w:r>
        <w:rPr>
          <w:rFonts w:ascii="Times New Roman" w:cs="Times New Roman" w:eastAsia="Times New Roman" w:hAnsi="Times New Roman"/>
          <w:sz w:val="18"/>
          <w:szCs w:val="18"/>
          <w:i w:val="1"/>
          <w:iCs w:val="1"/>
          <w:color w:val="auto"/>
        </w:rPr>
        <w:t>Axsome Malta Ltd. &amp; Axsome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Therapeutics, Inc. v. Hikma Pharmaceuticals USA Inc</w:t>
      </w:r>
      <w:r>
        <w:rPr>
          <w:rFonts w:ascii="Times New Roman" w:cs="Times New Roman" w:eastAsia="Times New Roman" w:hAnsi="Times New Roman"/>
          <w:sz w:val="18"/>
          <w:szCs w:val="18"/>
          <w:color w:val="auto"/>
        </w:rPr>
        <w:t>. No 2:24-cv-10620;</w:t>
      </w:r>
      <w:r>
        <w:rPr>
          <w:rFonts w:ascii="Times New Roman" w:cs="Times New Roman" w:eastAsia="Times New Roman" w:hAnsi="Times New Roman"/>
          <w:sz w:val="18"/>
          <w:szCs w:val="18"/>
          <w:i w:val="1"/>
          <w:iCs w:val="1"/>
          <w:color w:val="auto"/>
        </w:rPr>
        <w:t xml:space="preserve"> Axsome Malta Ltd. &amp; Axsome Therapeutics, Inc. v. Aurobindo Pharma USA, Inc. et al</w:t>
      </w:r>
      <w:r>
        <w:rPr>
          <w:rFonts w:ascii="Times New Roman" w:cs="Times New Roman" w:eastAsia="Times New Roman" w:hAnsi="Times New Roman"/>
          <w:sz w:val="18"/>
          <w:szCs w:val="18"/>
          <w:color w:val="auto"/>
        </w:rPr>
        <w:t>. No 2:25-cv-00643, respectively, all of which are in the NJ District Court. On June 4, 2024, Axsome and the Malta Subsidiary entered into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settlement agreement with Unichem under which agreement Unichem agreed not to launch its generic solriamfetol product until June 30, 2042, or earlier under certain circumstances. On August 21, 2024, Axsome and the Malta Subsidiary reached an agreement to dismiss the actions pending against Sandoz. All other actions are currently pending. On September 25, 2024, Hikma Pharmaceuticals USA, Inc. filed a petition for Inter Partes Review of U.S. Patent No. 11,560,354 before the United States Patent and Trademark Office’s Patent Trial and Appeal Board. That petition is captioned </w:t>
      </w:r>
      <w:r>
        <w:rPr>
          <w:rFonts w:ascii="Times New Roman" w:cs="Times New Roman" w:eastAsia="Times New Roman" w:hAnsi="Times New Roman"/>
          <w:sz w:val="18"/>
          <w:szCs w:val="18"/>
          <w:i w:val="1"/>
          <w:iCs w:val="1"/>
          <w:color w:val="auto"/>
        </w:rPr>
        <w:t>Hikma Pharmaceuticals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USA Inc. f/k/a West-Ward Pharmaceuticals Corp. v. Axsome Malta Ltd</w:t>
      </w:r>
      <w:r>
        <w:rPr>
          <w:rFonts w:ascii="Times New Roman" w:cs="Times New Roman" w:eastAsia="Times New Roman" w:hAnsi="Times New Roman"/>
          <w:sz w:val="18"/>
          <w:szCs w:val="18"/>
          <w:color w:val="auto"/>
        </w:rPr>
        <w:t>. IPR2024-01418.</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9"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22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Our common stock has been listed on The Nasdaq Global Market since March 3, 2017, under the symbol “AXSM.” Prior to that, our common stock was listed on The Nasdaq Capital Market since November 19, 2015, under the symbol “AXSM.” Prior to our initial public offering, there was no public market for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Performance Graph</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graph below matches AXSOME Therapeutics, Inc.’s cumulative 5-Year total shareholder return on common stock with the cumulative total returns of the NASDAQ Composite index and the NASDAQ Biotechnology index. The graph tracks the performance of a $100 investment in our common stock and in each index (with the reinvestment of all dividends) from 12/31/2019 to 12/31/2024.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140335</wp:posOffset>
            </wp:positionV>
            <wp:extent cx="5349240" cy="44405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349240" cy="444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229"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The number of record holders of our common stock as of February 11, 2025, was two. This number of holders of record does not reflect the beneficial holders of our common stock who hold shares in street name through brokerage accounts or other nominees. This number of holders of record also does not include stockholders whose shares may be held in trust by other entities. The actual number of holders of our common stock is therefore greater than this number of record 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do not anticipate paying any cash dividends in the foreseeable future. Any future determination to pay dividends will be at the discretion of our Board, subject to applicable laws, and will depend on a number of factors, including our financial condition, results of operations, capital requirements, contractual restrictions, general business conditions, and any other factors that our Board may deem relevant. In addition, the terms of our existing term loan with Hercules precludes us from paying cash dividends without the consent of Hercules, except under certain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contain forward-looking statements about our plans and expectations of what may happen in the future. You should read the following discussion and analysis in conjunction with “Item 8. Financial Statements and Supplementary Data,” and our consolidated financial statements beginning on page F-1 of this report.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“Item 1A. Risk Factors.” See also the “Special Cautionary Notice Regarding Forward-Looking Statements” set forth at the beginning of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18"/>
          <w:szCs w:val="18"/>
          <w:color w:val="auto"/>
        </w:rPr>
        <w:t>We are a biopharmaceutical company leading a new era in the treatment of CNS disorders. We deliver scientific breakthroughs by identifying critical gaps in care and developing differentiated products with a focus on novel mechanisms of action that enable meaningful advancements in patient outcomes. Our CNS portfolio includes multiple FDA-approved products that are being further developed for additional neurological or psychiatric conditions and novel product candidates in late-stage clinical development. In May 2022, we completed the U.S. acquisition of Sunosi from Jazz and in November 2022, we acquired the ex-U.S. assets of Sunosi from Jazz for certain international markets. Sunosi is a product approved by the FDA and marketed in the U.S. to improve wakefulness in adult patients with EDS associated with narcolepsy or obstructive sleep apnea, and also approved in Europe in January 2020 by the European Commission. In August 2022, Auvelity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was approved by the FDA for the treatment of MDD in adults and we initiated the commercial launch of Auvelity in the U.S. in October 2022. In January 2025, Symbravo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was approved by the FDA for the acute treatment of migraine with or without aura in adults. Refer to Part I, Item 1. “Business” for a summary of our clinical programs.</w:t>
      </w:r>
    </w:p>
    <w:p>
      <w:pPr>
        <w:spacing w:after="0" w:line="203"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Since our incorporation in January 2012, our operations to date have included organizing and staffing our company, business planning, raising capital, developing our compounds, engaging in other discovery and preclinical activities, the commercial launches of Auvelity and Sunosi, and preparatory activities for the launch of Symbravo. Subsequent to our IPO, we financed our operations primarily through proceeds from sales of our common stock to equity investors and debt borrowings. For a further discussion, see the section entitled “Liquidity and Capital Resources” below.</w:t>
      </w:r>
    </w:p>
    <w:p>
      <w:pPr>
        <w:spacing w:after="0" w:line="180"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Our ability to become profitable depends on our ability to generate revenue. We have recently begun commercial sales of Auvelity and Sunosi, and plan to commercially launch Symbravo, but we have limited experience with commercializing these, or any, products.</w:t>
      </w:r>
    </w:p>
    <w:p>
      <w:pPr>
        <w:spacing w:after="0" w:line="16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have incurred significant operating and net losses since inception. We incurred net losses of $287.2 million and $239.2 million for the years ended December 31, 2024 and 2023, respectively. Our accumulated deficit as of December 31, 2024 was $1,122.8 million, and we expect to incur significant expenses and continuing operating losses. We expect our expenses to increase in connection with our ongoing activities, as we continue the commercialization of our on-market products and the development and clinical trials of, and seek regulatory approval for, our current product candidates and any other product candidates that we develop or in-license and advance to clinical development. Further, we have incurred and will continue to incur additional costs associated with operating as a public company. Accordingly, we may need additional financing to support our continuing operations. We may seek to fund our operations through public 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900" w:firstLine="749"/>
        <w:spacing w:after="0" w:line="282" w:lineRule="auto"/>
        <w:rPr>
          <w:sz w:val="20"/>
          <w:szCs w:val="20"/>
          <w:color w:val="auto"/>
        </w:rPr>
      </w:pPr>
      <w:r>
        <w:rPr>
          <w:rFonts w:ascii="Times New Roman" w:cs="Times New Roman" w:eastAsia="Times New Roman" w:hAnsi="Times New Roman"/>
          <w:sz w:val="18"/>
          <w:szCs w:val="18"/>
          <w:color w:val="auto"/>
        </w:rPr>
        <w:t>We generated $381.7 million and $202.5 million in net revenue from product sales for the years ended December 31, 2024 and 2023, respectively.</w:t>
      </w:r>
    </w:p>
    <w:p>
      <w:pPr>
        <w:spacing w:after="0" w:line="16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expect that Auvelity, Sunosi, and Symbravo revenues are likely to fluctuate based on demand quarter to quarter. We will not generate revenue from other products unless and until we successfully develop, obtain regulatory approval of, and commercialize one of our current or future product candidates. We have incurred significant operating losses since inception. If we fail to complete the development of our product candidates in a timely manner or obtain regulatory approval for them, our ability to generate future revenue from such product candidates, and our results of operations and financial position, would be materially and adversely affected. If we enter into licensing or collaboration arrangements, such agreements may or may not generate revenue in the future.</w:t>
      </w:r>
    </w:p>
    <w:p>
      <w:pPr>
        <w:spacing w:after="0" w:line="187"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Additionally, in the fourth quarter of 2024, we recorded a milestone revenue of $0.5 million related to an achievement of a regulatory milestone in China for Sunosi from SK. In the first quarter of 2023, we recorded license revenue of $65.7 million related to the Pharmanovia License Agreement (as defined below). See below for more detail.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Pharmanovia</w:t>
      </w:r>
    </w:p>
    <w:p>
      <w:pPr>
        <w:spacing w:after="0" w:line="234" w:lineRule="exact"/>
        <w:rPr>
          <w:sz w:val="20"/>
          <w:szCs w:val="20"/>
          <w:color w:val="auto"/>
        </w:rPr>
      </w:pPr>
    </w:p>
    <w:p>
      <w:pPr>
        <w:ind w:right="140" w:firstLine="749"/>
        <w:spacing w:after="0" w:line="234" w:lineRule="auto"/>
        <w:rPr>
          <w:sz w:val="20"/>
          <w:szCs w:val="20"/>
          <w:color w:val="auto"/>
        </w:rPr>
      </w:pPr>
      <w:r>
        <w:rPr>
          <w:rFonts w:ascii="Times New Roman" w:cs="Times New Roman" w:eastAsia="Times New Roman" w:hAnsi="Times New Roman"/>
          <w:sz w:val="18"/>
          <w:szCs w:val="18"/>
          <w:color w:val="auto"/>
        </w:rPr>
        <w:t>In February 2023, we entered into the Pharmanovia License Agreement with Pharmanovia to commercialize and further develop 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the Territory. Pharmanovia is a UK-based global life cycle management healthcare company that focuses on four core therapeutic areas – Oncology, Endocrinology, Neurology and Cardiovascular.</w:t>
      </w:r>
    </w:p>
    <w:p>
      <w:pPr>
        <w:spacing w:after="0" w:line="198"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received an upfront payment of €62.0 million ($65.7 million) during the first quarter of 2023 and are eligible to receive sales-based and other milestone payments totaling up to €94.5 million. We will receive a royalty percentage in the mid-twenties on net sales of the Licensed Products (as defined in the Pharmanovia License Agreement) in the Territory. For the year ended December 31, 2024, we recognized royalty revenue of $3.5 million related to Pharmanovia’s sales of Sunosi.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Cost of revenue includes direct costs of formulating, manufacturing, and packaging drug product, overhead costs consisting of labor, customs, stock-based compensation, shipping, outside inventory management, royalty expense, and other miscellaneous operating costs. In the fourth quarter of 2024, we recorded a $2.5 million expense for the achievement of a sales-based milestone related to world-wide Sunosi sales. In the first quarter of 2023, we recorded a $5.0 million license sharing expense related to the upfront license revenue received.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right="600" w:firstLine="74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primarily include preclinical studies, clinical trials, manufacturing costs, employee-related expenses including salaries, benefits, travel, and stock based compensation expense, contract services, including external research and development expenses incurred under arrangements with third parties, such as CROs, facilities costs, overhead costs, depreciation, and other related costs.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have and will incur substantial costs beyond our present and planned clinical trials in order to file an NDA for any of our product candidates. It is difficult to determine with certainty the costs and duration of our current or future clinical trials and preclinical studies, or to what extent we will generate revenue from the commercialization and sale of Auvelity, Sunosi, and Symbravo or our product candidates if we obtain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salaries and related costs for personnel in executive, commercial, finance, and operational functions, including stock-based compensation and travel expenses. Also included in selling, general and administrative expenses are marketing costs, other commercial costs, pre-commercialization costs, facility-related costs, insurance expense, professional fees for legal and accounting services, and patent filing and prosecution costs. Selling, general and administrative expenses are expensed when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right="420" w:firstLine="749"/>
        <w:spacing w:after="0" w:line="266" w:lineRule="auto"/>
        <w:rPr>
          <w:sz w:val="20"/>
          <w:szCs w:val="20"/>
          <w:color w:val="auto"/>
        </w:rPr>
      </w:pPr>
      <w:r>
        <w:rPr>
          <w:rFonts w:ascii="Times New Roman" w:cs="Times New Roman" w:eastAsia="Times New Roman" w:hAnsi="Times New Roman"/>
          <w:sz w:val="18"/>
          <w:szCs w:val="18"/>
          <w:color w:val="auto"/>
        </w:rPr>
        <w:t>Interest expense, net, primarily consists of cash interest and non-cash costs related to our term loans (see “Liquidity and Capital Resources” below for a further discussion). We amortize these costs over the term of our debt agreements as interest expense in our consolidated statement of operations. Interest expense, net also includes interest income earned on cash and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w:t>
      </w:r>
    </w:p>
    <w:p>
      <w:pPr>
        <w:spacing w:after="0" w:line="229"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The intangible asset is amortized using the straight-line method over its estimated period of benefit of ten years. We evaluate recoverability of the intangible asset periodically by considering events or changes in circumstances that may warrant revised estimates of useful life or that indicate the asset may be impaired.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in contingent consideration</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Consideration paid in a business combination may include potential future payments that are contingent upon the acquired business achieving certain milestones in the future (“contingent consideration”). The royalty payments due to Jazz are a high single-digit royalty on our U.S. net sales of Sunosi in the current indication and a mid single-digit royalty on our U.S. net sales of Sunosi for future indications. Contingent consideration liabilities are measured at their estimated fair value as of the date of acquisition, with subsequent changes in fair value recorded in the consolidated statements of operations during such period a change is recognized. We estimate the fair value of the contingent consideration as of the acquisition date and reporting periods thereafter using the estimated future cash outflows based on future sales.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280" w:firstLine="749"/>
        <w:spacing w:after="0" w:line="256"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consolidated financial statements, which have been prepared in accordance with generally accepted accounting principles in the United States of America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18"/>
          <w:szCs w:val="18"/>
          <w:color w:val="auto"/>
        </w:rPr>
        <w:t>Management considers many factors in developing the estimates and assumptions that are used in the preparation of our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spacing w:after="0" w:line="18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2 to our audited consolidated financial statements appearing elsewhere in this report, we believe the following accounting policies are critical to the judgments and estimates we use in the preparation of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which includes estimates of variable consideration that result from: invoice discounts for prompt payment and distribution service fees, government rebates, PBMs and Managed Care Organization rebates, chargebacks, discounts and fees, product returns and costs of co-pay assistance programs for patients. Reserves are established for the estimates of variable consideration based on the amounts earned or to be claimed on the related sales. The reserves are classified as reductions to Accounts receivable, net or accrued expenses and other current liabilities. Our estimates of variable consideration and determination of whether to include estimated amounts in the transaction price are based largely on an assessment of its anticipated performance and all information (historical, current, and forecasted) that is reasonably available. These reserves reflect our best estimate of the amount of consideration to which we are entitled to based on the terms of the contracts.</w:t>
      </w:r>
    </w:p>
    <w:p>
      <w:pPr>
        <w:spacing w:after="0" w:line="189"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We make significant estimates and judgments that materially affect our recognition of net product revenue. Claims by third parties for rebates, chargebacks and discounts frequently are submitted to us significantly after the related sales, potentially resulting in adjustments in the period in which the new information becomes known. Rebates apply to: Medicaid, managed care, and supplemental rebates to all applicable states as defined by the statutory government pricing calculation requirements under the Medicaid Drug Rebate Program. Tricare rebates to the TRICARE third-party administrator are based on the statutory calculation defined in the agreement with the Defense Health Agency. Part D and Commercial Managed Care rebates are paid based on the contracts with PBMs and Managed Care Organizations. Rebates are paid to these entities upon receipt of an invoice from the contracted entity, which is based on the utilization of the product by the members of the contracted entity We estimate these rebates and records such estimates in the same period the related product sales is recognized, resulting in a reduction to product sales as well as a component of accrued expenses and other current liabilities. We will adjust our estimates based on new information, including information regarding actual rebates, chargebacks and discounts for our products, as it becomes available.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revenue</w:t>
      </w:r>
    </w:p>
    <w:p>
      <w:pPr>
        <w:spacing w:after="0" w:line="229"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We generate revenue from license or similar agreements with pharmaceutical companies for the development and commercialization of certain products. Such agreements may include the transfer of intellectual property rights in the form of licenses. Payments made by the customer may include non-refundable upfront fees, payments based upon the achievement of defined milestones, and royalties on sales of products.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If a license to the intellectual property is determined to be distinct from the other performance obligations identified in the arrangement, we recognize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us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spacing w:after="0" w:line="18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Contingent milestones at contract inception are estimated to the extent that it is probable that a significant revenue reversal would not occur and included in the transaction price using the most likely amount method. Milestone payments that are not within our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we recognize revenue as or when the performance obligations under the contract are satisfied. At the end of each reporting period, we re-evaluate the probability of achieving development or sales-based milestone payments that a significant revenue reversal would not occur and, if necessary, adjust the estimate of the overall transaction price. Any such adjustments are recorded on a cumulative catch-up basis, which would affect license and other revenue, as well as earnings, in the period of adjustment.</w:t>
      </w:r>
    </w:p>
    <w:p>
      <w:pPr>
        <w:spacing w:after="0" w:line="189" w:lineRule="exact"/>
        <w:rPr>
          <w:sz w:val="20"/>
          <w:szCs w:val="20"/>
          <w:color w:val="auto"/>
        </w:rPr>
      </w:pPr>
    </w:p>
    <w:p>
      <w:pPr>
        <w:jc w:val="both"/>
        <w:ind w:right="500" w:firstLine="749"/>
        <w:spacing w:after="0" w:line="266"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sales-based milestone payments, and a license of intellectual property that is deemed to be the predominant item to which the royalties relate, revenue is recognized at the later of (i) when the related sales occur, or (ii) when the performance obligation to which some or all of the royalties have been allocated has been satisfied (or partially satisfied).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primarily of personnel costs for our research and development employees, costs incurred to third-party service providers for the conduct of research, preclinical and clinical studies, laboratory supplies, product license fees, consulting and other related expenses. We estimate research, preclinical and clinical study expenses based on services performed, pursuant to contracts with third-party research and development organizations that conduct and manage research, preclinical and clinical activities on our behalf. We estimate these expenses based on reviewing contracts, vendor agreements,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we will adjust the accrual accordingly. Payments associated with licensing agreements to acquire licenses to develop, use, manufacture and commercialize products that have not reached technological feasibility and do not have alternative future use are expensed as incurred.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Goodwill is deemed to have an indefinite life and therefore not amortized. We test the carrying amounts of goodwill for recoverability on an annual basis or more frequently if events or changes in circumstances indicate that the asset might be impaired. When reviewing goodwill for impairment, we first evaluate the qualitative factors to determine whether it is more likely than not that the fair value of a reporting unit is less than its carrying amount. The qualitative assessment involves consideration of factors including macroeconomic conditions, conditions specific to the industry, external cost factors that could have a significant effect on earnings or cash flows, all of which requires significant judgment. If the qualitative factors determine it is necessary to complete a goodwill impairment test, the fair value of the relevant reporting unit is determined and compared to its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in impairment of goodwill in our consolidated statements of operations. As of December 31, 2024, we determined that we have one reporting unit. We have not identified any events or changes in circumstances that indicate the existence of potential impairment of goodwill during the year ended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w:t>
      </w:r>
    </w:p>
    <w:p>
      <w:pPr>
        <w:spacing w:after="0" w:line="229" w:lineRule="exact"/>
        <w:rPr>
          <w:sz w:val="20"/>
          <w:szCs w:val="20"/>
          <w:color w:val="auto"/>
        </w:rPr>
      </w:pPr>
    </w:p>
    <w:p>
      <w:pPr>
        <w:jc w:val="both"/>
        <w:ind w:right="180" w:firstLine="749"/>
        <w:spacing w:after="0" w:line="255" w:lineRule="auto"/>
        <w:rPr>
          <w:sz w:val="20"/>
          <w:szCs w:val="20"/>
          <w:color w:val="auto"/>
        </w:rPr>
      </w:pPr>
      <w:r>
        <w:rPr>
          <w:rFonts w:ascii="Times New Roman" w:cs="Times New Roman" w:eastAsia="Times New Roman" w:hAnsi="Times New Roman"/>
          <w:sz w:val="18"/>
          <w:szCs w:val="18"/>
          <w:color w:val="auto"/>
        </w:rPr>
        <w:t>The intangible asset is amortized using the straight-line method over its estimated period of benefit of ten years. We evaluate recoverability of the intangible asset periodically by considering events or changes in circumstances that may warrant revised estimates of useful lives or that indicate the asset may be impaired. When impairment indicators are present, we assess the undiscounted projected cash flow for the asset and compare this estimated amount to carrying amount. If the carrying amount is greater, we record an impairment loss for the amount equal to the excess carrying amount over fair value. Due to the nature of estimating project cash flows for an asset, there is significant judgment involved in determining the fair value of an intangible asset. We have not identified any events or changes in circumstances that indicate the existence of potential impairment of the intangible asset during the year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Consideration paid in a business combination may include contingent consideration. In connection with the Acquisition, we have obligations to make royalty payments to Jazz in the high single-digits on our U.S. net sales of Sunosi in the current indication and a mid single-digit royalty on our U.S. net sales of Sunosi for future indications. We estimate fair value of contingent consideration liabilities using the probability weighted income approach as of the date of acquisition, with subsequent changes in fair value recorded in the consolidated statements of operations during such period a change is recognized. During each reporting period, significant assumptions are required in determining fair value, including estimating the future sales of Sunosi in current and future indications, timing of regulatory and commercial milestone achievements, probability of technical and regulatory success rates, and discount rates. Significant judgment is used in assessing the appropriateness of these assumptions as one or more may involve inputs that are not observable in the market. Accordingly, changes in the assumptions may have a material impact on the change in fair value of contingent consideration liabilities recorded in any given period.</w:t>
      </w:r>
    </w:p>
    <w:p>
      <w:pPr>
        <w:spacing w:after="0" w:line="188"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fair value measurement of the contingent consideration is sensitive to the change in discount rates. As of December 31, 2024, if the discount rate increases or decreases by approximately 1%, the fair value of the contingent consideration would range from $91.5 million to $104.5 million. As of December 31, 2024, if the revenue discount rate increases or decreases by approximately 1%, the fair value of the contingent consideration would range from $92.9 million to $102.9 million.</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87"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to be sustained upon examination based on the technical merits of the position as well as consideration of the available facts and circumstances. When uncertain tax positions exist, we recognize the tax benefit of tax positions to the extent that the benefit will more likely than not be realized. As of December 31, 2024, we do not believe any material uncertain tax positions are present.</w:t>
      </w:r>
    </w:p>
    <w:p>
      <w:pPr>
        <w:spacing w:after="0" w:line="18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2024, we had U.S. federal net operating loss carryforwards of approximately $572.1 million and foreign NOL carryforwards of $4.8 million. U.S. federal NOLs amounting to $59.8 million generated before the 2018 tax year will start expiring beginning 2032, and the NOLs of approximately $512.3 million generated in 2018 and later have an indefinite carryforward period.</w:t>
      </w:r>
    </w:p>
    <w:p>
      <w:pPr>
        <w:spacing w:after="0" w:line="176"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Utilization of the NOLs may be subject to a substantial annual limitation due to ownership change limitations provided by the Internal Revenue Code of 1986, as amended. The annual limitation for net operating losses incurred before the 2018 tax year may result in expiration before we can use them. We have recorded a valuation allowance on all of our deferred tax assets.</w:t>
      </w:r>
    </w:p>
    <w:p>
      <w:pPr>
        <w:spacing w:after="0" w:line="13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Stock</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-43815</wp:posOffset>
            </wp:positionV>
            <wp:extent cx="64135" cy="39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46"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For issued stock options, we estimate the grant date fair value of each option using the Black-Scholes option pricing model. The Black-Scholes model requires management to make assumptions, including expected volatility of our common stock, the risk-free interest rate, the expected term of the option, the fair value of our common stock, expected dividend yield, and the exercise price. Certain assumptions utilized in the Black-Scholes calculation involve a number of variables, uncertainties, and application of management judgment that are inherently subjective. Significant changes in these assumptions can materially affect the fair value and ultimately the amount of stock-based compensation expense that is recognized.</w:t>
      </w:r>
    </w:p>
    <w:p>
      <w:pPr>
        <w:spacing w:after="0" w:line="183"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We recognize the grant date fair value of the stock options over the requisite service period, which is generally the vesting term. For awards only subject to service-based vesting conditions, we elected to recognize stock-based compensation expense on a straight-line basis.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2024 and 2023 (in thousands, except share and per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7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 net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381,677</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202,460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License revenue</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65,735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and milestone revenue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385,693</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 (excluding amortization and depreciation)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33,303</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26,065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187,077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97,944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411,359</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323,123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in fair value of contingent consideration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48,918</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666,255</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502,425</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(280,562 )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(231,825 )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(6,569 )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(6,453 )</w:t>
            </w: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(287,131 )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(238,278 )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(960 )</w:t>
            </w: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(287,216 )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(239,238 )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(5.99 )</w:t>
            </w:r>
          </w:p>
        </w:tc>
        <w:tc>
          <w:tcPr>
            <w:tcW w:w="380" w:type="dxa"/>
            <w:vAlign w:val="bottom"/>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(5.27 )</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47,914,253</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45,425,212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-2039620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-1207770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-350520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-333375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right="38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sales, net. </w:t>
      </w:r>
      <w:r>
        <w:rPr>
          <w:rFonts w:ascii="Times New Roman" w:cs="Times New Roman" w:eastAsia="Times New Roman" w:hAnsi="Times New Roman"/>
          <w:sz w:val="18"/>
          <w:szCs w:val="18"/>
          <w:color w:val="auto"/>
        </w:rPr>
        <w:t>Auvelity U.S. net sales were $291.4 million and $130.1 million for the years ended December 31,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Sunosi net sales were $90.3 million and $72.4 million for the years ended December 31, 2024 and 2023, respectively. The increases were primarily due to the increase in unit sales volume for both Auvelity and Sunosi.</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activity of our sales allowance and reserves as of and for the year ended December 31, 2024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discounts and</w:t>
            </w:r>
          </w:p>
        </w:tc>
        <w:tc>
          <w:tcPr>
            <w:tcW w:w="140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Cash discounts</w:t>
            </w:r>
          </w:p>
        </w:tc>
        <w:tc>
          <w:tcPr>
            <w:tcW w:w="120" w:type="dxa"/>
            <w:vAlign w:val="bottom"/>
          </w:tcPr>
          <w:p>
            <w:pPr>
              <w:spacing w:after="0"/>
              <w:rPr>
                <w:sz w:val="12"/>
                <w:szCs w:val="12"/>
                <w:color w:val="auto"/>
              </w:rPr>
            </w:pPr>
          </w:p>
        </w:tc>
        <w:tc>
          <w:tcPr>
            <w:tcW w:w="12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Medicaid and</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138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rebates, returns</w:t>
            </w: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and chargebacks</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Medicare rebates</w:t>
            </w:r>
          </w:p>
        </w:tc>
        <w:tc>
          <w:tcPr>
            <w:tcW w:w="2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37,492</w:t>
            </w:r>
          </w:p>
        </w:tc>
        <w:tc>
          <w:tcPr>
            <w:tcW w:w="24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12,501</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239,549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97,169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Payments/credits</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(221,629 )</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(96,166 )</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(31,961 )</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(349,756 )</w:t>
            </w:r>
          </w:p>
        </w:tc>
        <w:tc>
          <w:tcPr>
            <w:tcW w:w="0" w:type="dxa"/>
            <w:vAlign w:val="bottom"/>
          </w:tcPr>
          <w:p>
            <w:pPr>
              <w:spacing w:after="0"/>
              <w:rPr>
                <w:sz w:val="1"/>
                <w:szCs w:val="1"/>
                <w:color w:val="auto"/>
              </w:rPr>
            </w:pPr>
          </w:p>
        </w:tc>
      </w:tr>
      <w:tr>
        <w:trPr>
          <w:trHeight w:val="210"/>
        </w:trPr>
        <w:tc>
          <w:tcPr>
            <w:tcW w:w="5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55,412</w:t>
            </w:r>
          </w:p>
        </w:tc>
        <w:tc>
          <w:tcPr>
            <w:tcW w:w="24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13,504</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18,538</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87,454</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-170815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ind w:right="28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License revenue. </w:t>
      </w:r>
      <w:r>
        <w:rPr>
          <w:rFonts w:ascii="Times New Roman" w:cs="Times New Roman" w:eastAsia="Times New Roman" w:hAnsi="Times New Roman"/>
          <w:sz w:val="18"/>
          <w:szCs w:val="18"/>
          <w:color w:val="auto"/>
        </w:rPr>
        <w:t>In February 2023, we entered into the Pharmanovia License Agreement to commercialize Sunosi in certain ex-U.S.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recognized the upfront payment of $65.7 million from Pharmanovia as license revenue during the first quarter of 2023. We did not have license revenue during the year ended December 31, 2024.</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Royalty and milestone revenue. </w:t>
      </w:r>
      <w:r>
        <w:rPr>
          <w:rFonts w:ascii="Times New Roman" w:cs="Times New Roman" w:eastAsia="Times New Roman" w:hAnsi="Times New Roman"/>
          <w:sz w:val="18"/>
          <w:szCs w:val="18"/>
          <w:color w:val="auto"/>
        </w:rPr>
        <w:t>In connection with the February 2023 Pharmanovia License Agreement to commercialize Sunosi in certain ex-U.S. markets, we recognized royalty revenue of $3.5 million for the year ended December 31, 2024, as compared to $2.4 million for the year ended December 31, 2023 attributable to Pharmanovia sales of Sunosi in the out-licensed markets. The increase was in line with the increase in unit sales volume of Sunosi in certain ex-U.S. markets. Further, in the fourth quarter of 2024, we recognized milestone revenue of $0.5 million related to an achievement of a regulatory milestone in China for Sunosi from SK.</w:t>
      </w:r>
    </w:p>
    <w:p>
      <w:pPr>
        <w:spacing w:after="0" w:line="183" w:lineRule="exact"/>
        <w:rPr>
          <w:sz w:val="20"/>
          <w:szCs w:val="20"/>
          <w:color w:val="auto"/>
        </w:rPr>
      </w:pPr>
    </w:p>
    <w:p>
      <w:pPr>
        <w:jc w:val="both"/>
        <w:ind w:right="32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was $33.3 million for the year ended December 31, 2024, as compared to $26.1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The increase was in line with the increase in sales of Auvelity and Sunosi. Cost of revenue for the year ended December 31, 2024 includes a $2.5 million expense for the achievement of a sales-based milestone related to world-wide Sunosi sales. Additionally, cost of revenue for the year ended December 31, 2023 includes a $5.0 million license sharing expense related to the Pharmanovia License Agreement.</w:t>
      </w:r>
    </w:p>
    <w:p>
      <w:pPr>
        <w:spacing w:after="0" w:line="180" w:lineRule="exact"/>
        <w:rPr>
          <w:sz w:val="20"/>
          <w:szCs w:val="20"/>
          <w:color w:val="auto"/>
        </w:rPr>
      </w:pPr>
    </w:p>
    <w:p>
      <w:pPr>
        <w:ind w:right="46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The following table summarizes our research and development expenses for our primary products for the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2024 and 2023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20" w:type="dxa"/>
            <w:vAlign w:val="bottom"/>
            <w:tcBorders>
              <w:bottom w:val="single" w:sz="8" w:color="auto"/>
            </w:tcBorders>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Solriamfetol</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53,678</w:t>
            </w:r>
          </w:p>
        </w:tc>
        <w:tc>
          <w:tcPr>
            <w:tcW w:w="126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AXS-05</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62,877</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AXS-07</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AXS-12</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AXS-14</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research and development (*)</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12,274</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21,418</w:t>
            </w:r>
          </w:p>
        </w:tc>
        <w:tc>
          <w:tcPr>
            <w:tcW w:w="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187,077</w:t>
            </w:r>
          </w:p>
        </w:tc>
        <w:tc>
          <w:tcPr>
            <w:tcW w:w="126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97,944</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Other research and development expenses primarily consist of facilities charges, third party consultant costs, costs related to other product candidates, and other unallocated costs.</w:t>
      </w:r>
    </w:p>
    <w:p>
      <w:pPr>
        <w:spacing w:after="0" w:line="20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$89.2 million for the year ended December 31, 2024, as compared to the year ended December 31, 2023. The increase was primarily related to the Phase 3 trials for additional indications, including studies in ADHD, MDD, BED, and SWD, for solriamfetol, the advancement of ongoing Phase 3 trials of AXS-05 and AXS-12, higher manufacturing costs for AXS-07 and AXS-14, and higher personnel costs due to organizational growth. Research and development expenses are expected to stabilize at current levels in the near term as certain development programs near completion while new development programs are initiated.</w:t>
      </w:r>
    </w:p>
    <w:p>
      <w:pPr>
        <w:spacing w:after="0" w:line="181"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expenses were $411.4 million for the year ended December 31, 2024,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$323.1 million for the year ended December 31, 2023. The increase was primarily related to greater commercial activities for Auvelity and Sunosi, and higher personnel costs related to organizational growth, including non-cash stock-based compensation. We expect selling, general and administrative expenses to increase as we expand marketing, promotional, and advertising costs for Auvelity and Sunosi, launch Symbravo, and to support general administrative needs.</w:t>
      </w:r>
    </w:p>
    <w:p>
      <w:pPr>
        <w:spacing w:after="0" w:line="183" w:lineRule="exact"/>
        <w:rPr>
          <w:sz w:val="20"/>
          <w:szCs w:val="20"/>
          <w:color w:val="auto"/>
        </w:rPr>
      </w:pPr>
    </w:p>
    <w:p>
      <w:pPr>
        <w:ind w:right="32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Loss in Fair Value of Contingent Consideration. </w:t>
      </w:r>
      <w:r>
        <w:rPr>
          <w:rFonts w:ascii="Times New Roman" w:cs="Times New Roman" w:eastAsia="Times New Roman" w:hAnsi="Times New Roman"/>
          <w:sz w:val="18"/>
          <w:szCs w:val="18"/>
          <w:color w:val="auto"/>
        </w:rPr>
        <w:t>The $28.1 million change for the year ended December 31, 2024, as compared to a $48.9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change for the year ended December 31, 2023 was primarily related to changes in significant unobservable inputs, including discount rates, and significant assumptions, including future sales estimates.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Intangible asset amortization</w:t>
      </w:r>
      <w:r>
        <w:rPr>
          <w:rFonts w:ascii="Times New Roman" w:cs="Times New Roman" w:eastAsia="Times New Roman" w:hAnsi="Times New Roman"/>
          <w:sz w:val="18"/>
          <w:szCs w:val="18"/>
          <w:color w:val="auto"/>
        </w:rPr>
        <w:t>. We amortize the intangible asset, which we recognized as part of the Acquisition, over its useful life of 10 years.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 amortization was $6.4 million for both the years ended December 31, 2024 and 2023.</w:t>
      </w:r>
    </w:p>
    <w:p>
      <w:pPr>
        <w:spacing w:after="0" w:line="205" w:lineRule="exact"/>
        <w:rPr>
          <w:sz w:val="20"/>
          <w:szCs w:val="20"/>
          <w:color w:val="auto"/>
        </w:rPr>
      </w:pPr>
    </w:p>
    <w:p>
      <w:pPr>
        <w:ind w:right="8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was $6.6 million for the year ended December 31, 2024 as compared to $6.5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2023. The increase was mainly due to an increase in interest expense related to the Loan Agreement and non-cash interest expense on leases, offset by additional interest income from higher interest rates on cash balances.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recorded an income tax expense of $0.1 million for the year ended December 31, 2024 due to state taxes that we expect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pay based on minimum tax requirements in various states. We recorded a tax expense of $1.0 million for the year ended December 31, 2023 due to income earned in Malta in relation to the license revenue recognized from the Pharmanovia License Agreement.</w:t>
      </w:r>
    </w:p>
    <w:p>
      <w:pPr>
        <w:spacing w:after="0" w:line="173"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loss. </w:t>
      </w:r>
      <w:r>
        <w:rPr>
          <w:rFonts w:ascii="Times New Roman" w:cs="Times New Roman" w:eastAsia="Times New Roman" w:hAnsi="Times New Roman"/>
          <w:sz w:val="18"/>
          <w:szCs w:val="18"/>
          <w:color w:val="auto"/>
        </w:rPr>
        <w:t>Net loss for the year ended December 31, 2024 was $287.2 million as compared to $239.2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increase was primarily due to higher research and development spend from pre-clinical and ongoing clinical trial expenses, higher selling, general and administrative expenses from commercial activities related to Auvelity and Sunosi, including sales force and marketing spend, and higher personnel costs due to organizational growth, including non-cash stock compensation expense. Additionally, the increase in net loss was impacted by the upfront payment of $65.7 million received from Pharmanovia in the first quarter of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Since our inception through December 31, 2024, we have financed our operations primarily through proceeds from equity offerings, debt borrowings, and proceeds from product sales. See discussion below.</w:t>
      </w:r>
    </w:p>
    <w:p>
      <w:pPr>
        <w:spacing w:after="0" w:line="162"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On December 2, 2022, we filed an automatic shelf registration statement with the SEC for the issuance of common stock, preferred stock, warrants, rights, debt securities, and units up to an unlimited amount, which we refer to as the 2022 Shelf Registration Statement. It was declared effective by the SEC upon filing. In the future, we may conduct additional offerings of one or more of these securities utilizing the 2022 Shelf Registration Statement in such amounts, prices and terms to be announced when and if the securities are offered. At the time any of our securities covered by the 2022 Shelf Registration Statement are offered for sale, a prospectus supplement will be prepared and filed with the SEC containing specific information about the terms of any such offering.</w:t>
      </w:r>
    </w:p>
    <w:p>
      <w:pPr>
        <w:spacing w:after="0" w:line="18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December 2019, we entered into a sales agreement, or the December 2019 Sales Agreement, with SVB Securities LLC (now known as Leerink Partners LLC), or Leerink, pursuant to which we may sell up to $80 million in shares of our common stock from time to time through Leerink, acting as our sales agent, in one or more at-the-market offerings utilizing an automatic shelf registration statement we filed with the SEC on December 5, 2019 for the issuance of common stock, preferred stock, warrants, rights, debt securities and units up to an unlimited amount, which we refer to as the 2019 Shelf Registration Statement. Leerink is entitled to receive a commission of 3.0% of the gross proceeds for any shares sold under the December 2019 Sales Agreement.</w:t>
      </w:r>
    </w:p>
    <w:p>
      <w:pPr>
        <w:spacing w:after="0" w:line="187"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In March 2022, we entered into a sales agreement, or the March 2022 Sales Agreement with Leerink, and filed a prospectus supplement, pursuant to which we may sell up to $200 million in shares of our common stock from time to time through Leerink, acting as our sales agent, in one or more at-the-market offerings utilizing the 2019 Shelf Registration Statement. Leerink is entitled to receive a commission of up to 3.0% of the gross proceeds for any shares sold under the March 2022 Sales Agreement. The March 2022 Sales Agreement supersedes the December 2019 Sales Agreement, by and between us and Leerink. We exhausted sales of shares of our common stock under our prior at-the-market offering program.</w:t>
      </w:r>
    </w:p>
    <w:p>
      <w:pPr>
        <w:spacing w:after="0" w:line="183"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 August 2022, we filed a prospectus supplement to the 2019 Shelf Registration Statement for the issuance and sale, if any, of up to an additional $250 million in shares of our common stock. Leerink is entitled to receive a commission of up to 3.0% of the gross proceeds for any shares sold under the March 2022 Sales Agreement.</w:t>
      </w:r>
    </w:p>
    <w:p>
      <w:pPr>
        <w:spacing w:after="0" w:line="176"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December 2022, in connection with the 2022 Shelf Registration Statement, we filed a new sales agreement prospectus to replace the prior prospectus supplement filed in August 2022 associated with the expired 2019 Shelf Registration Statement. The new sales agreement prospectus covered the issuance and sale by us of up to the same $250 million of our common stock that may be issued and sold from time to time through Leerink, as the sales agent, under the March 2022 Sales Agreement.</w:t>
      </w:r>
    </w:p>
    <w:p>
      <w:pPr>
        <w:spacing w:after="0" w:line="180"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we received approximately $40.8 million in gross proceeds through the sale of 466,108 shares, of which net proceeds were approximately $40.0 million, under the March 2022 Sales Agreement. We did not utilize the March 2022 Sales Agreement with Leerink during the year ended December 31, 2023.</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January 2023, we entered into a Third Amendment to the Loan Agreement, or the Third Amendment, with Hercules. The Third Amendment increased the size of the Term Loan Advance (as defined in the Loan Agreement) to $350.0 million, reduces the interest rate, and extends the maturity and interest-only period of the Loan Agreement. In September 2024, we entered into a Fifth Amendment to the Loan Agreement, or the Fifth Amendment, with Hercules. The Fifth Amendment amended the terms of the Loan Agreement to, among other things: (i) increase the size of the aggregate principal amount under tranche 3 of the 2020 Term Loan (as defined below) from $75.0 to $80.0 million; (ii) extend the availability periods of certain tranches of the 2020 Term Loan; (iii) alter the terms of the performance covenants contained in the Loan Agreement and also add a new performance covenant; (iv) conditionally waive the minimum cash requirement during such periods of time that Axsome’s market capitalization exceeds $1.5 billion; and (v) permit Axsome Malta Ltd., or the Malta Subsidiary, to request an advance from the Lenders (as defined in the Loan Agreement) up to a certain amount to the extent that Axsome may request an advance in such amount and to increase the amount of cash that the Malta Subsidiary may hold outside of the United States, as set forth in greater detail in the Fifth Amendment. We drew down upon tranche 1C of the 2020 Term Loan, and as of December 31, 2024, we had approximately $180 million outstanding and $150 million remaining under the 2020 Term Loan. See the “Contractual Obligations and Commitments – January 2023 Third Amendment to the Loan and Security Agreement – Hercules”, “Contractual Obligations and Commitments – September 2024 Fifth Amendment to the Loan and Security Agreement – Hercules” sections below, and Note 10. Loan and Security Agreement for more information.</w:t>
      </w:r>
    </w:p>
    <w:p>
      <w:pPr>
        <w:spacing w:after="0" w:line="187" w:lineRule="exact"/>
        <w:rPr>
          <w:sz w:val="20"/>
          <w:szCs w:val="20"/>
          <w:color w:val="auto"/>
        </w:rPr>
      </w:pPr>
    </w:p>
    <w:p>
      <w:pPr>
        <w:jc w:val="both"/>
        <w:ind w:right="160" w:firstLine="749"/>
        <w:spacing w:after="0" w:line="258" w:lineRule="auto"/>
        <w:rPr>
          <w:sz w:val="20"/>
          <w:szCs w:val="20"/>
          <w:color w:val="auto"/>
        </w:rPr>
      </w:pPr>
      <w:r>
        <w:rPr>
          <w:rFonts w:ascii="Times New Roman" w:cs="Times New Roman" w:eastAsia="Times New Roman" w:hAnsi="Times New Roman"/>
          <w:sz w:val="18"/>
          <w:szCs w:val="18"/>
          <w:color w:val="auto"/>
        </w:rPr>
        <w:t>In June 2023, we completed an underwritten public offering of our common stock and sold 3.0 million shares of our common stock at a public offering price of $75.00 per share. Net proceeds were $211.3 million, net of underwriting discounts and commissions of $13.5 million and other offering costs of $0.2 million. Additionally, in connection with this public offering, in July 2023, the underwriters fully exercised their option to purchase 450,000 additional shares of our common stock, at a public offering price of $75.00 per share. The net proceeds were $31.7 million, net of underwriting discounts and commissions of $2.0 million and other minimal offering costs.</w:t>
      </w:r>
    </w:p>
    <w:p>
      <w:pPr>
        <w:spacing w:after="0" w:line="18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the future, we may conduct additional offerings of one or more of the securities covered by the 2022 Shelf Registration Statement in such amounts, prices and terms to be announced when and if the securities are offered. At the time any of our securities covered by the 2022 Shelf Registration Statement are offered for sale, a prospectus supplement will be prepared and filed with the SEC containing specific information about the terms of any such offering.</w:t>
      </w:r>
    </w:p>
    <w:p>
      <w:pPr>
        <w:spacing w:after="0" w:line="1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February 21, 2023, we entered into a Sublease with Advance Magazine Publishers d/b/a Conde Nast for the entirety of the twenty-second floor of One Word Trade Center in New York, NY, or the Sublease. This space is utilized as our corporate and executive offices. The Sublease commenced on April 7, 2023 and will run for ten (10) years. We have a one-time option to terminate the Sublease on its fifth anniversary upon the payment of a fee to the sublandlord. We are responsible for base rent under the Sublease and certain additional customary variable costs such as an allocable portion of building taxes and operating expenses. In connection with the Sublease, we received certain rent and work concessions from the sublandlord. The Company entered into a fleet lease program beginning the first quarter of 2024. The lease agreement includes an initial 12-month noncancelable period with monthly renewal options thereafter. Lease terms range from approximately 40 to 50 months and are classified as finance leases. See Note 11. Commitments and Contingencies for further information on future contractual obligations.</w:t>
      </w:r>
    </w:p>
    <w:p>
      <w:pPr>
        <w:spacing w:after="0" w:line="192"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believe that our current cash is sufficient to fund anticipated operations into cash flow positivity, based on the current operating plan. Because the process of commercializing products and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primary sources and uses of cash for the periods indicated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gridSpan w:val="5"/>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7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(128,410 )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(145,080 )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(270 )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(582 )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57,840</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331,013</w:t>
            </w:r>
          </w:p>
        </w:tc>
        <w:tc>
          <w:tcPr>
            <w:tcW w:w="100" w:type="dxa"/>
            <w:vAlign w:val="bottom"/>
          </w:tcPr>
          <w:p>
            <w:pPr>
              <w:spacing w:after="0"/>
              <w:rPr>
                <w:sz w:val="18"/>
                <w:szCs w:val="18"/>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(70,840 )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185,351</w:t>
            </w:r>
          </w:p>
        </w:tc>
        <w:tc>
          <w:tcPr>
            <w:tcW w:w="100" w:type="dxa"/>
            <w:vAlign w:val="bottom"/>
            <w:shd w:val="clear" w:color="auto" w:fill="CFF0FC"/>
          </w:tcPr>
          <w:p>
            <w:pPr>
              <w:spacing w:after="0"/>
              <w:rPr>
                <w:sz w:val="19"/>
                <w:szCs w:val="19"/>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used in operating activities for the year ended December 31, 2024 was $128.4 million as compared to $145.1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December 31, 2023. The decrease of $16.7 million was mainly due to higher net product revenues from Auvelity and Sunosi in 2024, which was offset by the increase in cash used in commercial and clinical activities in 2024. Operating activities in 2023 also was impacted by the receipt of a $65.7 million upfront payment from Pharmanovia in the first quarter of 2023.</w:t>
      </w:r>
    </w:p>
    <w:p>
      <w:pPr>
        <w:spacing w:after="0" w:line="180" w:lineRule="exact"/>
        <w:rPr>
          <w:sz w:val="20"/>
          <w:szCs w:val="20"/>
          <w:color w:val="auto"/>
        </w:rPr>
      </w:pPr>
    </w:p>
    <w:p>
      <w:pPr>
        <w:ind w:right="18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for the year ended December 31, 2024 was $270 thousand, as compared to $582 thousand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December 31, 2023. The decrease was impacted by the expansion of our corporate headquarters during 2023.</w:t>
      </w:r>
    </w:p>
    <w:p>
      <w:pPr>
        <w:spacing w:after="0" w:line="158"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provided by financing activities was $57.8 million for the year ended December 31, 2024, which included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of $40.0 million from issuance of common stock for financing purposes as well as proceeds of $30.7 million from the issuance of common stock upon the exercise of employee stock options and under the ESPP, which was partially offset by payments of contingent consideration and tax withholdings on stock awards, for a total of $11.8 million. Cash provided by financing activities was $331.0 million for the year ended December 31, 2023, which included net proceeds related to the June 2023 public offering of $211.3 million and additional net proceeds of $31.7 million as the underwriters fully exercised their option to purchase additional shares, net proceeds of $83.6 million from draw-downs related to the Loan Agreement with Hercules, and proceeds of $12.4 million from the issuance of common stock upon the exercise of employee stock options, offset by payments of contingent consideration and tax withholdings on stock awards for a total of $8.0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We have not achieved profitability since our inception, and we expect to continue to have losses as we continue the development of, and seek regulatory approvals for, our product candidates, and begin to commercially launch Symbravo while further investing in Auvelity and Sunosi. We are subject to all of the risks pertinent to the development of new product candidates, and we may encounter unforeseen expenses, difficulties, complications, delays, and other unknown factors that may harm our business.</w:t>
      </w:r>
    </w:p>
    <w:p>
      <w:pPr>
        <w:spacing w:after="0" w:line="180"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may need to raise additional financing in the future to fund our operations. In the event that we need additional financing, we may incur additional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83"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results, and cost of our clinical studies and other related activities;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collaborative agreements for the development and commercialization of our product candidates;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any other product candidates that we pursue;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reviews of our product candidates;</w:t>
      </w:r>
    </w:p>
    <w:p>
      <w:pPr>
        <w:spacing w:after="0" w:line="225"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our commercialization activities, including product manufacturing, marketing, sales, and distribution, for any of our products and product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related to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needed to attract and retain skilled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and administrative expenses related to being a public company;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received from commercial sales of our products and product candidates for which we receive marketing approval; and</w:t>
      </w:r>
    </w:p>
    <w:p>
      <w:pPr>
        <w:spacing w:after="0" w:line="225" w:lineRule="exact"/>
        <w:rPr>
          <w:rFonts w:ascii="Times New Roman" w:cs="Times New Roman" w:eastAsia="Times New Roman" w:hAnsi="Times New Roman"/>
          <w:sz w:val="18"/>
          <w:szCs w:val="18"/>
          <w:color w:val="auto"/>
        </w:rPr>
      </w:pPr>
    </w:p>
    <w:p>
      <w:pPr>
        <w:ind w:left="760" w:right="560" w:hanging="378"/>
        <w:spacing w:after="0" w:line="239" w:lineRule="exact"/>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claims.</w:t>
      </w:r>
    </w:p>
    <w:p>
      <w:pPr>
        <w:spacing w:after="0" w:line="170"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see “Risk Factors” for additional risks associated with our substantial capital requirements.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Pfizer</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January 2020, we entered into a license agreement with Pfizer. Under the terms of our exclusive license agreement with Pfizer, Pfizer received 82,019 shares of our common stock having a stated value of $8.0 million, based on the average closing price of our common stock for the ten prior trading days of $97.54, in consideration for the license and rights. Pfizer also received an upfront cash payment of $3.0 million. We determined that the fair value of each share of common stock granted to Pfizer on the closing date of January 9, 2020 was $87.24, based on the closing price of our common stock on that date. As a result, the fair value of the stock issued was $7.2 million.</w:t>
      </w:r>
    </w:p>
    <w:p>
      <w:pPr>
        <w:spacing w:after="0" w:line="183"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Pfizer can also receive up to $323 million upon the achievement of certain regulatory and sales milestones, and tiered mid-single to low double-digit royalties on future sales of any such approved clinical products containing compounds reboxetine esreboxetine. Pfizer will also have a right of first negotiation on any potential future strategic transactions involving AXS-12 and AXS-14.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 with Antecip Bioventures</w:t>
      </w:r>
    </w:p>
    <w:p>
      <w:pPr>
        <w:spacing w:after="0" w:line="22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Under three exclusive license agreements with Antecip an entity owned by our Chief Executive Officer and Chairman of the Board, Herriot Tabuteau, M.D., we are obligated to make specified royalty payments ranging from 1.5% to 4.5%, subject to up to a 50% reduction depending on required payments to third parties, on net sales of our products containing the licensed technology of AXS-02, AXS-05, and AXS-04.</w:t>
      </w:r>
    </w:p>
    <w:p>
      <w:pPr>
        <w:spacing w:after="0" w:line="176"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In connection with the Loan Agreement (see below), Antecip consented to the collateral assignment of one of the license agreements, among other things, under a direct agreement with us and Hercules.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and Security Agreement with Hercules Capital, Inc.</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Capitalized terms used but not otherwise defined herein shall have the meanings assigned to them in the Loan Agreement.</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2024 Fifth Amendment to the Loan and Security Agreement</w:t>
      </w:r>
    </w:p>
    <w:p>
      <w:pPr>
        <w:spacing w:after="0" w:line="22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On September 30, 2024, we entered into the Fifth Amendment. The Fifth Amendment amended the terms of the Loan Agreement to, among other things: (i) increase the Tranche 3 Commitment from $75.0 to $80.0 million; (ii) extend the availability periods of Tranche 1D to June 15, 2025 and that of Tranche 1E to December 15, 2025, as set forth in greater detail in the Fifth Amendment; (iii) alter the terms of Performance Covenant A, Performance Covenant B, and Performance Covenant C and also add a Performance Covenant D, as set forth in greater detail in the Fifth Amendment; (iv) conditionally waive the requirement that the Company maintain Qualified Cash in an amount greater than or equal to the sum of $30.0 million plus the Qualified Cash A/P Amount at all times during such periods of time that the Company’s Market Capitalization exceeds $1.5 billion; and (v) permit the Malta Subsidiary, to request an Advance from the Lenders up to a certain amount to the extent that the Company may request an Advance in such amount and to increase the amount of Cash that the Malta Subsidiary may hold outside of the United States, as set forth in greater detail in the Fifth Amendment.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2023 Fourth Amendment to the Loan and Security Agreement</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May 8, 2023, we entered into the Waiver and Fourth Amendment to the Loan Agreement, or the Fourth Amendment, with Hercules, in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capacity as administrative agent and collateral agent, and the Lenders. The Fourth Amendment increased the amount of Cash that could be held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Malta Subsidiary outside of the United States from $3.0 million to $15.0 million for a 45-day period after the closing of the Fourth Amendment and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thereafter. The Fourth Amendment also waived any purported default with respect to the amount of cash held by the Malta Subsidiary prior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date of the Fourth Amendment. In August 2023, Hercules granted Axsome a waiver to the Fourth Amendment, permitting the Malta Subsidiary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 up to $12.5 million in Cash outside of the United States until December 31,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2023 Third Amendment to the Loan and Security Agreement</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January 9, 2023, we entered into the Third Amendment.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Third Amendment amended the terms of the Loan Agreement to, among other things:</w:t>
      </w:r>
    </w:p>
    <w:p>
      <w:pPr>
        <w:spacing w:after="0" w:line="117" w:lineRule="exact"/>
        <w:rPr>
          <w:sz w:val="20"/>
          <w:szCs w:val="20"/>
          <w:color w:val="auto"/>
        </w:rPr>
      </w:pPr>
    </w:p>
    <w:p>
      <w:pPr>
        <w:ind w:left="10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maturity date to January 1, 2028, unless the Company meets certain revenue targets as described in the Loan Agreement, in which case the Company can extend the maturity date to January 1, 2029;</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aggregate principal amount under the Loan Agreement from $300.0 million to $350.0 million;</w:t>
      </w:r>
    </w:p>
    <w:p>
      <w:pPr>
        <w:spacing w:after="0" w:line="117"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in the Loan Agreement, change the term loan advance amounts and availability dates under the Tranche 1 Advance through Tranche 5 Advance, including increasing the Tranche 1 Advance from one tranche of $95.0 million to five sub-tranches of $95.0 million, $55.0 million, $30.0 million, $35.0 million, and $35.0 million, respectively, changing the Tranche 2 Advance from three sub-tranches of $35.0 million, $35.0 million, and $30.0 million, respectively, to one tranche of $25.0 million, changing the Tranche 3 Advance from two sub-tranches of $15.0 million and $5.0 million, respectively, to one tranche of $75.0 million, and removing the Tranche 4 Advance and Tranche 5 Advance entirely;</w:t>
      </w:r>
    </w:p>
    <w:p>
      <w:pPr>
        <w:spacing w:after="0" w:line="7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the interest rate applicable to extensions of credit under the Loan Agreement to equal (a) if the prime rate is greater than or equal to</w:t>
      </w:r>
    </w:p>
    <w:p>
      <w:pPr>
        <w:spacing w:after="0" w:line="27" w:lineRule="exact"/>
        <w:rPr>
          <w:rFonts w:ascii="Times New Roman" w:cs="Times New Roman" w:eastAsia="Times New Roman" w:hAnsi="Times New Roman"/>
          <w:sz w:val="18"/>
          <w:szCs w:val="18"/>
          <w:color w:val="auto"/>
        </w:rPr>
      </w:pPr>
    </w:p>
    <w:p>
      <w:pPr>
        <w:ind w:left="102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the greater of either (i) the prime rate plus 2.20%, and (ii) 9.95%, but in no event greater than 10.70%, and (b) if the prime rate is less than 7.00%, 9.70%;</w:t>
      </w:r>
    </w:p>
    <w:p>
      <w:pPr>
        <w:spacing w:after="0" w:line="7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minimum cash requirement of the Company to the sum of $30.0 million plus the Qualified Cash A/P Amount; and</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Company to pay a facility fee equal to 0.75% of the amount of principal actually funded pursuant to the Tranche 1B Advance, Tranche 1C Advance, Tranche 1D Advance, Tranche 1E Advance, Tranche 2 Advance, and Tranche 3 Advance.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allowed Tranche 2, which totaled $25.0 million, to expire undrawn.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Agreements</w:t>
      </w:r>
    </w:p>
    <w:p>
      <w:pPr>
        <w:spacing w:after="0" w:line="227"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Pursuant to the Asset Purchase Agreement, dated as of March 25, 2022, or the Purchase Agreement, we agreed to make non-refundable, non-creditable royalty payments to Jazz equal to a (A) high-single digit royalty for any Current Indication or (B) mid-single digit royalty for any Future Indication, of Net Sales in the U.S. Territory made during the applicable Royalty Term (in each case, as those terms are defined in the Purchase Agreement). There are no royalty payments due to Jazz for Net Sales outside of the U.S. Territory.</w:t>
      </w:r>
    </w:p>
    <w:p>
      <w:pPr>
        <w:spacing w:after="0" w:line="180"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At the initial closing, we assumed all of the commitments of Jazz to SK and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our sales of Sunosi, and we are committed to pay up to $165.0 million based on revenue milestones and $1.0 million based on development milestones.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Shelf Registration Statement</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On December 2, 2022, we filed the 2022 Shelf Registration Statement on Form S-3ASR (File No. 333-235372) with the SEC for the issuance of common stock, preferred stock, warrants, rights, debt securities, and units, which became effective immediately upon filing. At the time any of the securities covered by the 2022 Shelf Registration Statement are offered for sale, we prepare and file a prospectus supplement with the SEC containing specific information about the terms of any such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8" w:lineRule="exact"/>
        <w:rPr>
          <w:sz w:val="20"/>
          <w:szCs w:val="20"/>
          <w:color w:val="auto"/>
        </w:rPr>
      </w:pPr>
    </w:p>
    <w:p>
      <w:pPr>
        <w:ind w:right="140" w:firstLine="749"/>
        <w:spacing w:after="0" w:line="245" w:lineRule="exact"/>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arrangements, as defined by applicable SEC regulations.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to our consolidated financial statements included in Part IV, Exhibits and Financial Statement Schedules, of this Annual Report on Form 10-K for a discussion of recently issued accounting pronouncements.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market risks are principally limited to interest rate fluctuations. We had cash of $315.4 million as of December 31, 2024. The primary objective of our investment activities is to preserve principal and liquidity while maximizing income without significantly increasing risk. We do not enter into investments for trading or speculative purposes.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of our investment portfolio and debt agreement, which use short-term interest rates and the prime rate, respectively, we do not believe an immediate 100 basis point increase in interest rates would have a material effect on the fair market value of our portfolio, and, accordingly, we do not expect our operating results or cash flows to be materially affected by a sudden change in market interest rates.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contract with vendors and third-party manufactures located in Europe and certain invoices are denominated in foreign currencies. Royalty revenues from Pharmanovia are derived from their sales of Sunosi in ex-U.S markets and those sales are denominated in Euros. We are therefore subject to fluctuations in foreign currency rates for the Euro, Swiss Franc, and British Pound, in connection with these agreements, and recognize foreign exchange gains or losses in our statement of operations. We have not historically hedged our foreign currency exchange rate risk. To date, we have not incurred any material effects from foreign currency changes on these transactions.</w:t>
      </w:r>
    </w:p>
    <w:p>
      <w:pPr>
        <w:spacing w:after="0" w:line="183"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We do not believe a 10% change in these currencies on December 31, 2024 would have had a material effect on our results of operations or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27"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pricing of contracts. We do not believe that inflation has had a material effect on our business, financial condition, or results of operations during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consolidated financial statements and the notes thereto, included in Part IV, Item 15(a), part 1, are incorporated by reference into this Item 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DISCLOSURE.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Our management, with the participation of our principal executive officer and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evaluated the effectiveness of our disclosure controls and procedures as of December 31, 2024. The term “disclosure controls and procedures,” as defined in Rules 13a-15(e) and 15d-15(e) under the Exchange Act, mean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Disclosure controls include, without limitation, controls and procedures designed to ensure that information required to be disclosed by a company in the reports that it files or submits under the Exchange Act is accumulated and communicated to management, including our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2024, our principal executive officer and principal financial officer concluded that, as of such date, our disclosure controls and procedures were effective.</w:t>
      </w:r>
    </w:p>
    <w:p>
      <w:pPr>
        <w:spacing w:after="0" w:line="192" w:lineRule="exact"/>
        <w:rPr>
          <w:sz w:val="20"/>
          <w:szCs w:val="20"/>
          <w:color w:val="auto"/>
        </w:rPr>
      </w:pPr>
    </w:p>
    <w:p>
      <w:pPr>
        <w:ind w:right="10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Management’s Annual Report on Internal Controls over Financial Reporting. </w:t>
      </w:r>
      <w:r>
        <w:rPr>
          <w:rFonts w:ascii="Times New Roman" w:cs="Times New Roman" w:eastAsia="Times New Roman" w:hAnsi="Times New Roman"/>
          <w:sz w:val="18"/>
          <w:szCs w:val="18"/>
          <w:color w:val="auto"/>
        </w:rPr>
        <w:t>Our management is responsible for establishing and maintaining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adequate internal controls over financial reporting (as defined in Rule 13a-15(f) or Rule 15d-15(f) under the Exchange Act). Our management assessed the effectiveness of our internal controls over financial reporting as of December 31, 2024. In making this assessment, our management used the criteria established in Internal Control – Integrated Framework (2013) issued by the Committee of Sponsoring Organizations of the Treadway Commission, or COSO Framework. Our management has concluded that, as of December 31, 2024, our internal control over financial reporting was effective based on these criteria.</w:t>
      </w:r>
    </w:p>
    <w:p>
      <w:pPr>
        <w:spacing w:after="0" w:line="184"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independent registered public accounting firm, Deloitte &amp; Touche LLP, has issued an attestation report on our internal control over financial reporting. The report on the audit of internal control over financial reporting is included in this Annual Report on Form 10-K.</w:t>
      </w:r>
    </w:p>
    <w:p>
      <w:pPr>
        <w:spacing w:after="0" w:line="160" w:lineRule="exact"/>
        <w:rPr>
          <w:sz w:val="20"/>
          <w:szCs w:val="20"/>
          <w:color w:val="auto"/>
        </w:rPr>
      </w:pPr>
    </w:p>
    <w:p>
      <w:pPr>
        <w:ind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Inherent Limitations on Effectiveness of Controls. </w:t>
      </w:r>
      <w:r>
        <w:rPr>
          <w:rFonts w:ascii="Times New Roman" w:cs="Times New Roman" w:eastAsia="Times New Roman" w:hAnsi="Times New Roman"/>
          <w:sz w:val="18"/>
          <w:szCs w:val="18"/>
          <w:color w:val="auto"/>
        </w:rPr>
        <w:t>Our management, including our principal executive officer and principal financial officer, does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expect that our internal controls over financial reporting and procedures will prevent all errors and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82" w:lineRule="exact"/>
        <w:rPr>
          <w:sz w:val="20"/>
          <w:szCs w:val="20"/>
          <w:color w:val="auto"/>
        </w:rPr>
      </w:pPr>
    </w:p>
    <w:p>
      <w:pPr>
        <w:ind w:right="8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Controls over Financial Reporting. </w:t>
      </w:r>
      <w:r>
        <w:rPr>
          <w:rFonts w:ascii="Times New Roman" w:cs="Times New Roman" w:eastAsia="Times New Roman" w:hAnsi="Times New Roman"/>
          <w:sz w:val="18"/>
          <w:szCs w:val="18"/>
          <w:color w:val="auto"/>
        </w:rPr>
        <w:t>There has been no change in our internal controls over financial reporting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13a-15(f) of the Exchange Act) that occurred during the period covered by this report, that materially affected, or are reasonably likely to materially affect, our internal control over financial reporting.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During the fourth quarter of 2024, the Company’s directors or officers did not adopt or terminate any Rule 10b5-1 trading arrangements (as defined in Item 408(a)(1)(i) of Regulation S-K) or non-Rule 10b5-1 trading arrangements (as defined in Item 408(c) of Regulation S-K) intended to satisfy the affirmative defense of Rule 10b5-1(c) of the Exchange Act.</w:t>
      </w:r>
    </w:p>
    <w:p>
      <w:pPr>
        <w:spacing w:after="0" w:line="17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During the fourth quarter of 2024, the Company did not adopt or terminate a Rule 10b5-1 trading arrangement (as defined in Item 408(a)(1)(i) of Regulation S-K) for the purchase or sale of securities of the Company, whether or not intended to satisfy the affirmative defense conditions of Rule 10b5-1(c) of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our Proxy Statement for our 2025 Annual Meeting of Stockholders or will be included in an amendment to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our Proxy Statement for our 2025 Annual Meeting of Stockholders or will be included in an amendment to this Annual Report on Form 10-K.</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our Proxy Statement for our 2025 Annual Meeting of Stockholders or will be included in an amendment to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our Proxy Statement for our 2025 Annual Meeting of Stockholders or will be included in an amendment to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our Proxy Statement for our 2025 Annual Meeting of Stockholders or will be included in an amendment to this Annual Report on Form 10-K.</w:t>
      </w:r>
    </w:p>
    <w:p>
      <w:pPr>
        <w:spacing w:after="0" w:line="37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 1.</w:t>
            </w:r>
          </w:p>
        </w:tc>
        <w:tc>
          <w:tcPr>
            <w:tcW w:w="972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0540" w:type="dxa"/>
            <w:vAlign w:val="bottom"/>
            <w:gridSpan w:val="8"/>
          </w:tcPr>
          <w:p>
            <w:pPr>
              <w:ind w:left="640"/>
              <w:spacing w:after="0"/>
              <w:rPr>
                <w:sz w:val="20"/>
                <w:szCs w:val="20"/>
                <w:color w:val="auto"/>
              </w:rPr>
            </w:pPr>
            <w:r>
              <w:rPr>
                <w:rFonts w:ascii="Times New Roman" w:cs="Times New Roman" w:eastAsia="Times New Roman" w:hAnsi="Times New Roman"/>
                <w:sz w:val="18"/>
                <w:szCs w:val="18"/>
                <w:color w:val="auto"/>
              </w:rPr>
              <w:t>The following consolidated financial statements of Axsome Therapeutics, Inc. are filed as part of this report.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3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100" w:type="dxa"/>
            <w:vAlign w:val="bottom"/>
          </w:tcPr>
          <w:p>
            <w:pPr>
              <w:spacing w:after="0"/>
              <w:rPr>
                <w:sz w:val="24"/>
                <w:szCs w:val="24"/>
                <w:color w:val="auto"/>
              </w:rPr>
            </w:pPr>
          </w:p>
        </w:tc>
      </w:tr>
      <w:tr>
        <w:trPr>
          <w:trHeight w:val="317"/>
        </w:trPr>
        <w:tc>
          <w:tcPr>
            <w:tcW w:w="10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Reports of Independent Registered Public Accounting Firm (PCAOB ID: 34) (PCAOB ID: 42)</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7"/>
              </w:rPr>
              <w:t>F-1</w:t>
            </w:r>
          </w:p>
        </w:tc>
      </w:tr>
      <w:tr>
        <w:trPr>
          <w:trHeight w:val="20"/>
        </w:trPr>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2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10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7"/>
              </w:rPr>
              <w:t>F-5</w:t>
            </w:r>
          </w:p>
        </w:tc>
      </w:tr>
      <w:tr>
        <w:trPr>
          <w:trHeight w:val="20"/>
        </w:trPr>
        <w:tc>
          <w:tcPr>
            <w:tcW w:w="20" w:type="dxa"/>
            <w:vAlign w:val="bottom"/>
            <w:shd w:val="clear" w:color="auto" w:fill="0000EE"/>
          </w:tcPr>
          <w:p>
            <w:pPr>
              <w:spacing w:after="0" w:line="20" w:lineRule="exact"/>
              <w:rPr>
                <w:sz w:val="1"/>
                <w:szCs w:val="1"/>
                <w:color w:val="auto"/>
              </w:rPr>
            </w:pPr>
          </w:p>
        </w:tc>
        <w:tc>
          <w:tcPr>
            <w:tcW w:w="344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tcBorders>
              <w:right w:val="single" w:sz="8" w:color="0000EE"/>
            </w:tcBorders>
            <w:shd w:val="clear" w:color="auto" w:fill="0000FF"/>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318"/>
        </w:trPr>
        <w:tc>
          <w:tcPr>
            <w:tcW w:w="10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2023, and 2022</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7"/>
              </w:rPr>
              <w:t>F-6</w:t>
            </w:r>
          </w:p>
        </w:tc>
      </w:tr>
      <w:tr>
        <w:trPr>
          <w:trHeight w:val="20"/>
        </w:trPr>
        <w:tc>
          <w:tcPr>
            <w:tcW w:w="20" w:type="dxa"/>
            <w:vAlign w:val="bottom"/>
            <w:shd w:val="clear" w:color="auto" w:fill="0000EE"/>
          </w:tcPr>
          <w:p>
            <w:pPr>
              <w:spacing w:after="0" w:line="20" w:lineRule="exact"/>
              <w:rPr>
                <w:sz w:val="1"/>
                <w:szCs w:val="1"/>
                <w:color w:val="auto"/>
              </w:rPr>
            </w:pPr>
          </w:p>
        </w:tc>
        <w:tc>
          <w:tcPr>
            <w:tcW w:w="3440" w:type="dxa"/>
            <w:vAlign w:val="bottom"/>
            <w:tcBorders>
              <w:right w:val="single" w:sz="8" w:color="0000FF"/>
            </w:tcBorders>
            <w:gridSpan w:val="2"/>
            <w:shd w:val="clear" w:color="auto" w:fill="0000FF"/>
          </w:tcPr>
          <w:p>
            <w:pPr>
              <w:spacing w:after="0" w:line="20" w:lineRule="exact"/>
              <w:rPr>
                <w:sz w:val="1"/>
                <w:szCs w:val="1"/>
                <w:color w:val="auto"/>
              </w:rPr>
            </w:pPr>
          </w:p>
        </w:tc>
        <w:tc>
          <w:tcPr>
            <w:tcW w:w="35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318"/>
        </w:trPr>
        <w:tc>
          <w:tcPr>
            <w:tcW w:w="10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2024, 2023, and 2022</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7"/>
              </w:rPr>
              <w:t>F-7</w:t>
            </w:r>
          </w:p>
        </w:tc>
      </w:tr>
      <w:tr>
        <w:trPr>
          <w:trHeight w:val="20"/>
        </w:trPr>
        <w:tc>
          <w:tcPr>
            <w:tcW w:w="20" w:type="dxa"/>
            <w:vAlign w:val="bottom"/>
            <w:shd w:val="clear" w:color="auto" w:fill="0000EE"/>
          </w:tcPr>
          <w:p>
            <w:pPr>
              <w:spacing w:after="0" w:line="20" w:lineRule="exact"/>
              <w:rPr>
                <w:sz w:val="1"/>
                <w:szCs w:val="1"/>
                <w:color w:val="auto"/>
              </w:rPr>
            </w:pPr>
          </w:p>
        </w:tc>
        <w:tc>
          <w:tcPr>
            <w:tcW w:w="3440" w:type="dxa"/>
            <w:vAlign w:val="bottom"/>
            <w:tcBorders>
              <w:right w:val="single" w:sz="8" w:color="0000FF"/>
            </w:tcBorders>
            <w:gridSpan w:val="2"/>
            <w:shd w:val="clear" w:color="auto" w:fill="0000FF"/>
          </w:tcPr>
          <w:p>
            <w:pPr>
              <w:spacing w:after="0" w:line="20" w:lineRule="exact"/>
              <w:rPr>
                <w:sz w:val="1"/>
                <w:szCs w:val="1"/>
                <w:color w:val="auto"/>
              </w:rPr>
            </w:pPr>
          </w:p>
        </w:tc>
        <w:tc>
          <w:tcPr>
            <w:tcW w:w="356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318"/>
        </w:trPr>
        <w:tc>
          <w:tcPr>
            <w:tcW w:w="10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7"/>
              </w:rPr>
              <w:t>F-8</w:t>
            </w:r>
          </w:p>
        </w:tc>
      </w:tr>
      <w:tr>
        <w:trPr>
          <w:trHeight w:val="20"/>
        </w:trPr>
        <w:tc>
          <w:tcPr>
            <w:tcW w:w="20" w:type="dxa"/>
            <w:vAlign w:val="bottom"/>
            <w:shd w:val="clear" w:color="auto" w:fill="0000EE"/>
          </w:tcPr>
          <w:p>
            <w:pPr>
              <w:spacing w:after="0" w:line="20" w:lineRule="exact"/>
              <w:rPr>
                <w:sz w:val="1"/>
                <w:szCs w:val="1"/>
                <w:color w:val="auto"/>
              </w:rPr>
            </w:pPr>
          </w:p>
        </w:tc>
        <w:tc>
          <w:tcPr>
            <w:tcW w:w="3440" w:type="dxa"/>
            <w:vAlign w:val="bottom"/>
            <w:tcBorders>
              <w:right w:val="single" w:sz="8" w:color="0000FF"/>
            </w:tcBorders>
            <w:gridSpan w:val="2"/>
            <w:shd w:val="clear" w:color="auto" w:fill="0000FF"/>
          </w:tcPr>
          <w:p>
            <w:pPr>
              <w:spacing w:after="0" w:line="20" w:lineRule="exact"/>
              <w:rPr>
                <w:sz w:val="1"/>
                <w:szCs w:val="1"/>
                <w:color w:val="auto"/>
              </w:rPr>
            </w:pPr>
          </w:p>
        </w:tc>
        <w:tc>
          <w:tcPr>
            <w:tcW w:w="3560" w:type="dxa"/>
            <w:vAlign w:val="bottom"/>
            <w:gridSpan w:val="4"/>
            <w:shd w:val="clear" w:color="auto" w:fill="0000FF"/>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318"/>
        </w:trPr>
        <w:tc>
          <w:tcPr>
            <w:tcW w:w="10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7"/>
              </w:rPr>
              <w:t>F-9</w:t>
            </w: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20" w:type="dxa"/>
            <w:vAlign w:val="bottom"/>
            <w:tcBorders>
              <w:right w:val="single" w:sz="8" w:color="0000EE"/>
            </w:tcBorders>
            <w:shd w:val="clear" w:color="auto" w:fill="0000FF"/>
          </w:tcPr>
          <w:p>
            <w:pPr>
              <w:spacing w:after="0" w:line="20" w:lineRule="exact"/>
              <w:rPr>
                <w:sz w:val="1"/>
                <w:szCs w:val="1"/>
                <w:color w:val="auto"/>
              </w:rPr>
            </w:pPr>
          </w:p>
        </w:tc>
        <w:tc>
          <w:tcPr>
            <w:tcW w:w="710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2.</w:t>
            </w:r>
          </w:p>
        </w:tc>
        <w:tc>
          <w:tcPr>
            <w:tcW w:w="97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Consolidated Financial Statement Schedules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financial statement schedule entitled “Schedule II – Valuation and Qualifying Accounts” has been omitted since the information required is included in the consolidated financial statements and notes thereto. Other schedules are omitted because they are not applicable, or the required information is shown in the Financial Statements or notes thereto.</w:t>
      </w:r>
    </w:p>
    <w:p>
      <w:pPr>
        <w:spacing w:after="0" w:line="172" w:lineRule="exact"/>
        <w:rPr>
          <w:sz w:val="20"/>
          <w:szCs w:val="20"/>
          <w:color w:val="auto"/>
        </w:rPr>
      </w:pPr>
    </w:p>
    <w:p>
      <w:pPr>
        <w:ind w:left="1120" w:hanging="363"/>
        <w:spacing w:after="0"/>
        <w:tabs>
          <w:tab w:leader="none" w:pos="11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list of exhibits filed with this report is set forth in the Exhibit Index following the signature page and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 w:type="dxa"/>
            <w:vAlign w:val="bottom"/>
          </w:tcPr>
          <w:p>
            <w:pPr>
              <w:spacing w:after="0"/>
              <w:rPr>
                <w:sz w:val="15"/>
                <w:szCs w:val="15"/>
                <w:color w:val="auto"/>
              </w:rPr>
            </w:pPr>
          </w:p>
        </w:tc>
        <w:tc>
          <w:tcPr>
            <w:tcW w:w="102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rPr>
              <w:t>Reports of Independent Registered Public Accounting Firm</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10220" w:type="dxa"/>
            <w:vAlign w:val="bottom"/>
            <w:gridSpan w:val="8"/>
            <w:vMerge w:val="continue"/>
          </w:tcPr>
          <w:p>
            <w:pPr>
              <w:spacing w:after="0"/>
              <w:rPr>
                <w:sz w:val="15"/>
                <w:szCs w:val="15"/>
                <w:color w:val="auto"/>
              </w:rPr>
            </w:pPr>
          </w:p>
        </w:tc>
        <w:tc>
          <w:tcPr>
            <w:tcW w:w="880" w:type="dxa"/>
            <w:vAlign w:val="bottom"/>
            <w:tcBorders>
              <w:top w:val="single" w:sz="8" w:color="auto"/>
            </w:tcBorders>
          </w:tcPr>
          <w:p>
            <w:pPr>
              <w:ind w:left="620"/>
              <w:spacing w:after="0" w:line="182" w:lineRule="exact"/>
              <w:rPr>
                <w:sz w:val="20"/>
                <w:szCs w:val="20"/>
                <w:color w:val="auto"/>
              </w:rPr>
            </w:pPr>
            <w:r>
              <w:rPr>
                <w:rFonts w:ascii="Times New Roman" w:cs="Times New Roman" w:eastAsia="Times New Roman" w:hAnsi="Times New Roman"/>
                <w:sz w:val="18"/>
                <w:szCs w:val="18"/>
                <w:color w:val="auto"/>
                <w:w w:val="95"/>
              </w:rPr>
              <w:t>F-1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6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20" w:type="dxa"/>
            <w:vAlign w:val="bottom"/>
            <w:tcBorders>
              <w:bottom w:val="single" w:sz="8" w:color="0000EE"/>
            </w:tcBorders>
          </w:tcPr>
          <w:p>
            <w:pPr>
              <w:spacing w:after="0"/>
              <w:rPr>
                <w:sz w:val="17"/>
                <w:szCs w:val="17"/>
                <w:color w:val="auto"/>
              </w:rPr>
            </w:pPr>
          </w:p>
        </w:tc>
        <w:tc>
          <w:tcPr>
            <w:tcW w:w="5560" w:type="dxa"/>
            <w:vAlign w:val="bottom"/>
            <w:gridSpan w:val="4"/>
          </w:tcPr>
          <w:p>
            <w:pPr>
              <w:spacing w:after="0"/>
              <w:rPr>
                <w:sz w:val="17"/>
                <w:szCs w:val="17"/>
                <w:color w:val="auto"/>
              </w:rPr>
            </w:pPr>
          </w:p>
        </w:tc>
        <w:tc>
          <w:tcPr>
            <w:tcW w:w="940" w:type="dxa"/>
            <w:vAlign w:val="bottom"/>
            <w:gridSpan w:val="2"/>
          </w:tcPr>
          <w:p>
            <w:pPr>
              <w:ind w:left="62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2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2023, and 2022</w:t>
            </w:r>
          </w:p>
        </w:tc>
        <w:tc>
          <w:tcPr>
            <w:tcW w:w="940" w:type="dxa"/>
            <w:vAlign w:val="bottom"/>
            <w:gridSpan w:val="2"/>
          </w:tcPr>
          <w:p>
            <w:pPr>
              <w:ind w:left="62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376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2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2024, 2023, and 2022</w:t>
            </w:r>
          </w:p>
        </w:tc>
        <w:tc>
          <w:tcPr>
            <w:tcW w:w="940" w:type="dxa"/>
            <w:vAlign w:val="bottom"/>
            <w:gridSpan w:val="2"/>
          </w:tcPr>
          <w:p>
            <w:pPr>
              <w:ind w:left="62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62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2600" w:type="dxa"/>
            <w:vAlign w:val="bottom"/>
          </w:tcPr>
          <w:p>
            <w:pPr>
              <w:spacing w:after="0"/>
              <w:rPr>
                <w:sz w:val="17"/>
                <w:szCs w:val="17"/>
                <w:color w:val="auto"/>
              </w:rPr>
            </w:pPr>
          </w:p>
        </w:tc>
        <w:tc>
          <w:tcPr>
            <w:tcW w:w="940" w:type="dxa"/>
            <w:vAlign w:val="bottom"/>
            <w:gridSpan w:val="2"/>
          </w:tcPr>
          <w:p>
            <w:pPr>
              <w:ind w:left="620"/>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694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280" w:type="dxa"/>
            <w:vAlign w:val="bottom"/>
            <w:gridSpan w:val="2"/>
          </w:tcPr>
          <w:p>
            <w:pPr>
              <w:spacing w:after="0"/>
              <w:rPr>
                <w:sz w:val="17"/>
                <w:szCs w:val="17"/>
                <w:color w:val="auto"/>
              </w:rPr>
            </w:pPr>
          </w:p>
        </w:tc>
        <w:tc>
          <w:tcPr>
            <w:tcW w:w="940" w:type="dxa"/>
            <w:vAlign w:val="bottom"/>
            <w:gridSpan w:val="2"/>
          </w:tcPr>
          <w:p>
            <w:pPr>
              <w:ind w:left="620"/>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884"/>
        </w:trPr>
        <w:tc>
          <w:tcPr>
            <w:tcW w:w="80" w:type="dxa"/>
            <w:vAlign w:val="bottom"/>
          </w:tcPr>
          <w:p>
            <w:pPr>
              <w:spacing w:after="0"/>
              <w:rPr>
                <w:sz w:val="24"/>
                <w:szCs w:val="24"/>
                <w:color w:val="auto"/>
              </w:rPr>
            </w:pPr>
          </w:p>
        </w:tc>
        <w:tc>
          <w:tcPr>
            <w:tcW w:w="3140" w:type="dxa"/>
            <w:vAlign w:val="bottom"/>
            <w:tcBorders>
              <w:top w:val="single" w:sz="8" w:color="0000FF"/>
            </w:tcBorders>
          </w:tcPr>
          <w:p>
            <w:pPr>
              <w:spacing w:after="0"/>
              <w:rPr>
                <w:sz w:val="24"/>
                <w:szCs w:val="24"/>
                <w:color w:val="auto"/>
              </w:rPr>
            </w:pPr>
          </w:p>
        </w:tc>
        <w:tc>
          <w:tcPr>
            <w:tcW w:w="3760" w:type="dxa"/>
            <w:vAlign w:val="bottom"/>
            <w:gridSpan w:val="4"/>
          </w:tcPr>
          <w:p>
            <w:pPr>
              <w:jc w:val="right"/>
              <w:ind w:right="1220"/>
              <w:spacing w:after="0"/>
              <w:rPr>
                <w:sz w:val="20"/>
                <w:szCs w:val="20"/>
                <w:color w:val="auto"/>
              </w:rPr>
            </w:pPr>
            <w:r>
              <w:rPr>
                <w:rFonts w:ascii="Times New Roman" w:cs="Times New Roman" w:eastAsia="Times New Roman" w:hAnsi="Times New Roman"/>
                <w:sz w:val="18"/>
                <w:szCs w:val="18"/>
                <w:color w:val="auto"/>
              </w:rPr>
              <w:t>131</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3340" w:firstLine="3362"/>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Axsome Therapeutics, Inc.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Axsome Therapeutics, Inc. and subsidiaries (the "Company") as of December 31, 2024 and 2023, the related consolidated statements of operations, stockholders’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18, 2025, expressed an unqualified opinion on the Company's internal control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71" w:lineRule="exact"/>
        <w:rPr>
          <w:sz w:val="20"/>
          <w:szCs w:val="20"/>
          <w:color w:val="auto"/>
        </w:rPr>
      </w:pPr>
    </w:p>
    <w:p>
      <w:pPr>
        <w:ind w:right="27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Reserves for Variable Consideration - Commercial Managed Care — </w:t>
      </w:r>
      <w:r>
        <w:rPr>
          <w:rFonts w:ascii="Times New Roman" w:cs="Times New Roman" w:eastAsia="Times New Roman" w:hAnsi="Times New Roman"/>
          <w:sz w:val="18"/>
          <w:szCs w:val="18"/>
          <w:b w:val="1"/>
          <w:bCs w:val="1"/>
          <w:i w:val="1"/>
          <w:iCs w:val="1"/>
          <w:color w:val="auto"/>
        </w:rPr>
        <w:t>Refer to Note 2 to the financial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Critical Audit Matter Description</w:t>
      </w:r>
    </w:p>
    <w:p>
      <w:pPr>
        <w:ind w:right="160"/>
        <w:spacing w:after="0" w:line="266" w:lineRule="auto"/>
        <w:rPr>
          <w:sz w:val="20"/>
          <w:szCs w:val="20"/>
          <w:color w:val="auto"/>
        </w:rPr>
      </w:pPr>
      <w:r>
        <w:rPr>
          <w:rFonts w:ascii="Times New Roman" w:cs="Times New Roman" w:eastAsia="Times New Roman" w:hAnsi="Times New Roman"/>
          <w:sz w:val="18"/>
          <w:szCs w:val="18"/>
          <w:color w:val="auto"/>
        </w:rPr>
        <w:t>As more fully disclosed in Note 2 to the financial statements, the Company records revenues net of provisions for rebates, discounts, and other incentives and returns, which are established at the time of sale. These reductions are attributed to various commercial arrangements, managed healthcare organizations, and government programs that mandate various reductions from list price.</w:t>
      </w:r>
    </w:p>
    <w:p>
      <w:pPr>
        <w:spacing w:after="0" w:line="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Chargebacks and cash discounts are reflected as a reduction to receivables and settled through the issuance of credits to the customer. All other rebates, discounts and adjustments, are reflected as a liability and settled through cash payments.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provision related to Commercial Managed Care rebate programs (the “Commercial rebate accruals”) involves the use of significant assumptions and judgments in its calculation. These significant assumptions and judgments include consideration of prior payment history, customer utilization mix data, changes to product price, expected patient usage, claims timing lags, and inventory levels in the distribution channel.</w:t>
      </w:r>
    </w:p>
    <w:p>
      <w:pPr>
        <w:spacing w:after="0" w:line="6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Given the complexity involved in determining the assumptions used in calculating the Commercial rebate accruals, auditing these estimates involved especially subjective judgment.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Commercial rebate accruals included the following, among others:</w:t>
      </w:r>
    </w:p>
    <w:p>
      <w:pPr>
        <w:spacing w:after="0" w:line="117"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appropriateness and consistency of the Company’s methods and assumptions used to calculate Commercial rebate accruals.</w:t>
      </w:r>
    </w:p>
    <w:p>
      <w:pPr>
        <w:spacing w:after="0" w:line="128" w:lineRule="exact"/>
        <w:rPr>
          <w:rFonts w:ascii="Times New Roman" w:cs="Times New Roman" w:eastAsia="Times New Roman" w:hAnsi="Times New Roman"/>
          <w:sz w:val="17"/>
          <w:szCs w:val="17"/>
          <w:color w:val="auto"/>
        </w:rPr>
      </w:pPr>
    </w:p>
    <w:p>
      <w:pPr>
        <w:ind w:left="1020" w:right="18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internal controls over the review of the Company’s estimation model, including underlying assumptions and key inputs into the Company’s process to calculate Commercial rebate accruals.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mathematical accuracy of Commercial rebate accruals.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assumptions and key inputs used to calculate Commercial rebate accruals.</w:t>
      </w:r>
    </w:p>
    <w:p>
      <w:pPr>
        <w:spacing w:after="0" w:line="117" w:lineRule="exact"/>
        <w:rPr>
          <w:rFonts w:ascii="Times New Roman" w:cs="Times New Roman" w:eastAsia="Times New Roman" w:hAnsi="Times New Roman"/>
          <w:sz w:val="18"/>
          <w:szCs w:val="18"/>
          <w:color w:val="auto"/>
        </w:rPr>
      </w:pPr>
    </w:p>
    <w:p>
      <w:pPr>
        <w:ind w:left="1020" w:right="8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ability to estimate Commercial rebate accruals accurately by comparing actual amounts incurred for Commercial rebate accruals.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overall reasonableness of the Commercial rebate accruals recorded at period end by developing an expectation for comparison to actual recorded balances.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involved audit professionals with industry and quantitative analytics experience to assist us in performing our auditing procedures.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Morristown, New Jersey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3340" w:firstLine="3362"/>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Axsome Therapeutics, Inc. </w:t>
      </w:r>
      <w:r>
        <w:rPr>
          <w:rFonts w:ascii="Times New Roman" w:cs="Times New Roman" w:eastAsia="Times New Roman" w:hAnsi="Times New Roman"/>
          <w:sz w:val="18"/>
          <w:szCs w:val="18"/>
          <w:b w:val="1"/>
          <w:bCs w:val="1"/>
          <w:color w:val="auto"/>
        </w:rPr>
        <w:t>Opinion on Internal Control over Financial Reporting</w:t>
      </w:r>
    </w:p>
    <w:p>
      <w:pPr>
        <w:spacing w:after="0" w:line="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Axsome Therapeutics, Inc. and subsidiaries (the “Company”)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7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2024, of the Company and our report dated February 18, 2025, expressed an unqualified opinion on those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Morristown, New Jersey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3340" w:firstLine="3362"/>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Axsome Therapeutics, Inc. </w:t>
      </w:r>
      <w:r>
        <w:rPr>
          <w:rFonts w:ascii="Times New Roman" w:cs="Times New Roman" w:eastAsia="Times New Roman" w:hAnsi="Times New Roman"/>
          <w:sz w:val="18"/>
          <w:szCs w:val="18"/>
          <w:b w:val="1"/>
          <w:bCs w:val="1"/>
          <w:color w:val="auto"/>
        </w:rPr>
        <w:t>Opinion on the Financial Statements</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operations, stockholders’ equity and cash flows of Axsome Therapeutics, Inc. (the “Company”) for the year ended December 31, 2022, and the related notes (collectively referred to as the “consolidated financial statements”). In our opinion, the consolidated financial statements present fairly, in all material respects, the results of the Company’s operations and its cash flows for the year ended December 31, 2022, in conformity with U.S. generally accepted accounting principles.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from 2014 to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2023</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315,353</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386,193</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142,001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94,820</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15,732</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15,135</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11,978</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8,115</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485,064</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504,263</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net</w:t>
            </w:r>
          </w:p>
        </w:tc>
        <w:tc>
          <w:tcPr>
            <w:tcW w:w="22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584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846</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5,383</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6,772</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12,042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12,042</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 net</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46,894</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53,286</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18,531</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11,027</w:t>
            </w: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568,498</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588,236</w:t>
            </w:r>
          </w:p>
        </w:tc>
      </w:tr>
      <w:tr>
        <w:trPr>
          <w:trHeight w:val="197"/>
        </w:trPr>
        <w:tc>
          <w:tcPr>
            <w:tcW w:w="77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71,997</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40,679</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147,987</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90,501</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2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1,835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1,267</w:t>
            </w: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Contingent consideration, current</w:t>
            </w: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8,285</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6,407</w:t>
            </w: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230,104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138,854</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 consideration, non-current</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91,680</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73,300</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payable, long-term</w:t>
            </w:r>
          </w:p>
        </w:tc>
        <w:tc>
          <w:tcPr>
            <w:tcW w:w="220" w:type="dxa"/>
            <w:vAlign w:val="bottom"/>
          </w:tcPr>
          <w:p>
            <w:pPr>
              <w:spacing w:after="0"/>
              <w:rPr>
                <w:sz w:val="18"/>
                <w:szCs w:val="18"/>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180,710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178,070</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6,046</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7,035</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liability, long-term</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2,943</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511,483</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397,259</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8"/>
        </w:trPr>
        <w:tc>
          <w:tcPr>
            <w:tcW w:w="772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(10,000,000 shares authorized, none issued and</w:t>
            </w: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34"/>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w:t>
            </w: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(150,000,000 shares authorized, 48,667,587 and</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47,351,363 shares issued and outstanding at December 31, 2024 and December 31, 2023,</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1,179,797</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1,026,543</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(1,122,787 )</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(835,571 )</w:t>
            </w: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57,015</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190,977</w:t>
            </w: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568,498</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588,236</w:t>
            </w:r>
          </w:p>
        </w:tc>
      </w:tr>
      <w:tr>
        <w:trPr>
          <w:trHeight w:val="20"/>
        </w:trPr>
        <w:tc>
          <w:tcPr>
            <w:tcW w:w="7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-3102610</wp:posOffset>
            </wp:positionV>
            <wp:extent cx="1117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-3085465</wp:posOffset>
            </wp:positionV>
            <wp:extent cx="1117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-2253615</wp:posOffset>
            </wp:positionV>
            <wp:extent cx="1117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1117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381,677</w:t>
            </w:r>
          </w:p>
        </w:tc>
        <w:tc>
          <w:tcPr>
            <w:tcW w:w="8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202,460</w:t>
            </w:r>
          </w:p>
        </w:tc>
        <w:tc>
          <w:tcPr>
            <w:tcW w:w="24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50,037</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License revenue</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65,735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and milestone revenue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385,693</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270,600</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 (excluding amortization and depreciation)</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33,303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26,065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97,944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57,947</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411,359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323,123</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159,254</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in fair value of contingent consideration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0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666,255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502,425</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229,836</w:t>
            </w:r>
          </w:p>
        </w:tc>
        <w:tc>
          <w:tcPr>
            <w:tcW w:w="100" w:type="dxa"/>
            <w:vAlign w:val="bottom"/>
          </w:tcPr>
          <w:p>
            <w:pPr>
              <w:spacing w:after="0"/>
              <w:rPr>
                <w:sz w:val="18"/>
                <w:szCs w:val="18"/>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(280,562 )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(231,825 )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(179,799 )</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(6,569 )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(6,453 )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(7,335 )</w:t>
            </w: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(287,131 )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(238,278 )</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(187,134 )</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(960 )</w:t>
            </w: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(287,216 )</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(239,238 )</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(187,134 )</w:t>
            </w: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(5.99 )</w:t>
            </w:r>
          </w:p>
        </w:tc>
        <w:tc>
          <w:tcPr>
            <w:tcW w:w="46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(5.27 )</w:t>
            </w:r>
          </w:p>
        </w:tc>
        <w:tc>
          <w:tcPr>
            <w:tcW w:w="30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(4.60 )</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64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47,914,253</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45,425,212</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40,655,941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-2039620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-2039620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-1207770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-1207770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-351155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-333375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-351155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-333375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060" w:type="dxa"/>
            <w:vAlign w:val="bottom"/>
            <w:gridSpan w:val="3"/>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12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1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120" w:type="dxa"/>
            <w:vAlign w:val="bottom"/>
          </w:tcPr>
          <w:p>
            <w:pPr>
              <w:spacing w:after="0"/>
              <w:rPr>
                <w:sz w:val="13"/>
                <w:szCs w:val="13"/>
                <w:color w:val="auto"/>
              </w:rPr>
            </w:pPr>
          </w:p>
        </w:tc>
        <w:tc>
          <w:tcPr>
            <w:tcW w:w="2060" w:type="dxa"/>
            <w:vAlign w:val="bottom"/>
            <w:tcBorders>
              <w:bottom w:val="single" w:sz="8" w:color="auto"/>
            </w:tcBorders>
            <w:gridSpan w:val="3"/>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36"/>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right="39"/>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16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78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auto"/>
            </w:tcBorders>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112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1160" w:type="dxa"/>
            <w:vAlign w:val="bottom"/>
            <w:tcBorders>
              <w:bottom w:val="single" w:sz="8" w:color="auto"/>
            </w:tcBorders>
          </w:tcPr>
          <w:p>
            <w:pPr>
              <w:jc w:val="center"/>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1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37,816,794</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424,826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(409,199 )</w:t>
            </w:r>
          </w:p>
        </w:tc>
        <w:tc>
          <w:tcPr>
            <w:tcW w:w="12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15,631</w:t>
            </w: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37,726</w:t>
            </w:r>
          </w:p>
        </w:tc>
        <w:tc>
          <w:tcPr>
            <w:tcW w:w="10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37,726</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common stock upon exercise of options</w:t>
            </w:r>
          </w:p>
        </w:tc>
        <w:tc>
          <w:tcPr>
            <w:tcW w:w="11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340,149</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6,251</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6,251</w:t>
            </w: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21,214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common stock upon financing</w:t>
            </w:r>
          </w:p>
        </w:tc>
        <w:tc>
          <w:tcPr>
            <w:tcW w:w="11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5,320,460</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236,788</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236,788</w:t>
            </w: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warrants</w:t>
            </w: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tendered for withholding taxes</w:t>
            </w:r>
          </w:p>
        </w:tc>
        <w:tc>
          <w:tcPr>
            <w:tcW w:w="11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(532 )</w:t>
            </w: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(187,134 )</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(187,134 )</w:t>
            </w:r>
          </w:p>
        </w:tc>
        <w:tc>
          <w:tcPr>
            <w:tcW w:w="0" w:type="dxa"/>
            <w:vAlign w:val="bottom"/>
          </w:tcPr>
          <w:p>
            <w:pPr>
              <w:spacing w:after="0"/>
              <w:rPr>
                <w:sz w:val="1"/>
                <w:szCs w:val="1"/>
                <w:color w:val="auto"/>
              </w:rPr>
            </w:pPr>
          </w:p>
        </w:tc>
      </w:tr>
      <w:tr>
        <w:trPr>
          <w:trHeight w:val="209"/>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1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43,498,617</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705,885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(596,333 )</w:t>
            </w:r>
          </w:p>
        </w:tc>
        <w:tc>
          <w:tcPr>
            <w:tcW w:w="12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109,556</w:t>
            </w: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65,357</w:t>
            </w:r>
          </w:p>
        </w:tc>
        <w:tc>
          <w:tcPr>
            <w:tcW w:w="10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65,357</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common stock upon exercise of options</w:t>
            </w:r>
          </w:p>
        </w:tc>
        <w:tc>
          <w:tcPr>
            <w:tcW w:w="11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358,760</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12,419</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12,419</w:t>
            </w: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43,986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common stock upon financing</w:t>
            </w:r>
          </w:p>
        </w:tc>
        <w:tc>
          <w:tcPr>
            <w:tcW w:w="11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3,450,000</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243,082</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243,083</w:t>
            </w: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warrants</w:t>
            </w: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tendered for withholding taxes</w:t>
            </w:r>
          </w:p>
        </w:tc>
        <w:tc>
          <w:tcPr>
            <w:tcW w:w="11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(1,835 )</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(1,835 )</w:t>
            </w: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(239,238 )</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(239,238 )</w:t>
            </w:r>
          </w:p>
        </w:tc>
        <w:tc>
          <w:tcPr>
            <w:tcW w:w="0" w:type="dxa"/>
            <w:vAlign w:val="bottom"/>
          </w:tcPr>
          <w:p>
            <w:pPr>
              <w:spacing w:after="0"/>
              <w:rPr>
                <w:sz w:val="1"/>
                <w:szCs w:val="1"/>
                <w:color w:val="auto"/>
              </w:rPr>
            </w:pPr>
          </w:p>
        </w:tc>
      </w:tr>
      <w:tr>
        <w:trPr>
          <w:trHeight w:val="210"/>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47,351,363</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1,026,543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(835,571 )</w:t>
            </w:r>
          </w:p>
        </w:tc>
        <w:tc>
          <w:tcPr>
            <w:tcW w:w="12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190,977</w:t>
            </w: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86,558</w:t>
            </w:r>
          </w:p>
        </w:tc>
        <w:tc>
          <w:tcPr>
            <w:tcW w:w="10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86,558</w:t>
            </w:r>
          </w:p>
        </w:tc>
        <w:tc>
          <w:tcPr>
            <w:tcW w:w="0" w:type="dxa"/>
            <w:vAlign w:val="bottom"/>
          </w:tcPr>
          <w:p>
            <w:pPr>
              <w:spacing w:after="0"/>
              <w:rPr>
                <w:sz w:val="1"/>
                <w:szCs w:val="1"/>
                <w:color w:val="auto"/>
              </w:rPr>
            </w:pPr>
          </w:p>
        </w:tc>
      </w:tr>
      <w:tr>
        <w:trPr>
          <w:trHeight w:val="198"/>
        </w:trPr>
        <w:tc>
          <w:tcPr>
            <w:tcW w:w="512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options and under</w:t>
            </w: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770,531</w:t>
            </w: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30,680</w:t>
            </w:r>
          </w:p>
        </w:tc>
        <w:tc>
          <w:tcPr>
            <w:tcW w:w="1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30,680</w:t>
            </w: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79,585</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common stock upon financing</w:t>
            </w:r>
          </w:p>
        </w:tc>
        <w:tc>
          <w:tcPr>
            <w:tcW w:w="1160" w:type="dxa"/>
            <w:vAlign w:val="bottom"/>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466,108</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39,968</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39,968</w:t>
            </w:r>
          </w:p>
        </w:tc>
        <w:tc>
          <w:tcPr>
            <w:tcW w:w="0" w:type="dxa"/>
            <w:vAlign w:val="bottom"/>
          </w:tcPr>
          <w:p>
            <w:pPr>
              <w:spacing w:after="0"/>
              <w:rPr>
                <w:sz w:val="1"/>
                <w:szCs w:val="1"/>
                <w:color w:val="auto"/>
              </w:rPr>
            </w:pPr>
          </w:p>
        </w:tc>
      </w:tr>
      <w:tr>
        <w:trPr>
          <w:trHeight w:val="216"/>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tendered for withholding taxes</w:t>
            </w: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(3,952 )</w:t>
            </w:r>
          </w:p>
        </w:tc>
        <w:tc>
          <w:tcPr>
            <w:tcW w:w="10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(3,952 )</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Borders>
              <w:bottom w:val="single" w:sz="8" w:color="auto"/>
            </w:tcBorders>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(287,216 )</w:t>
            </w:r>
          </w:p>
        </w:tc>
        <w:tc>
          <w:tcPr>
            <w:tcW w:w="10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(287,216 )</w:t>
            </w:r>
          </w:p>
        </w:tc>
        <w:tc>
          <w:tcPr>
            <w:tcW w:w="0" w:type="dxa"/>
            <w:vAlign w:val="bottom"/>
          </w:tcPr>
          <w:p>
            <w:pPr>
              <w:spacing w:after="0"/>
              <w:rPr>
                <w:sz w:val="1"/>
                <w:szCs w:val="1"/>
                <w:color w:val="auto"/>
              </w:rPr>
            </w:pPr>
          </w:p>
        </w:tc>
      </w:tr>
      <w:tr>
        <w:trPr>
          <w:trHeight w:val="22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48,667,587</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1,179,797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(1,122,787 )</w:t>
            </w:r>
          </w:p>
        </w:tc>
        <w:tc>
          <w:tcPr>
            <w:tcW w:w="12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57,015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-156845</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-156845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-156845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-156845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(287,216 )</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(239,238 )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(187,134 )</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37,726</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 fair value of contingent consideration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lease expense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 amortization for finance lease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operating lease liability</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(422 )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(1,118 )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(47,181 )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(57,121 )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(37,699 )</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(8,156 )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(1,331 )</w:t>
            </w: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(3,863 )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(5,335 )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(2,735 )</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(3,183 )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(3,944 )</w:t>
            </w: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31,318</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25,456</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36,452</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43,923</w:t>
            </w:r>
          </w:p>
        </w:tc>
        <w:tc>
          <w:tcPr>
            <w:tcW w:w="100" w:type="dxa"/>
            <w:vAlign w:val="bottom"/>
          </w:tcPr>
          <w:p>
            <w:pPr>
              <w:spacing w:after="0"/>
              <w:rPr>
                <w:sz w:val="18"/>
                <w:szCs w:val="18"/>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(128,410 )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(145,080 )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(116,511 )</w:t>
            </w:r>
          </w:p>
        </w:tc>
      </w:tr>
      <w:tr>
        <w:trPr>
          <w:trHeight w:val="210"/>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equipment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(270 )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(582 )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(702 )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business combination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(53,000 )</w:t>
            </w: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(270 )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(582 )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(53,702 )</w:t>
            </w:r>
          </w:p>
        </w:tc>
      </w:tr>
      <w:tr>
        <w:trPr>
          <w:trHeight w:val="210"/>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draw down of debt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(1,442 )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(487 )</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on principal portion of finance lease obligation</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(990 )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upon financing</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258,750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243,763</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common stock issuance costs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(816 )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(15,668 )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(6,975 )</w:t>
            </w:r>
          </w:p>
        </w:tc>
      </w:tr>
      <w:tr>
        <w:trPr>
          <w:trHeight w:val="198"/>
        </w:trPr>
        <w:tc>
          <w:tcPr>
            <w:tcW w:w="66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upon exercise of options and under employee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purchase plan</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w:t>
            </w:r>
          </w:p>
        </w:tc>
        <w:tc>
          <w:tcPr>
            <w:tcW w:w="100" w:type="dxa"/>
            <w:vAlign w:val="bottom"/>
          </w:tcPr>
          <w:p>
            <w:pPr>
              <w:spacing w:after="0"/>
              <w:rPr>
                <w:sz w:val="20"/>
                <w:szCs w:val="20"/>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(7,866 )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(6,211 )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(2,438 )</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tax withholdings on stock awards</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(3,952 )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(1,835 )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(532 )</w:t>
            </w:r>
          </w:p>
        </w:tc>
      </w:tr>
      <w:tr>
        <w:trPr>
          <w:trHeight w:val="210"/>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57,840</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331,013</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(70,840 )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185,351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114,369</w:t>
            </w:r>
          </w:p>
        </w:tc>
        <w:tc>
          <w:tcPr>
            <w:tcW w:w="10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386,193</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200,842</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86,473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at end of period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315,353</w:t>
            </w:r>
          </w:p>
        </w:tc>
        <w:tc>
          <w:tcPr>
            <w:tcW w:w="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386,193</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200,842</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19,690</w:t>
            </w:r>
          </w:p>
        </w:tc>
        <w:tc>
          <w:tcPr>
            <w:tcW w:w="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16,730</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obtained in exchange for operating lease liability</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 obtained in exchange for finance lease liability</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activity:</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contingent consideration in a business combination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financing activity:</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warrants in connection with debt financing</w:t>
            </w:r>
          </w:p>
        </w:tc>
        <w:tc>
          <w:tcPr>
            <w:tcW w:w="3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-3654425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-3654425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-3654425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-3088640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-3088640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-3088640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-1562735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-1562735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-1562735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-1279525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-1279525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-1279525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and Basis of Presentation</w:t>
      </w:r>
    </w:p>
    <w:p>
      <w:pPr>
        <w:spacing w:after="0" w:line="189" w:lineRule="exact"/>
        <w:rPr>
          <w:sz w:val="20"/>
          <w:szCs w:val="20"/>
          <w:color w:val="auto"/>
        </w:rPr>
      </w:pPr>
    </w:p>
    <w:p>
      <w:pPr>
        <w:ind w:right="40" w:firstLine="749"/>
        <w:spacing w:after="0" w:line="237" w:lineRule="auto"/>
        <w:rPr>
          <w:sz w:val="20"/>
          <w:szCs w:val="20"/>
          <w:color w:val="auto"/>
        </w:rPr>
      </w:pPr>
      <w:r>
        <w:rPr>
          <w:rFonts w:ascii="Times New Roman" w:cs="Times New Roman" w:eastAsia="Times New Roman" w:hAnsi="Times New Roman"/>
          <w:sz w:val="18"/>
          <w:szCs w:val="18"/>
          <w:color w:val="auto"/>
        </w:rPr>
        <w:t>Axsome Therapeutics, Inc. (“Axsome” or the “Company”) is a biopharmaceutical company leading a new era in the treatment of central nervous system (“CNS”) disorders. The Company delivers scientific breakthroughs by identifying critical gaps in care and develops differentiated products with a focus on novel mechanisms of action that enable meaningful advancements in patient outcomes. Axsome was incorporated on January 12, 2012, in the State of Delaware. The Company’s CNS portfolio includes three approved products – Auvelity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(the components of which are referred to as “AXS-05”), 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(the components of which are referred to as “solriamfetol”), both of which are also being developed for further indications, and Symbravo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(the components of which are referred to as “AXS-07”), which was recently approved by the FDA on January 30, 2025 – as well as two product candidates, AXS-12, and AXS-14, which are being developed for multiple indications. The Company refers herein to Auvelity, Sunosi, Symbravo, AXS-12, AXS-14, and its programs to develop additional indications for AXS-05 and solriamfetol as the Company’s products.</w:t>
      </w:r>
    </w:p>
    <w:p>
      <w:pPr>
        <w:spacing w:after="0" w:line="15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Company acquired the U.S. rights to Sunosi from Jazz Pharmaceuticals plc (“Jazz”) in May 2022 and worldwide ex-U.S. rights (excluding certain Asian markets) from Jazz in November 2022 (collectively, the “Acquisition”). Sunosi is a product approved by the U.S. Food and Drug Administration (the “FDA”) and marketed in the U.S. to improve wakefulness in adult patients with excessive daytime sleepiness (“EDS”) associated with narcolepsy or obstructive sleep apnea. Sunosi was approved in Europe in January 2020 by the European Commission. In February 2023, the Company announced a licensing transaction with Atnahs Pharma UK Limited (“Pharmanovia”) to market Sunosi in Europe and certain countries in the Middle East / North Africa.</w:t>
      </w:r>
    </w:p>
    <w:p>
      <w:pPr>
        <w:spacing w:after="0" w:line="18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Company announced, in August 2022, FDA approval of Auvelity, and in October 2022, the U.S. commercial availability of Auvelity, for the treatment of major depressive disorder in adults.</w:t>
      </w:r>
    </w:p>
    <w:p>
      <w:pPr>
        <w:spacing w:after="0" w:line="162"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The Company announced, in January 2025, FDA approval of Symbravo (meloxicam and rizatriptan) for the acute treatment of migraine with or without aura in adults.</w:t>
      </w:r>
    </w:p>
    <w:p>
      <w:pPr>
        <w:spacing w:after="0" w:line="162"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(“GAAP”). The consolidated financial statements include the accounts of the Company and its wholly owned subsidiaries. All material intercompany accounts and transactions have been eliminated during the consolidation process.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The Company has incurred operating losses since its inception and expects to continue to incur operating losses and may never become profitable. As of December 31, 2024, the Company had an accumulated deficit of $1,122.8 million.</w:t>
      </w:r>
    </w:p>
    <w:p>
      <w:pPr>
        <w:spacing w:after="0" w:line="16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Company’s primary sources of cash have been proceeds from the sales of Auvelity and Sunosi, the issuance and sale of its common stock in public offerings, and the issuance of debt.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with third parties. The Company may continue to incur substantial operating losses even as it continues to generate revenues from its products.</w:t>
      </w:r>
    </w:p>
    <w:p>
      <w:pPr>
        <w:spacing w:after="0" w:line="183"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Company believes its existing cash will be sufficient to fund its anticipated operating cash requirements for at least twelve months following the date of this filing. During that time, the Company expects that its expenses will increase primarily due to the commercialization of Auvelity, Sunosi, and Symbravo while continuing to further develop the Company’s pipeline assets. The Company may use a combination of public and private equity offerings, debt financings, other third-party funding, strategic alliances, licensing arrangements or marketing and distribution arrangements if market conditions are favorable or as a result of other strategic considerations to finance its future cash needs.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common stock is listed on The Nasdaq Global Market and trades under the symbol “AXSM.”</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Risks and Uncertainties</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competition from products manufactured and sold or being developed by other companies; the price of, and demand for, the Company’s products; the Company’s ability to negotiate favorable licensing or other manufacturing and marketing agreements for its products; and the Company’s ability to raise additional capital. If the Company’s commercialization of its products is not financially successful, it will be unable to generate sufficient recurring product revenue to achieve and maintain profitability.</w:t>
      </w:r>
    </w:p>
    <w:p>
      <w:pPr>
        <w:spacing w:after="0" w:line="18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Company currently has three commercial products, Auvelity and Sunosi, and recently FDA-approved product, Symbravo, and there can be no assurance that the Company’s research and development efforts will result in successfully commercialized products in addition to Auvelity and Sunosi.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160" w:firstLine="749"/>
        <w:spacing w:after="0" w:line="253" w:lineRule="auto"/>
        <w:rPr>
          <w:sz w:val="20"/>
          <w:szCs w:val="20"/>
          <w:color w:val="auto"/>
        </w:rPr>
      </w:pPr>
      <w:r>
        <w:rPr>
          <w:rFonts w:ascii="Times New Roman" w:cs="Times New Roman" w:eastAsia="Times New Roman" w:hAnsi="Times New Roman"/>
          <w:sz w:val="18"/>
          <w:szCs w:val="18"/>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stock-based compensation expense; determination of fair value of warrants; accounting for research and development costs; accounting for acquisitions; impairments of goodwill and the intangible asset; determination of fair value of contingent consideration; chargebacks, cash discounts, sales rebates, returns and other adjustments; and the recoverability of the Company’s net deferred tax assets and related valuation allowance.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accordance with Accounting Standards Codification (“ASC”) Topic 606, Revenue from Contracts with Customers (“ASC 606”) the Company recognizes revenue when the customer obtains control of a promised good or service, in an amount that reflects the consideration that the Company expects to receive in exchange for the good or service. Transfer of control is based on contractual performance obligations, which occurs upon transfer of the title along with the physical transfer of the Company’s goods to the customer, as that is when the customer has obtained control of significantly all of the economic benefits and the Company obtains a right of payment.</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product sales, see Product Sales, net (below) and Note 15. Revenues.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227"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license or similar agreements with pharmaceutical companies for the development and commercialization of certain products. Such agreements may include the transfer of intellectual property rights in the form of licenses. Payments made by the customer may include non-refundable upfront fees, payments based upon the achievement of defined milestones, and royalties on sales of products.</w:t>
      </w:r>
    </w:p>
    <w:p>
      <w:pPr>
        <w:spacing w:after="0" w:line="176"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the Company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spacing w:after="0" w:line="18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Contingent milestones at contract inception are estimated to the extent that it is probable that a significant revenue reversal would not occur and are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a significant revenue reversal would not occur and, if necessary, adjusts the estimate of the overall transaction price. Any such adjustments are recorded on a cumulative catch-up basis, which would affect license and other revenue, as well as earnings, in the period of adjustment.</w:t>
      </w:r>
    </w:p>
    <w:p>
      <w:pPr>
        <w:spacing w:after="0" w:line="192" w:lineRule="exact"/>
        <w:rPr>
          <w:sz w:val="20"/>
          <w:szCs w:val="20"/>
          <w:color w:val="auto"/>
        </w:rPr>
      </w:pPr>
    </w:p>
    <w:p>
      <w:pPr>
        <w:jc w:val="both"/>
        <w:ind w:right="460" w:firstLine="749"/>
        <w:spacing w:after="0" w:line="266"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sales-based milestone payments, and a license of intellectual property that is deemed to be the predominant item to which the royalties relate, revenue is recognized at the later of (i) when the related sales occur, or (ii) when the performance obligation to which some or all of the royalties have been allocated has been satisfied (or partially satisfied).</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22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Revenues from product sales are recorded net of reserves for variable consideration. These reserves reflect the Company’s best estimate of the amount of consideration to which the Company is entitled based on the terms of the contracts. The Company sells Auvelity and Sunosi in the United States to wholesale distributors with whom the Company has entered into formal agreements (collectively, the “Distributors”). These Distributors subsequently resell the Company’s products to retail pharmacies. The Company also sells Sunosi to Distributors in Canada and on a product supply basis to Pharmanovia. Sunosi is subsequently sold by Pharmanovia in certain ex-U.S. markets. The Company does not sell products under consignment arrangements, and the collection of proceeds from product sales is not contingent upon customers’ sale of the goods to third parties. The Company received FDA approval for Symbravo in January 2025 and did not record any product sales with respect to Symbravo for the periods covered by this report. See Note 15. Revenues for a further breakout of product sales, net.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22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Company’s estimates of variable consideration and determination of whether to include estimated amounts in the transaction price are based largely on an assessment of its anticipated performance and all information (historical, current and forecasted) that is reasonably available. These reserves reflect the Company’s best estimate of the amount of consideration to which the Company is entitled based on the terms of the contracts and are classified as reductions to accounts receivable, net if payable to a customer or accrued expenses and other current liabilities if payable to a third-party. The amount of variable consideration that is included in the transaction price may be constrained and is included in the net sales price only to the extent that is considered probable that a significant reversal in the amount of the cumulative revenue recognized will not occur in a future period. Actual amounts of consideration ultimately received may differ from the estimates. If actual results in the future vary from our estimates, the Company will adjust these estimates, which would affect net product revenue and earnings in the period such variances become known.</w:t>
      </w:r>
    </w:p>
    <w:p>
      <w:pPr>
        <w:spacing w:after="0" w:line="192"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The provision for rebates, discounts, and other incentives is based on expected patient usage, as well as inventory levels in the distribution channel to determine the contractual obligation to the benefit providers. Additionally, sales are generally made with a limited right of return under certain conditions. Revenues are recorded net of provisions for rebates, discounts, and other incentives and returns, which are established at the time of sale. The Company uses customer segment utilization mix data, changes to product price, government pricing calculations and prior payment history in order to estimate the variable consideration. Amounts accrued for rebates, discounts, and other incentives are adjusted when trends indicate that adjustment is appropriate and to reflect actual experience.</w:t>
      </w:r>
    </w:p>
    <w:p>
      <w:pPr>
        <w:spacing w:after="0" w:line="185"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w:t>
      </w:r>
      <w:r>
        <w:rPr>
          <w:rFonts w:ascii="Times New Roman" w:cs="Times New Roman" w:eastAsia="Times New Roman" w:hAnsi="Times New Roman"/>
          <w:sz w:val="18"/>
          <w:szCs w:val="18"/>
          <w:color w:val="auto"/>
        </w:rPr>
        <w:t>- The Company generally provides discounts which include incentive fees that are explicitly stated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contracts and are recorded as a reduction of revenue in the period the related product revenue is recognized. In addition, the Company compensates (through trade discounts and allowances) its distributors for distribution services and data. These payments have been recorded as a reduction to product sales as well as a reduction to accounts receivable, net on the consolidated balance sheets.</w:t>
      </w:r>
    </w:p>
    <w:p>
      <w:pPr>
        <w:spacing w:after="0" w:line="180"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Returns - </w:t>
      </w:r>
      <w:r>
        <w:rPr>
          <w:rFonts w:ascii="Times New Roman" w:cs="Times New Roman" w:eastAsia="Times New Roman" w:hAnsi="Times New Roman"/>
          <w:sz w:val="18"/>
          <w:szCs w:val="18"/>
          <w:color w:val="auto"/>
        </w:rPr>
        <w:t>The Company generally offers a limited right of return for product that has been purchased from the Company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expiration date. The Company estimates the amount of its product sales that may be returned and records this estimate as a reduction of revenue in the period the related product sale is recognized, as well as a component of accrued expense and other current liabilities. The Company currently estimates product return liabilities using available industry data, historical product sales information, and actual returns experience.</w:t>
      </w:r>
    </w:p>
    <w:p>
      <w:pPr>
        <w:spacing w:after="0" w:line="180"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Chargebacks and Discounts - </w:t>
      </w:r>
      <w:r>
        <w:rPr>
          <w:rFonts w:ascii="Times New Roman" w:cs="Times New Roman" w:eastAsia="Times New Roman" w:hAnsi="Times New Roman"/>
          <w:sz w:val="18"/>
          <w:szCs w:val="18"/>
          <w:color w:val="auto"/>
        </w:rPr>
        <w:t>Chargebacks for fees and discounts to providers represent the estimated obligations resulting from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to sell products at prices lower than the list prices charged to distributors. Distributors charge the Company for the difference between what they pay for the product and the ultimate selling price. These reserves are established in the same period that the related product sales are recognized, resulting in a reduction to product sales and accounts receivable, net.</w:t>
      </w: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Rebates - </w:t>
      </w:r>
      <w:r>
        <w:rPr>
          <w:rFonts w:ascii="Times New Roman" w:cs="Times New Roman" w:eastAsia="Times New Roman" w:hAnsi="Times New Roman"/>
          <w:sz w:val="18"/>
          <w:szCs w:val="18"/>
          <w:color w:val="auto"/>
        </w:rPr>
        <w:t>Rebates apply to: Medicaid, managed care, and supplemental rebates to all applicable states as defined by the statutory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calculation requirements under the Medicaid Drug Rebate Program. Tricare rebates to the TRICARE third-party administrator are based on the statutory calculation defined in the agreement with the Defense Health Agency. Part D and Commercial Managed Care rebates are paid based on the contracts with Pharmacy Benefit Managers (“PBMs”) and Managed Care Organizations. Rebates are paid to these entities upon receipt of an invoice from the contracted entity which is based on the utilization of the product by the members of the contracted entity. Allowances for rebates also include amounts due under the Inflation Reduction Act of 2022 for Medicare Part D. The Company estimates these rebates and records such estimates in the same period the related product sales are recognized, resulting in a reduction to product sales as well as a component of accrued expenses and other current liabilities.</w:t>
      </w:r>
    </w:p>
    <w:p>
      <w:pPr>
        <w:spacing w:after="0" w:line="18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Coverage Gap - </w:t>
      </w:r>
      <w:r>
        <w:rPr>
          <w:rFonts w:ascii="Times New Roman" w:cs="Times New Roman" w:eastAsia="Times New Roman" w:hAnsi="Times New Roman"/>
          <w:sz w:val="18"/>
          <w:szCs w:val="18"/>
          <w:color w:val="auto"/>
        </w:rPr>
        <w:t>The Medicare Part D coverage gap is a period of consumer payment for prescription medication costs which lies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coverage limit and the catastrophic-coverage threshold, when the patient is a member of a Medicare Part D prescription-drug program administered by the Centers for Medicare &amp; Medicaid Services. The Company estimates the percentage of goods sold to patients in the Coverage Gap and adjusts the transaction price for such discount at the time of sale resulting in a reduction to product sales as well as a component of accrued expenses and other current liabilities.</w:t>
      </w:r>
    </w:p>
    <w:p>
      <w:pPr>
        <w:spacing w:after="0" w:line="183"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Incentives - </w:t>
      </w:r>
      <w:r>
        <w:rPr>
          <w:rFonts w:ascii="Times New Roman" w:cs="Times New Roman" w:eastAsia="Times New Roman" w:hAnsi="Times New Roman"/>
          <w:sz w:val="18"/>
          <w:szCs w:val="18"/>
          <w:color w:val="auto"/>
        </w:rPr>
        <w:t>Other incentives which the Company offers include voluntary patient assistance programs, such as the co-pay assistance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which are intended to provide financial assistance to qualified commercially-insured patients with prescription drug co-payments required by payers. The calculation of the accrual for co-pay assistance is based on an estimate of claims and the cost per claim that the Company expects to receive associated with product that has been recognized as revenue. The reserves are recorded in the same period the related revenue is recognized, resulting in a reduction of product sales as well as a component of accrued expenses and other current liabilities.</w:t>
      </w:r>
    </w:p>
    <w:p>
      <w:pPr>
        <w:spacing w:after="0" w:line="185" w:lineRule="exact"/>
        <w:rPr>
          <w:sz w:val="20"/>
          <w:szCs w:val="20"/>
          <w:color w:val="auto"/>
        </w:rPr>
      </w:pPr>
    </w:p>
    <w:p>
      <w:pPr>
        <w:ind w:right="400" w:firstLine="749"/>
        <w:spacing w:after="0" w:line="261" w:lineRule="auto"/>
        <w:rPr>
          <w:sz w:val="20"/>
          <w:szCs w:val="20"/>
          <w:color w:val="auto"/>
        </w:rPr>
      </w:pPr>
      <w:r>
        <w:rPr>
          <w:rFonts w:ascii="Times New Roman" w:cs="Times New Roman" w:eastAsia="Times New Roman" w:hAnsi="Times New Roman"/>
          <w:sz w:val="18"/>
          <w:szCs w:val="18"/>
          <w:color w:val="auto"/>
        </w:rPr>
        <w:t>The Company makes significant estimates and judgments that materially affect its recognition of net product revenue. Claims by third-party payors for rebates, chargebacks and discounts frequently are submitted to the Company significantly after the related sales, potentially resulting in adjustments in the period in which the new information becomes known. The Company will adjust its estimates based on new information, including information regarding actual rebates, chargebacks and discounts for its products, as it becomes available.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Company’s cost of revenue consists of cost of product sales, fee sharing expense related to the upfront license revenue received, and expense related to a sales-based milestone. Cost of product sales primarily include direct costs (inclusive of material, shipping, handling, and manufacturing costs), overhead and product royalties. Cost of product sales excludes depreciation and amortization. In the fourth quarter of 2024, the Company recorded a $2.5 million expense for the achievement of a sales-based milestone related to world-wide Sunosi sales. In the first quarter of 2023, the Company recorded a $5.0 million fee sharing expense related to the upfront license revenue received.</w:t>
      </w:r>
    </w:p>
    <w:p>
      <w:pPr>
        <w:spacing w:after="0" w:line="183" w:lineRule="exact"/>
        <w:rPr>
          <w:sz w:val="20"/>
          <w:szCs w:val="20"/>
          <w:color w:val="auto"/>
        </w:rPr>
      </w:pPr>
    </w:p>
    <w:p>
      <w:pPr>
        <w:ind w:right="40" w:firstLine="749"/>
        <w:spacing w:after="0" w:line="274" w:lineRule="auto"/>
        <w:rPr>
          <w:sz w:val="20"/>
          <w:szCs w:val="20"/>
          <w:color w:val="auto"/>
        </w:rPr>
      </w:pPr>
      <w:r>
        <w:rPr>
          <w:rFonts w:ascii="Times New Roman" w:cs="Times New Roman" w:eastAsia="Times New Roman" w:hAnsi="Times New Roman"/>
          <w:sz w:val="17"/>
          <w:szCs w:val="17"/>
          <w:color w:val="auto"/>
        </w:rPr>
        <w:t>The Company assumed royalty and sales-based milestone commitments of Jazz to SK Biopharmaceuticals Co. Ltd. (“SK”) and Aerial Biopharma, LLC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the Company is committed to pay up to $165 million based on revenue milestones and $1 million based on development milestones. Additionally, the Company pays a royalty to Antecip Bioventures II LLC (“Antecip”), an entity owned by Axsome’s Chief Executive Officer and Chairman of the Board of Directors (the “Board”), Herriot Tabuteau, M.D., equal to 3.0% of Auvelity net sales.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22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Revenues and expenses denominated in foreign currency are translated into U.S. dollars at the exchange rate on the date they are incurred. Assets and liabilities of foreign operations are translated at period-end exchange rates. The effect of exchange rate fluctuations on translating foreign currency into U.S. dollars is included in the statements of operations and is not material to the Company’s consolidated financial statements.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and reporting segment, which is the business of developing and delivering novel therapies for the management of CNS disorders. See Note 20. Segment Information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that have maturities of three months or less when acquired to be cash equivalents. The Company’s cash and cash equivalents includes holdings in checking and overnight sweep accounts. The Company’s cash equivalents, which are money market funds held in a sweep account, are measured at fair value on a recurring basis. As of December 31, 2024, the balance of cash and cash equivalents was $315.4 million, which approximates fair value and was determined based upon Level 1 inputs. The sweep account is valued using quoted market prices with no valuation adjustments applied. Accordingly, these securities are categorized as Level 1 on the fair value hierarchy.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 </w:t>
      </w:r>
      <w:r>
        <w:rPr>
          <w:rFonts w:ascii="Times New Roman" w:cs="Times New Roman" w:eastAsia="Times New Roman" w:hAnsi="Times New Roman"/>
          <w:sz w:val="18"/>
          <w:szCs w:val="18"/>
          <w:color w:val="auto"/>
        </w:rPr>
        <w:t>Financial instruments that potentially subject the Company to a concentration of credit risk consist of cash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 The Company maintains its cash deposits at financial institutions, which cash deposits exceed insured limits. At December 31, 2024, the majority of the Company’s cash was held by two financial institutions, and amounts on deposit were in excess of government-provided insurance limits. The Company places its cash and cash equivalents in what it believes to be high credit quality banks and money market funds and has not recognized any losses from credit risks on such accounts since inception. See Accounts Receivable, net below for further information.</w:t>
      </w:r>
    </w:p>
    <w:p>
      <w:pPr>
        <w:spacing w:after="0" w:line="183" w:lineRule="exact"/>
        <w:rPr>
          <w:sz w:val="20"/>
          <w:szCs w:val="20"/>
          <w:color w:val="auto"/>
        </w:rPr>
      </w:pPr>
    </w:p>
    <w:p>
      <w:pPr>
        <w:ind w:right="14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Concentration of Risk, Other - </w:t>
      </w:r>
      <w:r>
        <w:rPr>
          <w:rFonts w:ascii="Times New Roman" w:cs="Times New Roman" w:eastAsia="Times New Roman" w:hAnsi="Times New Roman"/>
          <w:sz w:val="18"/>
          <w:szCs w:val="18"/>
          <w:color w:val="auto"/>
        </w:rPr>
        <w:t>The Company has a limited number of contract manufacturers for its products. At times, the Company may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one manufacturer or supplier for its products.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ind w:right="220" w:firstLine="749"/>
        <w:spacing w:after="0" w:line="256" w:lineRule="auto"/>
        <w:rPr>
          <w:sz w:val="20"/>
          <w:szCs w:val="20"/>
          <w:color w:val="auto"/>
        </w:rPr>
      </w:pPr>
      <w:r>
        <w:rPr>
          <w:rFonts w:ascii="Times New Roman" w:cs="Times New Roman" w:eastAsia="Times New Roman" w:hAnsi="Times New Roman"/>
          <w:sz w:val="18"/>
          <w:szCs w:val="18"/>
          <w:color w:val="auto"/>
        </w:rPr>
        <w:t>The Company accounted for the Acquisition as a business combination using the acquisition method of accounting, which requires that all identifiable assets acquired, and liabilities assumed be recorded at their estimated fair values. The excess of the fair value of purchase consideration over the fair values of identifiable assets and liabilities is recorded as goodwill. When determining the fair values of assets acquired and liabilities assumed, management makes significant estimates and assumptions. Critical estimates in valuing the intangible asset include but are not limited to future expected cash flows from acquired patented technology. Management’s estimates of fair value are based upon assumptions believed to be reasonable, but are inherently uncertain and unpredictable and, as a result, actual results may differ from estimates.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a result of the Acquisition, the Company recorded goodwill and an intangible asset.</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Goodwill is deemed to have an indefinite life and therefore not amortized. The Company tests the carrying amounts of goodwill for recoverability on an annual basis or more frequently if events or changes in circumstances indicate that the asset might be impaired. When reviewing goodwill for impairment, the Company first evaluates the qualitative factors to determine whether it is more likely than not that the fair value of a reporting unit is less than its carrying amount. If the qualitative factors determine it is necessary to complete a goodwill impairment test, the fair value of the relevant reporting unit is determined and compared to its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in impairment of goodwill in the Company’s consolidated statements of operations. The Company completes its annual goodwill assessment as of December 31. As of December 31, 2024, the Company has determined that it has one reporting unit. The Company has not identified any events or changes in circumstances that indicate the existence of potential impairment of goodwill during the fiscal year ended December 31, 2024. The balance of goodwill was $12.0 million at both December 31, 2024 and December 31, 2023.</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w:t>
      </w:r>
    </w:p>
    <w:p>
      <w:pPr>
        <w:spacing w:after="0" w:line="22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Company’s intangible asset is amortized using the straight-line method over its estimated period of benefit of ten years. The Company evaluates recoverability of the intangible asset periodically by considering events or changes in circumstances that may warrant revised estimates of useful lives or that indicate the asset may be impaired. The Company has not identified any events or changes in circumstances that indicate the existence of potential impairment of the intangible asset during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Consideration paid in a business combination may include potential future payments that are contingent upon the acquired business achieving certain milestones in the future (“contingent consideration”). The royalty payments due to Jazz are a high single-digit royalty on the Company’s U.S. net sales of Sunosi in the current indication and a mid single-digit royalty on the Company’s U.S. net sales of Sunosi for future indications. Contingent consideration liabilities are measured at their estimated fair value as of the date of acquisition, with subsequent changes in fair value recorded in the consolidated statements of operations during such period a change is recognized. The Company estimates the fair value of the contingent consideration as of the acquisition date and reporting periods thereafter using the probability weighted income approach and makes significant assumptions, including estimated future sales of Sunosi in current and future indications, timing of regulatory and commercial milestone achievements, probability of technical and regulatory success rates, and discount rates. Contingent consideration liabilities expected to be settled within 12 months after the balance sheet date are presented in current liabilities, with the non-current portion recorded within total liabilities in the consolidated balance sheets.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40" w:firstLine="749"/>
        <w:spacing w:after="0" w:line="220" w:lineRule="exact"/>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 that the Company has the ability to access at the measurement date.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2—Inputs other than quoted prices in active markets that are observable for the asset or liability, either directly or indirectly.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3—Unobservable inputs for which there is little or no market data, which require the reporting entity to develop its own assumptions.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An asset’s or liability’s level within the fair value hierarchy is based on the lowest level of any input that is significant to the fair value measurement.</w:t>
      </w:r>
    </w:p>
    <w:p>
      <w:pPr>
        <w:spacing w:after="0" w:line="180"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Company’s financial instruments are cash and cash equivalents, accounts receivable, accounts payable, accrued expenses and other liabilities, contingent warrant liability, current and long-term debt, and current and non-current contingent consideration. The Company’s Level 1 financial instruments include cash and cash equivalents, accounts receivable, accounts payable, and accrued expenses and other liabilities. They are considered Level 1 as the carrying values reported in the accompanying consolidated financial statements approximate their respective fair values due to their short-term maturities. The carrying value of debt on the Company’s balance sheet is estimated to approximate its fair value. The Company’s Level 3 financial instruments include contingent warrant liability and current and non-current contingent consideration due to the significant unobservable inputs required in determining their respective fair values.</w:t>
      </w:r>
    </w:p>
    <w:p>
      <w:pPr>
        <w:spacing w:after="0" w:line="18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The Company categorized the fair value of contingent consideration liabilities as Level 3 within the fair value hierarchy as the estimate is based on significant unobservable inputs requiring management judgment. The fair value of contingent consideration liabilities is estimated by using the probability weighted income approach using significant assumptions, including estimated future sales of Sunosi in current and future indications, timing of regulatory and commercial milestone achievements, probability of technical and regulatory success and discount rates. Contingent consideration liabilities are subject to remeasurement at each prospective balance sheet date, with any changes in the fair value recorded in the consolidated statements of operations. See Note 8. Fair Value of Financial Instruments for further detail.</w:t>
      </w:r>
    </w:p>
    <w:p>
      <w:pPr>
        <w:spacing w:after="0" w:line="187" w:lineRule="exact"/>
        <w:rPr>
          <w:sz w:val="20"/>
          <w:szCs w:val="20"/>
          <w:color w:val="auto"/>
        </w:rPr>
      </w:pPr>
    </w:p>
    <w:p>
      <w:pPr>
        <w:ind w:right="300" w:firstLine="749"/>
        <w:spacing w:after="0" w:line="256" w:lineRule="auto"/>
        <w:rPr>
          <w:sz w:val="20"/>
          <w:szCs w:val="20"/>
          <w:color w:val="auto"/>
        </w:rPr>
      </w:pPr>
      <w:r>
        <w:rPr>
          <w:rFonts w:ascii="Times New Roman" w:cs="Times New Roman" w:eastAsia="Times New Roman" w:hAnsi="Times New Roman"/>
          <w:sz w:val="18"/>
          <w:szCs w:val="18"/>
          <w:color w:val="auto"/>
        </w:rPr>
        <w:t>The Company estimated the fair value of the warrant liabilities using the Black-Scholes model based on key assumption and inputs. The Company utilizes a probability assessment to estimate the likelihood of vesting for the remaining Loan Agreement (as defined below) warrants and allocated the probability of occurrence percentage to the fair values calculated, and, therefore, is considered Level 3 within the fair value hierarchy. The Company accounts for warrants anticipated to be issued in the future under the Loan Agreement as liabilities and measures them at fair value using the Black-Scholes valuation model. The warrants are subject to remeasurement at each prospective balance sheet date, with any changes in the fair value recorded in the consolidated statements of operations. See Note 8. Fair Value of Financial Instruments for further detail.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Company’s accounts receivable, net, arise from product sales and represent amounts due from its customers. They are generally stated at the gross sales amount, less reserves resulting from trade discounts and allowances and chargebacks. Accounts receivable typically have a standard payment term of 60 days or less and do not bear interest.</w:t>
      </w:r>
    </w:p>
    <w:p>
      <w:pPr>
        <w:spacing w:after="0" w:line="176"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The Company monitors the financial performance and creditworthiness of its customers so that it can properly assess and respond to changes in the customers’ credit profiles. During the first quarter of 2023, the Company began distributing products through wholesale customers. The Company estimates expected credit losses of its accounts receivable by assessing the risk of loss and available relevant information about collectability, including historical credit losses, existing contractual payment terms, actual payment patterns of its customers, individual customer circumstances, and reasonable and supportable forecast of economic conditions expected to exist throughout the contractual life of the receivable. The Company has not historically experienced significant credit losses. Based on its assessment, as of December 31, 2024, the Company has not recorded any allowances for doubtful accounts receivable. For further information about accounts receivable, see Note 4. Accounts Receivable, net.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9"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Debt issuance costs consist of costs incurred in obtaining long-term financing. These costs are classified on the consolidated balance sheet as a direct deduction from the carrying amount of the related debt liability and subsequently amortized as interest expense in the consolidated statement of operations using the effective interest rate method.</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00" w:firstLine="749"/>
        <w:spacing w:after="0" w:line="257" w:lineRule="auto"/>
        <w:rPr>
          <w:sz w:val="20"/>
          <w:szCs w:val="20"/>
          <w:color w:val="auto"/>
        </w:rPr>
      </w:pPr>
      <w:r>
        <w:rPr>
          <w:rFonts w:ascii="Times New Roman" w:cs="Times New Roman" w:eastAsia="Times New Roman" w:hAnsi="Times New Roman"/>
          <w:sz w:val="18"/>
          <w:szCs w:val="18"/>
          <w:color w:val="auto"/>
        </w:rPr>
        <w:t xml:space="preserve">The Company evaluates amendments to its debt instruments in accordance with ASC 470-50, </w:t>
      </w:r>
      <w:r>
        <w:rPr>
          <w:rFonts w:ascii="Times New Roman" w:cs="Times New Roman" w:eastAsia="Times New Roman" w:hAnsi="Times New Roman"/>
          <w:sz w:val="18"/>
          <w:szCs w:val="18"/>
          <w:i w:val="1"/>
          <w:iCs w:val="1"/>
          <w:color w:val="auto"/>
        </w:rPr>
        <w:t>Debt – Modifications and Extinguishments</w:t>
      </w:r>
      <w:r>
        <w:rPr>
          <w:rFonts w:ascii="Times New Roman" w:cs="Times New Roman" w:eastAsia="Times New Roman" w:hAnsi="Times New Roman"/>
          <w:sz w:val="18"/>
          <w:szCs w:val="18"/>
          <w:color w:val="auto"/>
        </w:rPr>
        <w:t xml:space="preserve"> (“ASC 470”) to determine whether the amendment should be accounted for as a modification or an extinguishment. An amendment may be considered modified when the terms of the new debt and original instrument are not “substantially different” (as defined in the debt modification guidance in ASC 470). Amendments that are considered modifications are accounted for prospectively as yield adjustments, based on the revised terms, and lender fees and costs directly incurred with third parties, to the extent material, are recorded as debt discount and amortized to interest expense using the effective interest rate method.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Company values its inventories at the lower of cost or estimated net realizable value. The remaining inventory associated with the Acquisition is stated at fair value due to purchase accounting. The Company performs an assessment of the recoverability of capitalized inventory during each reporting period, and it writes down any excess and obsolete inventories to their estimated net realizable value in the period in which the impairment is first identified. Such impairment charges, if they occur, are recorded within cost of revenue.</w:t>
      </w:r>
    </w:p>
    <w:p>
      <w:pPr>
        <w:spacing w:after="0" w:line="180"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Company capitalizes inventory costs associated with the Company’s products after regulatory approval when, based on management’s judgment, future commercialization is considered probable and the future economic benefit is expected to be realized. Inventory acquired and manufactured prior to receipt of regulatory approval of a product candidate is expensed as research and development expense as incurred. Inventory that can be used in either the production of clinical or commercial product is expensed as research and development expense when selected for use in a clinical manufacturing campaign.</w:t>
      </w:r>
    </w:p>
    <w:p>
      <w:pPr>
        <w:spacing w:after="0" w:line="183"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Inventory levels are evaluated for amounts that would be sold within one year. If the level of inventory exceeds the estimated amount that would be sold after the next 12 months, the Company classifies the estimate of such inventory as non-current.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 net</w:t>
      </w:r>
    </w:p>
    <w:p>
      <w:pPr>
        <w:spacing w:after="0" w:line="188" w:lineRule="exact"/>
        <w:rPr>
          <w:sz w:val="20"/>
          <w:szCs w:val="20"/>
          <w:color w:val="auto"/>
        </w:rPr>
      </w:pPr>
    </w:p>
    <w:p>
      <w:pPr>
        <w:jc w:val="both"/>
        <w:ind w:firstLine="749"/>
        <w:spacing w:after="0" w:line="236" w:lineRule="exact"/>
        <w:rPr>
          <w:sz w:val="20"/>
          <w:szCs w:val="20"/>
          <w:color w:val="auto"/>
        </w:rPr>
      </w:pPr>
      <w:r>
        <w:rPr>
          <w:rFonts w:ascii="Times New Roman" w:cs="Times New Roman" w:eastAsia="Times New Roman" w:hAnsi="Times New Roman"/>
          <w:sz w:val="18"/>
          <w:szCs w:val="18"/>
          <w:color w:val="auto"/>
        </w:rPr>
        <w:t>Equipment consists primarily of computer equipment and is recorded at cost. Equipment is depreciated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primarily of employee-related expenses, including salaries, benefits, travel and stock-based compensation expense, contract services, costs incurred to third-party service providers for conducting research, preclinical and clinical studies, laboratory supplies, product license fees, consulting and other related expenses. Research, preclinical and clinical study expenses are estimated based on services performed, pursuant to contracts with third-party research and development organizations that conduct and manage research, preclinical and clinical activities on the Company’s behalf, including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accruals are adjusted accordingly. Payments associated with licensing agreements to acquire licenses to develop, use, manufacture and commercialize products that have not reached technological feasibility and do not have alternative future use are expensed as incurred.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Advertising costs are included in selling, general and administrative expenses and are expensed as incurred. The Company considers advertising costs as expenses related to the promotion of the Company’s commercial products. For the years ended December 31, 2024, 2023, and 2022, advertising costs were $101.2 million, $100.3 million, and $35.3 million, respectively.</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87"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December 31, 2024,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8" w:lineRule="exact"/>
        <w:rPr>
          <w:sz w:val="20"/>
          <w:szCs w:val="20"/>
          <w:color w:val="auto"/>
        </w:rPr>
      </w:pPr>
    </w:p>
    <w:p>
      <w:pPr>
        <w:ind w:right="80" w:firstLine="749"/>
        <w:spacing w:after="0" w:line="231" w:lineRule="exact"/>
        <w:rPr>
          <w:sz w:val="20"/>
          <w:szCs w:val="20"/>
          <w:color w:val="auto"/>
        </w:rPr>
      </w:pPr>
      <w:r>
        <w:rPr>
          <w:rFonts w:ascii="Times New Roman" w:cs="Times New Roman" w:eastAsia="Times New Roman" w:hAnsi="Times New Roman"/>
          <w:sz w:val="18"/>
          <w:szCs w:val="18"/>
          <w:color w:val="auto"/>
        </w:rPr>
        <w:t>For stock options issued, the Company estimates the grant date fair value of each option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 In addition, the Company accounts for equity award forfeitures as they occur.</w:t>
      </w:r>
    </w:p>
    <w:p>
      <w:pPr>
        <w:spacing w:after="0" w:line="200"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For restricted stock units (“RSUs”), the Company issues them in the form of Company common stock. The fair market value of these awards is based on the market closing price per share on the grant date.</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recognizes the grant date fair value of the stock options and RSUs over the requisite service period, which is generally the vesting term. For awards only subject to service-based vesting conditions, the Company elected to recognize stock-based compensation expense on a straight-line basis. For awards subject to performance-based vesting conditions, the Company recognizes stock-based compensation expense using the accelerated attribution method when the achievement of the performance condition becomes probable. The expense related to the stock-based compensation is recorded within the same financial statement line item as the grantee’s cash compensation.</w:t>
      </w:r>
    </w:p>
    <w:p>
      <w:pPr>
        <w:spacing w:after="0" w:line="183"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The Company’s policy upon exercise of stock options and RSUs is that shares will be issued as new shares drawing on the Company’s 2015 Omnibus Incentive Compensation Plan share pool that was adopted by the stockholders in November 2015.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Common Share</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stock options, RSUs and/or common stock pursuant to the 2023 Employee Stock Purchase Plan (the “ESPP”), which would result in the issuance of incremental shares of common stock. As the impact of these items is anti-dilutive during periods of net loss, there was no difference between basic and diluted net loss per share of common stock for the years ended December 31, 2024 and 2023.</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a lease at contract inception. Right-of-use assets represent the Company’s right to use an underlying asset for the lease term and lease liabilities represent the Company’s obligation to make lease payments arising from the lease. When evaluating whether a contract contains a lease, the Company considers whether (1) the contract explicitly or implicitly identifies assets that are contractually defined and (2) the Company obtains substantially all of the economic benefits from the use of that underlying asset and directs how and for what purpose the asset is used during the term of the contract.</w:t>
      </w:r>
    </w:p>
    <w:p>
      <w:pPr>
        <w:spacing w:after="0" w:line="183" w:lineRule="exact"/>
        <w:rPr>
          <w:sz w:val="20"/>
          <w:szCs w:val="20"/>
          <w:color w:val="auto"/>
        </w:rPr>
      </w:pPr>
    </w:p>
    <w:p>
      <w:pPr>
        <w:jc w:val="both"/>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Company’s lease agreements contain lease and non-lease components. Non-lease components primarily include payments for maintenance and utilities. The Company has applied the practical expedient to combine fixed payments for non-lease components with lease payments and account for them together as a single lease component, which increases the amount of lease assets and corresponding liabilities. Payments under the Company’s lease arrangements are primarily fixed, however, variable payments are expensed as incurred and not included in the operating lease asset and liability.</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interest rate implicit in the contract when such rate is readily determinable and uses the Company’s incremental borrowing rate when the rate implicit in the contract is not readily determinable based upon the information available at the commencement date in determining the present value of the lease payments.</w:t>
      </w:r>
    </w:p>
    <w:p>
      <w:pPr>
        <w:spacing w:after="0" w:line="183"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Company’s operating leases are reflected in the right-of-use operating asset; operating lease liability, current portion; and operating lease liability, long-term portion in the Company’s consolidated balance sheets. Operating lease expense is recognized on a straight-line basis over the lease term and included in selling, general and administrative expenses. Finance leases are included in the non-current inventory and other assets; accrued expenses and other current liabilities; and finance lease liability, long-term in the Company’s consolidated balance sheets. Assets under the finance leases are amortized on a straight-line basis over the lease term and included in selling, general and administrative expenses. Short-term leases, defined as leases that have a lease term of 12 months or less at the commencement date, and do not include an option to extend the term or purchase the underlying asset that the Company is reasonably certain to exercise, are excluded from this treatment and are recognized on a straight-line basis over the term of the 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In October 2021, the Financial Accounting Standards Board (“FASB”) issued Accounting Standards Update (“ASU”) No. 2021-08, Business Combinations (Topic 805). This update requires that an entity (acquirer) recognize and measure contract assets and contract liabilities acquired in a business combination in accordance with ASC 606, Revenue from Contracts with Customers. At the acquisition date, an acquirer should account for the related revenue contracts in accordance with ASC 606 as if it had originated the contracts. This differs from the current requirement to measure contract assets and contract liabilities acquired in a business combination at fair value. The amendments in this update should be applied prospectively, and are effective for fiscal years beginning after December 15, 2022, including interim periods within those fiscal years. The Company adopted this standard as of January 1, 2023 and concluded it did not have a material impact on the Company’s financial statements. See Note 3. Business Combination for further information.</w:t>
      </w:r>
    </w:p>
    <w:p>
      <w:pPr>
        <w:spacing w:after="0" w:line="192"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which requires disclosure of incremental segment information on an annual and interim basis. The standard is effective for years beginning after December 15, 2023, and interim periods beginning after December 15, 2024, and early adoption is permitted. The Company adopted this standard as of January 1, 2024. See Note 20. Segment Information for further information.</w:t>
      </w:r>
    </w:p>
    <w:p>
      <w:pPr>
        <w:spacing w:after="0" w:line="176"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which requires disclosure of disaggregated income taxes paid by jurisdiction, enhances disclosures in the effective tax rate reconciliation, and modifies other income tax-related disclosures. The amendments are effective for annual periods beginning after December 15, 2024. The Company is currently evaluating the effect of adopting this guidance on its consolidated financial statements.</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20" w:firstLine="74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This ASU requires additional disaggregated disclosures in the notes to financial statements for certain categories of expenses that are included on the face of the income statement. The guidance is effective for fiscal years beginning after December 15, 2026 and for interim periods within fiscal years beginning after December 15, 2027, with early adoption permitted. The Company is currently evaluating the effect of adopting this guidance on its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Business Combination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Assets of Jazz Pharmaceuticals</w:t>
      </w:r>
    </w:p>
    <w:p>
      <w:pPr>
        <w:spacing w:after="0" w:line="229"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On March 25, 2022, the Company entered into an Asset Purchase Agreement (the “Purchase Agreement”) with Jazz, pursuant to which the Company was to acquire commercial and development rights with respect to Sunosi from Jazz in certain U.S. and ex-U.S. markets. The Acquisition occurred in two separate closings. The sale and purchase of specified initial assets contemplated by the Purchase Agreement occurred on May 9, 2022 (the “Initial Closing”), following the satisfaction or waiver of the closing conditions under the Purchase Agreement. The sale and purchase of specified ex-U.S. assets contemplated by the Purchase Agreement occurred on November 14, 2022, following the satisfaction or waiver of the closing conditions under the Purchase Agreement (the “Final Closing”). The Company accounted for the Initial Closing as a business combination using the acquisition method of accounting, and the Company accounted for the Final Closing as an asset acquisition.</w:t>
      </w:r>
    </w:p>
    <w:p>
      <w:pPr>
        <w:spacing w:after="0" w:line="189"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Under the terms of the Purchase Agreement, the Company received from Jazz worldwide commercial, development, manufacturing, and intellectual property rights to Sunosi, except for certain Asian markets. Jazz received from the Company a total upfront payment of $53 million. In addition, Jazz will receive a high single-digit royalty on the Company’s U.S. net sales of Sunosi in the current indication, and a mid single-digit royalty on the Company’s U.S. net sales of Sunosi in future indications. The Company also assumed the commitments of Jazz to SK and Aerial. SK is the originator of Sunosi and retains rights in 12 Asian markets, including China, Korea and Japan. In 2014, Jazz acquired from Aerial worldwide rights to Sunosi excluding those Asian markets as stated previously. The assumed commitments to SK and Aerial include single-digit tiered royalties based on the Company’s sales of Sunosi, and additionally, the Company is committed to pay up to $165 million based on revenue milestones and $1 million based on development milestones. The Company financed the transaction via its existing term loan facility with Hercules Capital, Inc.</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purchase consideration consisted of the following:</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at settlement</w:t>
            </w: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FF0FC"/>
            </w:tcBorders>
            <w:shd w:val="clear" w:color="auto" w:fill="CFF0FC"/>
          </w:tcPr>
          <w:p>
            <w:pPr>
              <w:spacing w:after="0"/>
              <w:rPr>
                <w:sz w:val="21"/>
                <w:szCs w:val="21"/>
                <w:color w:val="auto"/>
              </w:rPr>
            </w:pPr>
          </w:p>
        </w:tc>
        <w:tc>
          <w:tcPr>
            <w:tcW w:w="17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89,140</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696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The allocation of the fair value of the Acquisition is shown in the table below:</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Amounts recognized as of</w:t>
            </w:r>
          </w:p>
        </w:tc>
        <w:tc>
          <w:tcPr>
            <w:tcW w:w="180" w:type="dxa"/>
            <w:vAlign w:val="bottom"/>
          </w:tcPr>
          <w:p>
            <w:pPr>
              <w:spacing w:after="0"/>
              <w:rPr>
                <w:sz w:val="24"/>
                <w:szCs w:val="24"/>
                <w:color w:val="auto"/>
              </w:rPr>
            </w:pPr>
          </w:p>
        </w:tc>
        <w:tc>
          <w:tcPr>
            <w:tcW w:w="208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Measurement period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2"/>
          </w:tcPr>
          <w:p>
            <w:pPr>
              <w:jc w:val="center"/>
              <w:ind w:right="480"/>
              <w:spacing w:after="0" w:line="146" w:lineRule="exact"/>
              <w:rPr>
                <w:sz w:val="20"/>
                <w:szCs w:val="20"/>
                <w:color w:val="auto"/>
              </w:rPr>
            </w:pPr>
            <w:r>
              <w:rPr>
                <w:rFonts w:ascii="Times New Roman" w:cs="Times New Roman" w:eastAsia="Times New Roman" w:hAnsi="Times New Roman"/>
                <w:sz w:val="14"/>
                <w:szCs w:val="14"/>
                <w:b w:val="1"/>
                <w:bCs w:val="1"/>
                <w:color w:val="auto"/>
              </w:rPr>
              <w:t>acquisition date (as</w:t>
            </w:r>
          </w:p>
        </w:tc>
        <w:tc>
          <w:tcPr>
            <w:tcW w:w="18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Purchase price allocation</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previously reported)</w:t>
            </w: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395"/>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9"/>
                <w:szCs w:val="19"/>
                <w:b w:val="1"/>
                <w:bCs w:val="1"/>
                <w:color w:val="auto"/>
                <w:vertAlign w:val="superscript"/>
              </w:rPr>
              <w:t>(1)</w:t>
            </w: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w:t>
            </w: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63,800</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63,800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(709 )</w:t>
            </w:r>
          </w:p>
        </w:tc>
        <w:tc>
          <w:tcPr>
            <w:tcW w:w="18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(1,732 )</w:t>
            </w: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(2,441 )</w:t>
            </w:r>
          </w:p>
        </w:tc>
        <w:tc>
          <w:tcPr>
            <w:tcW w:w="0" w:type="dxa"/>
            <w:vAlign w:val="bottom"/>
          </w:tcPr>
          <w:p>
            <w:pPr>
              <w:spacing w:after="0"/>
              <w:rPr>
                <w:sz w:val="1"/>
                <w:szCs w:val="1"/>
                <w:color w:val="auto"/>
              </w:rPr>
            </w:pPr>
          </w:p>
        </w:tc>
      </w:tr>
      <w:tr>
        <w:trPr>
          <w:trHeight w:val="210"/>
        </w:trPr>
        <w:tc>
          <w:tcPr>
            <w:tcW w:w="4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89,140</w:t>
            </w:r>
          </w:p>
        </w:tc>
        <w:tc>
          <w:tcPr>
            <w:tcW w:w="32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89,140</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-1602105</wp:posOffset>
            </wp:positionV>
            <wp:extent cx="774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-1585595</wp:posOffset>
            </wp:positionV>
            <wp:extent cx="774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-170815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-170815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right="100" w:firstLine="8"/>
        <w:spacing w:after="0" w:line="261" w:lineRule="auto"/>
        <w:tabs>
          <w:tab w:leader="none" w:pos="204"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adjustment to goodwill resulted from rebates and returns during the post-acquisition period, which were provisionally recorded as an asset and liability, respectively, as of the acquisition date.</w:t>
      </w:r>
    </w:p>
    <w:p>
      <w:pPr>
        <w:spacing w:after="0" w:line="167"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The net assets were recorded at their estimated fair value. In valuing acquired assets and liabilities, fair value estimates were based primarily on future expected cash flows, market rate assumptions for contractual obligations, and appropriate discount rates.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Inventories acquired included raw materials, work in process and finished goods for Sunosi. Inventories were recorded at their estimated fair values categorized as Level 3. The fair value of finished goods was determined based on the estimated selling price, net of selling costs and a margin on the selling activities. The fair value of work in process was determined based on estimated selling price, net of selling costs and costs to complete the manufacturing, and a margin on the selling and manufacturing activities. The fair value of raw materials was estimated to equal the replacement cost. A step-up in the value of inventory of $1.1 million was originally recorded in connection with the Acquisition and is being amortized through cost of revenue as the underlying product is sold.</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current assets acquired were sample inventory and the rebates for Sunosi sales by the Company after the Initial Closing to be covered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Jazz.</w:t>
      </w:r>
    </w:p>
    <w:p>
      <w:pPr>
        <w:spacing w:after="0" w:line="20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intangible asset is acquired developed technology. Fair value was determined by applying the income approach, which recognizes that the fair value of an asset is premised upon the expected receipt of future economic benefits such as earnings and cash inflows based on current sales projections and estimated direct costs, using a discount rate of 43.5% that reflects the return requirements of the market. The intangible asset is being amortized over an estimated useful life of 10 years.</w:t>
      </w:r>
    </w:p>
    <w:p>
      <w:pPr>
        <w:spacing w:after="0" w:line="180"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Goodwill is considered an indefinite-lived asset and relates primarily to intangible assets that do not qualify for separate recognition, such as the assembled workforce and synergies between the entities. The Company expects that the entire amount of the purchase price allocated to goodwill will be deductible for U.S. income tax purposes over a 15-year period.</w:t>
      </w:r>
    </w:p>
    <w:p>
      <w:pPr>
        <w:spacing w:after="0" w:line="176"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Accrued expenses and other current liabilities acquired were the Company’s assumed sales returns liability for Sunosi after the transaction close date related to Sunosi sales recorded by Jazz prior to the Initial Closing.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Consolidated Financial Information (Unaudited)</w:t>
      </w:r>
    </w:p>
    <w:p>
      <w:pPr>
        <w:spacing w:after="0" w:line="229" w:lineRule="exact"/>
        <w:rPr>
          <w:sz w:val="20"/>
          <w:szCs w:val="20"/>
          <w:color w:val="auto"/>
        </w:rPr>
      </w:pPr>
    </w:p>
    <w:p>
      <w:pPr>
        <w:ind w:right="920" w:firstLine="749"/>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summary presents consolidated information of the Company, including Sunosi, as if the business combination had occurred on January 1, 2022, the earliest period presented herein: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ind w:left="45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3"/>
                <w:szCs w:val="13"/>
                <w:color w:val="auto"/>
              </w:rPr>
            </w:pPr>
          </w:p>
        </w:tc>
        <w:tc>
          <w:tcPr>
            <w:tcW w:w="1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3"/>
        </w:trPr>
        <w:tc>
          <w:tcPr>
            <w:tcW w:w="9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r>
      <w:tr>
        <w:trPr>
          <w:trHeight w:val="210"/>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74,065</w:t>
            </w:r>
          </w:p>
        </w:tc>
        <w:tc>
          <w:tcPr>
            <w:tcW w:w="120" w:type="dxa"/>
            <w:vAlign w:val="bottom"/>
            <w:shd w:val="clear" w:color="auto" w:fill="CFF0FC"/>
          </w:tcPr>
          <w:p>
            <w:pPr>
              <w:spacing w:after="0"/>
              <w:rPr>
                <w:sz w:val="18"/>
                <w:szCs w:val="18"/>
                <w:color w:val="auto"/>
              </w:rPr>
            </w:pPr>
          </w:p>
        </w:tc>
      </w:tr>
      <w:tr>
        <w:trPr>
          <w:trHeight w:val="234"/>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20"/>
                <w:szCs w:val="20"/>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(211,571 )</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Accounts Receivable, net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620" w:type="dxa"/>
            <w:vAlign w:val="bottom"/>
          </w:tcPr>
          <w:p>
            <w:pPr>
              <w:ind w:left="3760"/>
              <w:spacing w:after="0"/>
              <w:rPr>
                <w:sz w:val="20"/>
                <w:szCs w:val="20"/>
                <w:color w:val="auto"/>
              </w:rPr>
            </w:pPr>
            <w:r>
              <w:rPr>
                <w:rFonts w:ascii="Times New Roman" w:cs="Times New Roman" w:eastAsia="Times New Roman" w:hAnsi="Times New Roman"/>
                <w:sz w:val="14"/>
                <w:szCs w:val="14"/>
                <w:b w:val="1"/>
                <w:bCs w:val="1"/>
                <w:color w:val="auto"/>
              </w:rPr>
              <w:t>​</w:t>
            </w:r>
          </w:p>
        </w:tc>
        <w:tc>
          <w:tcPr>
            <w:tcW w:w="3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3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155,505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107,320</w:t>
            </w:r>
          </w:p>
        </w:tc>
        <w:tc>
          <w:tcPr>
            <w:tcW w:w="100" w:type="dxa"/>
            <w:vAlign w:val="bottom"/>
            <w:shd w:val="clear" w:color="auto" w:fill="CFF0FC"/>
          </w:tcPr>
          <w:p>
            <w:pPr>
              <w:spacing w:after="0"/>
              <w:rPr>
                <w:sz w:val="18"/>
                <w:szCs w:val="18"/>
                <w:color w:val="auto"/>
              </w:rPr>
            </w:pPr>
          </w:p>
        </w:tc>
      </w:tr>
      <w:tr>
        <w:trPr>
          <w:trHeight w:val="216"/>
        </w:trPr>
        <w:tc>
          <w:tcPr>
            <w:tcW w:w="4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Reserves for variable consideration</w:t>
            </w:r>
          </w:p>
        </w:tc>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(13,504 )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(12,500 )</w:t>
            </w:r>
          </w:p>
        </w:tc>
      </w:tr>
      <w:tr>
        <w:trPr>
          <w:trHeight w:val="250"/>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142,001</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96"/>
        </w:trPr>
        <w:tc>
          <w:tcPr>
            <w:tcW w:w="4620" w:type="dxa"/>
            <w:vAlign w:val="bottom"/>
          </w:tcPr>
          <w:p>
            <w:pPr>
              <w:spacing w:after="0"/>
              <w:rPr>
                <w:sz w:val="24"/>
                <w:szCs w:val="24"/>
                <w:color w:val="auto"/>
              </w:rPr>
            </w:pPr>
          </w:p>
        </w:tc>
        <w:tc>
          <w:tcPr>
            <w:tcW w:w="3320" w:type="dxa"/>
            <w:vAlign w:val="bottom"/>
            <w:gridSpan w:val="2"/>
          </w:tcPr>
          <w:p>
            <w:pPr>
              <w:jc w:val="right"/>
              <w:ind w:right="2050"/>
              <w:spacing w:after="0"/>
              <w:rPr>
                <w:sz w:val="20"/>
                <w:szCs w:val="20"/>
                <w:color w:val="auto"/>
              </w:rPr>
            </w:pPr>
            <w:r>
              <w:rPr>
                <w:rFonts w:ascii="Times New Roman" w:cs="Times New Roman" w:eastAsia="Times New Roman" w:hAnsi="Times New Roman"/>
                <w:sz w:val="18"/>
                <w:szCs w:val="18"/>
                <w:color w:val="auto"/>
              </w:rPr>
              <w:t>F-21</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62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-976630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-959485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Inventory</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Inventory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ind w:left="37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8,986</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25,464</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There were no material inventory reserves or write downs of any excess and obsolete inventory as of December 31, 2024. Non-current inventory, which consists of raw materials and work in progress inventory, is included in non-current inventory and other assets on the accompanying consolidated balance sheets. Non-current inventory is estimated to be consumed beyond the next 12 months.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balance sheet classification of the Company’s inventory for each of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4640" w:type="dxa"/>
            <w:vAlign w:val="bottom"/>
            <w:gridSpan w:val="2"/>
          </w:tcPr>
          <w:p>
            <w:pPr>
              <w:jc w:val="right"/>
              <w:ind w:right="422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43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4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15,732</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43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10,518</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26,250</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Goodwill</w:t>
            </w:r>
          </w:p>
        </w:tc>
        <w:tc>
          <w:tcPr>
            <w:tcW w:w="4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380" w:type="dxa"/>
            <w:vAlign w:val="bottom"/>
            <w:vMerge w:val="continue"/>
          </w:tcPr>
          <w:p>
            <w:pPr>
              <w:spacing w:after="0"/>
              <w:rPr>
                <w:sz w:val="24"/>
                <w:szCs w:val="24"/>
                <w:color w:val="auto"/>
              </w:rPr>
            </w:pPr>
          </w:p>
        </w:tc>
        <w:tc>
          <w:tcPr>
            <w:tcW w:w="4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2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The following table provides the Company’s carrying amount of goodwill as of December 31, 2024.</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3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4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Additions/adjustments</w:t>
            </w:r>
          </w:p>
        </w:tc>
        <w:tc>
          <w:tcPr>
            <w:tcW w:w="4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-1396365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Intangible Asset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provides the Company’s carrying amount of the intangible asset for each of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14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10"/>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Finite-lived intangible asset</w:t>
            </w:r>
          </w:p>
        </w:tc>
        <w:tc>
          <w:tcPr>
            <w:tcW w:w="22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63,800</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10,514</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53,286</w:t>
            </w:r>
          </w:p>
        </w:tc>
        <w:tc>
          <w:tcPr>
            <w:tcW w:w="240" w:type="dxa"/>
            <w:vAlign w:val="bottom"/>
          </w:tcPr>
          <w:p>
            <w:pPr>
              <w:spacing w:after="0"/>
              <w:rPr>
                <w:sz w:val="18"/>
                <w:szCs w:val="18"/>
                <w:color w:val="auto"/>
              </w:rPr>
            </w:pPr>
          </w:p>
        </w:tc>
        <w:tc>
          <w:tcPr>
            <w:tcW w:w="1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9-years</w:t>
            </w: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Finite-lived intangible asset</w:t>
            </w:r>
          </w:p>
        </w:tc>
        <w:tc>
          <w:tcPr>
            <w:tcW w:w="22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63,800</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46,894</w:t>
            </w:r>
          </w:p>
        </w:tc>
        <w:tc>
          <w:tcPr>
            <w:tcW w:w="240" w:type="dxa"/>
            <w:vAlign w:val="bottom"/>
          </w:tcPr>
          <w:p>
            <w:pPr>
              <w:spacing w:after="0"/>
              <w:rPr>
                <w:sz w:val="20"/>
                <w:szCs w:val="20"/>
                <w:color w:val="auto"/>
              </w:rPr>
            </w:pPr>
          </w:p>
        </w:tc>
        <w:tc>
          <w:tcPr>
            <w:tcW w:w="1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8-years</w:t>
            </w:r>
          </w:p>
        </w:tc>
        <w:tc>
          <w:tcPr>
            <w:tcW w:w="0" w:type="dxa"/>
            <w:vAlign w:val="bottom"/>
          </w:tcPr>
          <w:p>
            <w:pPr>
              <w:spacing w:after="0"/>
              <w:rPr>
                <w:sz w:val="1"/>
                <w:szCs w:val="1"/>
                <w:color w:val="auto"/>
              </w:rPr>
            </w:pPr>
          </w:p>
        </w:tc>
      </w:tr>
      <w:tr>
        <w:trPr>
          <w:trHeight w:val="684"/>
        </w:trPr>
        <w:tc>
          <w:tcPr>
            <w:tcW w:w="3840" w:type="dxa"/>
            <w:vAlign w:val="bottom"/>
          </w:tcPr>
          <w:p>
            <w:pPr>
              <w:spacing w:after="0"/>
              <w:rPr>
                <w:sz w:val="24"/>
                <w:szCs w:val="24"/>
                <w:color w:val="auto"/>
              </w:rPr>
            </w:pPr>
          </w:p>
        </w:tc>
        <w:tc>
          <w:tcPr>
            <w:tcW w:w="22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F-22</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8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Based on the finite-lived intangible asset recorded as of December 31, 2024, and assuming the underlying asset will not be impaired and that the Company will not change the expected life of the asset, future amortization expense over the next five years and periods thereafter are estimated to be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Estimated amortization</w:t>
            </w:r>
          </w:p>
        </w:tc>
      </w:tr>
      <w:tr>
        <w:trPr>
          <w:trHeight w:val="173"/>
        </w:trPr>
        <w:tc>
          <w:tcPr>
            <w:tcW w:w="9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09"/>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15,002</w:t>
            </w:r>
          </w:p>
        </w:tc>
        <w:tc>
          <w:tcPr>
            <w:tcW w:w="120" w:type="dxa"/>
            <w:vAlign w:val="bottom"/>
          </w:tcPr>
          <w:p>
            <w:pPr>
              <w:spacing w:after="0"/>
              <w:rPr>
                <w:sz w:val="18"/>
                <w:szCs w:val="18"/>
                <w:color w:val="auto"/>
              </w:rPr>
            </w:pPr>
          </w:p>
        </w:tc>
      </w:tr>
      <w:tr>
        <w:trPr>
          <w:trHeight w:val="249"/>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46,894</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Fair Value of Financial Instruments</w:t>
      </w:r>
    </w:p>
    <w:p>
      <w:pPr>
        <w:spacing w:after="0" w:line="22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the Company pays royalty on U.S. net sales of Sunosi to Jazz. The discounted cash flow method used to value this contingent consideration includes inputs of not readily observable market data, which are Level 3 inputs. The fair value of the contingent consideration is reflected as current accrued contingent consideration of $8.3 million and non-current contingent consideration liability of $91.7 million in the consolidated balance sheet as of December 31, 2024.</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of financial instruments measured on a recurring basis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5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 - money market 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244,097</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244,097</w:t>
            </w:r>
          </w:p>
        </w:tc>
        <w:tc>
          <w:tcPr>
            <w:tcW w:w="120" w:type="dxa"/>
            <w:vAlign w:val="bottom"/>
          </w:tcPr>
          <w:p>
            <w:pPr>
              <w:spacing w:after="0"/>
              <w:rPr>
                <w:sz w:val="18"/>
                <w:szCs w:val="18"/>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99,965</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99,965</w:t>
            </w:r>
          </w:p>
        </w:tc>
        <w:tc>
          <w:tcPr>
            <w:tcW w:w="120" w:type="dxa"/>
            <w:vAlign w:val="bottom"/>
          </w:tcPr>
          <w:p>
            <w:pPr>
              <w:spacing w:after="0"/>
              <w:rPr>
                <w:sz w:val="20"/>
                <w:szCs w:val="20"/>
                <w:color w:val="auto"/>
              </w:rPr>
            </w:pPr>
          </w:p>
        </w:tc>
      </w:tr>
      <w:tr>
        <w:trPr>
          <w:trHeight w:val="427"/>
        </w:trPr>
        <w:tc>
          <w:tcPr>
            <w:tcW w:w="5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5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 - money market 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251,768</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251,768</w:t>
            </w:r>
          </w:p>
        </w:tc>
        <w:tc>
          <w:tcPr>
            <w:tcW w:w="120" w:type="dxa"/>
            <w:vAlign w:val="bottom"/>
          </w:tcPr>
          <w:p>
            <w:pPr>
              <w:spacing w:after="0"/>
              <w:rPr>
                <w:sz w:val="18"/>
                <w:szCs w:val="18"/>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79,707</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79,707</w:t>
            </w:r>
          </w:p>
        </w:tc>
        <w:tc>
          <w:tcPr>
            <w:tcW w:w="12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 Liabilities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of the contingent consideration liabilities is marked-to-market each reporting period and was remeasured at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fair value of the contingent consideration liabilities as of December 31, 2024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Contingent consideration</w:t>
            </w:r>
          </w:p>
        </w:tc>
        <w:tc>
          <w:tcPr>
            <w:tcW w:w="120" w:type="dxa"/>
            <w:vAlign w:val="bottom"/>
          </w:tcPr>
          <w:p>
            <w:pPr>
              <w:spacing w:after="0"/>
              <w:rPr>
                <w:sz w:val="15"/>
                <w:szCs w:val="15"/>
                <w:color w:val="auto"/>
              </w:rPr>
            </w:pPr>
          </w:p>
        </w:tc>
      </w:tr>
      <w:tr>
        <w:trPr>
          <w:trHeight w:val="209"/>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79,707</w:t>
            </w:r>
          </w:p>
        </w:tc>
        <w:tc>
          <w:tcPr>
            <w:tcW w:w="120" w:type="dxa"/>
            <w:vAlign w:val="bottom"/>
            <w:shd w:val="clear" w:color="auto" w:fill="CFF0FC"/>
          </w:tcPr>
          <w:p>
            <w:pPr>
              <w:spacing w:after="0"/>
              <w:rPr>
                <w:sz w:val="18"/>
                <w:szCs w:val="18"/>
                <w:color w:val="auto"/>
              </w:rPr>
            </w:pPr>
          </w:p>
        </w:tc>
      </w:tr>
      <w:tr>
        <w:trPr>
          <w:trHeight w:val="216"/>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Adjustment to fair value</w:t>
            </w:r>
          </w:p>
        </w:tc>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28,124</w:t>
            </w:r>
          </w:p>
        </w:tc>
        <w:tc>
          <w:tcPr>
            <w:tcW w:w="120" w:type="dxa"/>
            <w:vAlign w:val="bottom"/>
          </w:tcPr>
          <w:p>
            <w:pPr>
              <w:spacing w:after="0"/>
              <w:rPr>
                <w:sz w:val="18"/>
                <w:szCs w:val="18"/>
                <w:color w:val="auto"/>
              </w:rPr>
            </w:pPr>
          </w:p>
        </w:tc>
      </w:tr>
      <w:tr>
        <w:trPr>
          <w:trHeight w:val="216"/>
        </w:trPr>
        <w:tc>
          <w:tcPr>
            <w:tcW w:w="4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w:t>
            </w:r>
          </w:p>
        </w:tc>
        <w:tc>
          <w:tcPr>
            <w:tcW w:w="5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(7,866 )</w:t>
            </w:r>
          </w:p>
        </w:tc>
      </w:tr>
      <w:tr>
        <w:trPr>
          <w:trHeight w:val="228"/>
        </w:trPr>
        <w:tc>
          <w:tcPr>
            <w:tcW w:w="42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2024 (Level 3)</w:t>
            </w:r>
          </w:p>
        </w:tc>
        <w:tc>
          <w:tcPr>
            <w:tcW w:w="502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99,965</w:t>
            </w:r>
          </w:p>
        </w:tc>
        <w:tc>
          <w:tcPr>
            <w:tcW w:w="120" w:type="dxa"/>
            <w:vAlign w:val="bottom"/>
            <w:tcBorders>
              <w:top w:val="single" w:sz="8" w:color="CFF0FC"/>
            </w:tcBorders>
          </w:tcPr>
          <w:p>
            <w:pPr>
              <w:spacing w:after="0"/>
              <w:rPr>
                <w:sz w:val="19"/>
                <w:szCs w:val="19"/>
                <w:color w:val="auto"/>
              </w:rPr>
            </w:pPr>
          </w:p>
        </w:tc>
      </w:tr>
      <w:tr>
        <w:trPr>
          <w:trHeight w:val="697"/>
        </w:trPr>
        <w:tc>
          <w:tcPr>
            <w:tcW w:w="4200" w:type="dxa"/>
            <w:vAlign w:val="bottom"/>
          </w:tcPr>
          <w:p>
            <w:pPr>
              <w:spacing w:after="0"/>
              <w:rPr>
                <w:sz w:val="24"/>
                <w:szCs w:val="24"/>
                <w:color w:val="auto"/>
              </w:rPr>
            </w:pPr>
          </w:p>
        </w:tc>
        <w:tc>
          <w:tcPr>
            <w:tcW w:w="5160" w:type="dxa"/>
            <w:vAlign w:val="bottom"/>
            <w:gridSpan w:val="2"/>
          </w:tcPr>
          <w:p>
            <w:pPr>
              <w:jc w:val="right"/>
              <w:ind w:right="3470"/>
              <w:spacing w:after="0"/>
              <w:rPr>
                <w:sz w:val="20"/>
                <w:szCs w:val="20"/>
                <w:color w:val="auto"/>
              </w:rPr>
            </w:pPr>
            <w:r>
              <w:rPr>
                <w:rFonts w:ascii="Times New Roman" w:cs="Times New Roman" w:eastAsia="Times New Roman" w:hAnsi="Times New Roman"/>
                <w:sz w:val="18"/>
                <w:szCs w:val="18"/>
                <w:color w:val="auto"/>
              </w:rPr>
              <w:t>F-23</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20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-1096645</wp:posOffset>
            </wp:positionV>
            <wp:extent cx="774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recurring Level 3 fair value measurements of contingent consideration for which a liability is recorded include the following significant unobservable inputs: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w:t>
            </w: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117"/>
        </w:trPr>
        <w:tc>
          <w:tcPr>
            <w:tcW w:w="16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2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180" w:type="dxa"/>
            <w:vAlign w:val="bottom"/>
            <w:tcBorders>
              <w:top w:val="single" w:sz="8" w:color="auto"/>
            </w:tcBorders>
          </w:tcPr>
          <w:p>
            <w:pPr>
              <w:jc w:val="center"/>
              <w:ind w:right="122"/>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 (range, if</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200" w:type="dxa"/>
            <w:vAlign w:val="bottom"/>
            <w:tcBorders>
              <w:top w:val="single" w:sz="8" w:color="auto"/>
            </w:tcBorders>
          </w:tcPr>
          <w:p>
            <w:pPr>
              <w:jc w:val="center"/>
              <w:ind w:right="102"/>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 (range, if</w:t>
            </w:r>
          </w:p>
        </w:tc>
      </w:tr>
      <w:tr>
        <w:trPr>
          <w:trHeight w:val="173"/>
        </w:trPr>
        <w:tc>
          <w:tcPr>
            <w:tcW w:w="1660" w:type="dxa"/>
            <w:vAlign w:val="bottom"/>
            <w:gridSpan w:val="2"/>
          </w:tcPr>
          <w:p>
            <w:pPr>
              <w:ind w:left="1580"/>
              <w:spacing w:after="0"/>
              <w:rPr>
                <w:sz w:val="20"/>
                <w:szCs w:val="20"/>
                <w:color w:val="auto"/>
              </w:rPr>
            </w:pPr>
            <w:r>
              <w:rPr>
                <w:rFonts w:ascii="Times New Roman" w:cs="Times New Roman" w:eastAsia="Times New Roman" w:hAnsi="Times New Roman"/>
                <w:sz w:val="14"/>
                <w:szCs w:val="14"/>
                <w:color w:val="auto"/>
              </w:rPr>
              <w:t>​</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methodology</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Significant unobservable input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1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applicable)</w:t>
            </w:r>
          </w:p>
        </w:tc>
      </w:tr>
      <w:tr>
        <w:trPr>
          <w:trHeight w:val="191"/>
        </w:trPr>
        <w:tc>
          <w:tcPr>
            <w:tcW w:w="1600" w:type="dxa"/>
            <w:vAlign w:val="bottom"/>
            <w:shd w:val="clear" w:color="auto" w:fill="CFF0FC"/>
          </w:tcPr>
          <w:p>
            <w:pPr>
              <w:ind w:left="320"/>
              <w:spacing w:after="0" w:line="191" w:lineRule="exact"/>
              <w:rPr>
                <w:sz w:val="20"/>
                <w:szCs w:val="20"/>
                <w:color w:val="auto"/>
              </w:rPr>
            </w:pPr>
            <w:r>
              <w:rPr>
                <w:rFonts w:ascii="Times New Roman" w:cs="Times New Roman" w:eastAsia="Times New Roman" w:hAnsi="Times New Roman"/>
                <w:sz w:val="18"/>
                <w:szCs w:val="18"/>
                <w:color w:val="auto"/>
              </w:rPr>
              <w:t>Contingent</w:t>
            </w:r>
          </w:p>
        </w:tc>
        <w:tc>
          <w:tcPr>
            <w:tcW w:w="60" w:type="dxa"/>
            <w:vAlign w:val="bottom"/>
            <w:tcBorders>
              <w:top w:val="single" w:sz="8" w:color="auto"/>
            </w:tcBorders>
            <w:shd w:val="clear" w:color="auto" w:fill="CFF0FC"/>
          </w:tcPr>
          <w:p>
            <w:pPr>
              <w:spacing w:after="0"/>
              <w:rPr>
                <w:sz w:val="16"/>
                <w:szCs w:val="16"/>
                <w:color w:val="auto"/>
              </w:rPr>
            </w:pPr>
          </w:p>
        </w:tc>
        <w:tc>
          <w:tcPr>
            <w:tcW w:w="2260" w:type="dxa"/>
            <w:vAlign w:val="bottom"/>
            <w:tcBorders>
              <w:top w:val="single" w:sz="8" w:color="auto"/>
            </w:tcBorders>
            <w:shd w:val="clear" w:color="auto" w:fill="CFF0FC"/>
          </w:tcPr>
          <w:p>
            <w:pPr>
              <w:ind w:left="40"/>
              <w:spacing w:after="0" w:line="191" w:lineRule="exact"/>
              <w:rPr>
                <w:sz w:val="20"/>
                <w:szCs w:val="20"/>
                <w:color w:val="auto"/>
              </w:rPr>
            </w:pPr>
            <w:r>
              <w:rPr>
                <w:rFonts w:ascii="Times New Roman" w:cs="Times New Roman" w:eastAsia="Times New Roman" w:hAnsi="Times New Roman"/>
                <w:sz w:val="18"/>
                <w:szCs w:val="18"/>
                <w:color w:val="auto"/>
              </w:rPr>
              <w:t>Probability weighted income</w:t>
            </w:r>
          </w:p>
        </w:tc>
        <w:tc>
          <w:tcPr>
            <w:tcW w:w="120" w:type="dxa"/>
            <w:vAlign w:val="bottom"/>
            <w:shd w:val="clear" w:color="auto" w:fill="CFF0FC"/>
          </w:tcPr>
          <w:p>
            <w:pPr>
              <w:spacing w:after="0"/>
              <w:rPr>
                <w:sz w:val="16"/>
                <w:szCs w:val="16"/>
                <w:color w:val="auto"/>
              </w:rPr>
            </w:pPr>
          </w:p>
        </w:tc>
        <w:tc>
          <w:tcPr>
            <w:tcW w:w="2320" w:type="dxa"/>
            <w:vAlign w:val="bottom"/>
            <w:tcBorders>
              <w:top w:val="single" w:sz="8" w:color="auto"/>
            </w:tcBorders>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Discount rate</w:t>
            </w:r>
          </w:p>
        </w:tc>
        <w:tc>
          <w:tcPr>
            <w:tcW w:w="1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2180" w:type="dxa"/>
            <w:vAlign w:val="bottom"/>
            <w:tcBorders>
              <w:top w:val="single" w:sz="8" w:color="auto"/>
            </w:tcBorders>
            <w:shd w:val="clear" w:color="auto" w:fill="CFF0FC"/>
          </w:tcPr>
          <w:p>
            <w:pPr>
              <w:jc w:val="right"/>
              <w:ind w:right="862"/>
              <w:spacing w:after="0" w:line="191" w:lineRule="exact"/>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2200" w:type="dxa"/>
            <w:vAlign w:val="bottom"/>
            <w:tcBorders>
              <w:top w:val="single" w:sz="8" w:color="auto"/>
            </w:tcBorders>
            <w:shd w:val="clear" w:color="auto" w:fill="CFF0FC"/>
          </w:tcPr>
          <w:p>
            <w:pPr>
              <w:jc w:val="right"/>
              <w:ind w:right="862"/>
              <w:spacing w:after="0" w:line="191" w:lineRule="exact"/>
              <w:rPr>
                <w:sz w:val="20"/>
                <w:szCs w:val="20"/>
                <w:color w:val="auto"/>
              </w:rPr>
            </w:pPr>
            <w:r>
              <w:rPr>
                <w:rFonts w:ascii="Times New Roman" w:cs="Times New Roman" w:eastAsia="Times New Roman" w:hAnsi="Times New Roman"/>
                <w:sz w:val="18"/>
                <w:szCs w:val="18"/>
                <w:color w:val="auto"/>
              </w:rPr>
              <w:t>13.2%</w:t>
            </w:r>
          </w:p>
        </w:tc>
      </w:tr>
      <w:tr>
        <w:trPr>
          <w:trHeight w:val="234"/>
        </w:trPr>
        <w:tc>
          <w:tcPr>
            <w:tcW w:w="16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consideration</w:t>
            </w: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approach</w:t>
            </w:r>
          </w:p>
        </w:tc>
        <w:tc>
          <w:tcPr>
            <w:tcW w:w="120" w:type="dxa"/>
            <w:vAlign w:val="bottom"/>
            <w:shd w:val="clear" w:color="auto" w:fill="CFF0FC"/>
          </w:tcPr>
          <w:p>
            <w:pPr>
              <w:spacing w:after="0"/>
              <w:rPr>
                <w:sz w:val="20"/>
                <w:szCs w:val="20"/>
                <w:color w:val="auto"/>
              </w:rPr>
            </w:pPr>
          </w:p>
        </w:tc>
        <w:tc>
          <w:tcPr>
            <w:tcW w:w="2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0" w:type="dxa"/>
            <w:vAlign w:val="bottom"/>
            <w:shd w:val="clear" w:color="auto" w:fill="CFF0FC"/>
          </w:tcPr>
          <w:p>
            <w:pPr>
              <w:spacing w:after="0"/>
              <w:rPr>
                <w:sz w:val="20"/>
                <w:szCs w:val="20"/>
                <w:color w:val="auto"/>
              </w:rPr>
            </w:pPr>
          </w:p>
        </w:tc>
      </w:tr>
      <w:tr>
        <w:trPr>
          <w:trHeight w:val="234"/>
        </w:trPr>
        <w:tc>
          <w:tcPr>
            <w:tcW w:w="1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Revenue discount rate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tcPr>
          <w:p>
            <w:pPr>
              <w:jc w:val="right"/>
              <w:ind w:right="542"/>
              <w:spacing w:after="0"/>
              <w:rPr>
                <w:sz w:val="20"/>
                <w:szCs w:val="20"/>
                <w:color w:val="auto"/>
              </w:rPr>
            </w:pPr>
            <w:r>
              <w:rPr>
                <w:rFonts w:ascii="Times New Roman" w:cs="Times New Roman" w:eastAsia="Times New Roman" w:hAnsi="Times New Roman"/>
                <w:sz w:val="18"/>
                <w:szCs w:val="18"/>
                <w:color w:val="auto"/>
              </w:rPr>
              <w:t>17.6% - 20.6%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tcPr>
          <w:p>
            <w:pPr>
              <w:jc w:val="right"/>
              <w:ind w:right="562"/>
              <w:spacing w:after="0"/>
              <w:rPr>
                <w:sz w:val="20"/>
                <w:szCs w:val="20"/>
                <w:color w:val="auto"/>
              </w:rPr>
            </w:pPr>
            <w:r>
              <w:rPr>
                <w:rFonts w:ascii="Times New Roman" w:cs="Times New Roman" w:eastAsia="Times New Roman" w:hAnsi="Times New Roman"/>
                <w:sz w:val="18"/>
                <w:szCs w:val="18"/>
                <w:color w:val="auto"/>
              </w:rPr>
              <w:t>16.4% - 19.4%</w:t>
            </w:r>
          </w:p>
        </w:tc>
      </w:tr>
    </w:tbl>
    <w:p>
      <w:pPr>
        <w:spacing w:after="0" w:line="17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Company’s fair value measurement of contingent consideration liabilities has been classified as Level 3 as its valuation requires substantial judgment and estimation of factors which requires use of unobservable inputs. The fair value of contingent consideration liabilities are estimated by using the probability weighted income approach using significant assumptions including estimated future sales of Sunosi in current and future indications, timing of regulatory and commercial milestone achievements, probability of technical and regulatory success rates, and discount rates. If significant changes are made to one or more of these assumptions, the estimated fair value of contingent consideration liabilities may result in a significantly higher or lower fair value measurement.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Accrued Expenses and Other Current Liabilities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ind w:left="37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14,431</w:t>
            </w:r>
          </w:p>
        </w:tc>
        <w:tc>
          <w:tcPr>
            <w:tcW w:w="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selling, general, and administrative</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discounts, rebates, and allowances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liability, current</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147,987</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90,501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Loan and Security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Hercules Capital, Inc.</w:t>
      </w:r>
    </w:p>
    <w:p>
      <w:pPr>
        <w:spacing w:after="0" w:line="227"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For the purposes of this Note 10, capitalized terms used but not otherwise defined herein shall have the meanings assigned to them in the Loan Agreement (as defined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Fifth Amendment to the Loan Agreement</w:t>
      </w:r>
    </w:p>
    <w:p>
      <w:pPr>
        <w:spacing w:after="0" w:line="22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On September 30, 2024, the Company entered into a Fifth Amendment (the “Fifth Amendment”) to its Loan and Security Agreement, dated as of September 25, 2020 (as amended by that certain First Amendment to Loan and Security Agreement, dated as of October 14, 2021, as further amended by the Second Amendment to Loan and Security Agreement, dated as of March 27, 2022, as further amended by the Third Amendment to Loan and Security Agreement, dated as of January 9, 2023, and as further amended by the Waiver and Fourth Amendment to Loan and Security Agreement, dated as of May 8, 2023) (the “Loan Agreement”) with Hercules Capital, Inc., a Maryland corporation (“Hercules”), in its capacity as administrative agent and collateral agent, and the other financial institutions or entities party thereto as lenders (collectively, the “Lenders”), with respect to the term loan thereunder (the “2020 Term Loan”).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Fifth Amendment amended the terms of the Loan Agreement to, among other things: (i) increase the Tranche 3 Commitment from $75.0 to $80.0 million; (ii) extend the availability periods of Tranche 1D to June 15, 2025 and that of Tranche 1E to December 15, 2025, as set forth in greater detail in the Fifth Amendment; (iii) alter the terms of Performance Covenant A, Performance Covenant B, and Performance Covenant C and also add a Performance Covenant D, as set forth in greater detail in the Fifth Amendment; (iv) conditionally waive the requirement that the Company maintain Qualified Cash in an amount greater than or equal to the sum of $30.0 million plus the Qualified Cash A/P Amount at all times during such periods of time that the Company’s Market Capitalization exceeds $1.5 billion; and (v) permit Axsome Malta Ltd. (“Axsome Malta”) to request an Advance from the Lenders up to a certain amount to the extent that the Company may request an Advance in such amount and to increase the amount of Cash that Axsome Malta may hold outside of the United States, as set forth in greater detail in the Fifth Amendment.</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Waiver and Fourth Amendment (the “Fourth Amendment”) to the Loan Agreement with Hercules and the Third Amendment (the “Third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to the Loan Agreement with Hercules incorporate the following amendments:</w:t>
      </w:r>
    </w:p>
    <w:p>
      <w:pPr>
        <w:spacing w:after="0" w:line="99" w:lineRule="exact"/>
        <w:rPr>
          <w:sz w:val="20"/>
          <w:szCs w:val="20"/>
          <w:color w:val="auto"/>
        </w:rPr>
      </w:pPr>
    </w:p>
    <w:p>
      <w:pPr>
        <w:ind w:left="1020" w:right="44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of cash held by Axsome Malta outside of the United States from $3.0 million to $15.0 million for a 45-day period after the closing of the Fourth Amendment and to $10.0 million thereafter;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waiver of any purported default with respect to the amount of cash held by Axsome Malta prior to the date of the Fourth Amendment;</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2023, Hercules granted the Company a waiver to the Fourth Amendment, permitting Axsome Malta to hold up to $12.5 million in Cash outside of the United States until December 31, 2023;</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maturity date to January 1, 2028, unless the Company meets certain revenue targets as described in the Loan Agreement, in which case the Company can extend the maturity date to January 1, 2029;</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aggregate principal amount under the Loan Agreement from $300.0 million to $350.0 million;</w:t>
      </w:r>
    </w:p>
    <w:p>
      <w:pPr>
        <w:spacing w:after="0" w:line="117" w:lineRule="exact"/>
        <w:rPr>
          <w:rFonts w:ascii="Times New Roman" w:cs="Times New Roman" w:eastAsia="Times New Roman" w:hAnsi="Times New Roman"/>
          <w:sz w:val="18"/>
          <w:szCs w:val="18"/>
          <w:color w:val="auto"/>
        </w:rPr>
      </w:pPr>
    </w:p>
    <w:p>
      <w:pPr>
        <w:ind w:left="1020" w:right="20" w:hanging="503"/>
        <w:spacing w:after="0" w:line="25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in the Loan Agreement, change the term loan advance amounts and availability dates under the Tranche 1 Advance through Tranche 5 Advance, including increasing the Tranche 1 Advance from one tranche of $95.0 million to five sub-tranches of $95.0 million, $55.0 million, $30.0 million, $35.0 million, and $35.0 million, respectively, changing the Tranche 2 Advance from three sub-tranches of $35.0 million, $35.0 million, and $30.0 million, respectively, to one tranche of $25.0 million, changing the Tranche 3 Advance from two sub-tranches of $15.0 million and $5.0 million, respectively, to one tranche of $75.0 million, and removing the Tranche 4 Advance and Tranche 5 Advance entirely;</w:t>
      </w:r>
    </w:p>
    <w:p>
      <w:pPr>
        <w:spacing w:after="0" w:line="7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the interest rate applicable to extensions of credit under the Loan Agreement to equal (a) if the prime rate is greater than or equal to</w:t>
      </w:r>
    </w:p>
    <w:p>
      <w:pPr>
        <w:spacing w:after="0" w:line="27" w:lineRule="exact"/>
        <w:rPr>
          <w:rFonts w:ascii="Times New Roman" w:cs="Times New Roman" w:eastAsia="Times New Roman" w:hAnsi="Times New Roman"/>
          <w:sz w:val="18"/>
          <w:szCs w:val="18"/>
          <w:color w:val="auto"/>
        </w:rPr>
      </w:pPr>
    </w:p>
    <w:p>
      <w:pPr>
        <w:ind w:left="1020"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 the greater of either (i) the prime rate plus 2.20%, and (ii) 9.95%, but in no event greater than 10.70%, and (b) if the prime rate is less than 7.00%, 9.70%;</w:t>
      </w:r>
    </w:p>
    <w:p>
      <w:pPr>
        <w:spacing w:after="0" w:line="7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minimum cash requirement of the Company to the sum of $30.0 million plus the Qualified Cash A/P Amount; and</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Company to pay a facility fee equal to 0.75% of the amount of principal actually funded pursuant to the Tranche 1B Advance, Tranche 1C Advance, Tranche 1D Advance, Tranche 1E Advance, Tranche 2 Advance, and Tranche 3 Advance.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the Company had allowed Tranche 2, which totaled $25.0 million, to expire undrawn.</w:t>
      </w:r>
    </w:p>
    <w:p>
      <w:pPr>
        <w:spacing w:after="0" w:line="225"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On October 14, 2021, the Company entered into a First Amendment to the Loan and Security Agreement with Hercules. On March 27, 2022, in connection with the Acquisition (as described above), the Company entered into a Second Amendment to the Loan and Security Agreement (the “Second Amendment”) with Hercules. The Second Amendment closed on May 9, 2022, concurrently with the closing of the Acquisition.</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As collateral for the obligations, the Company has granted to Hercules a senior security interest in all of the Company’s right, title, and interest in, to and under all of the Company’s property, inclusive of intellectual property, which includes one of the Company’s existing license agreements (the “License Agreement”) with Antecip, an entity owned by Axsome’s Chief Executive Officer and Chairman of the Board, Herriot Tabuteau, M.D., subject to limited exceptions. Antecip consented to the collateral assignment of the License Agreement, among other things, under a direct agreement (the “Direct Agreement”) with the Company, Antecip and Hercules.</w:t>
      </w:r>
    </w:p>
    <w:p>
      <w:pPr>
        <w:spacing w:after="0" w:line="183"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The Loan Agreement contains customary representations, warranties and covenants, including covenants by the Company limiting additional indebtedness, liens (including a negative pledge on intellectual property and other assets), guaranties, mergers and consolidations, substantial asset sales, investments and loans, certain corporate changes, transactions with affiliates and fundamental changes. At the initial closing, there were no applicable financial covenants contained in the Loan Agreement. Effective upon closing of the Fifth Amendment in September 2024, the following limited financial covenants apply:</w:t>
      </w:r>
    </w:p>
    <w:p>
      <w:pPr>
        <w:spacing w:after="0" w:line="75" w:lineRule="exact"/>
        <w:rPr>
          <w:sz w:val="20"/>
          <w:szCs w:val="20"/>
          <w:color w:val="auto"/>
        </w:rPr>
      </w:pPr>
    </w:p>
    <w:p>
      <w:pPr>
        <w:ind w:left="1020" w:right="360" w:hanging="503"/>
        <w:spacing w:after="0" w:line="266"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at all times must maintain Qualified Cash in an aggregate amount greater than or equal to $30.0 million plus the Qualified Cash A/P Amount; provided that compliance with such covenant shall be conditionally waived during such periods of time that the Company’s Market Capitalization exceeds $1.5 billion.</w:t>
      </w:r>
    </w:p>
    <w:p>
      <w:pPr>
        <w:spacing w:after="0" w:line="67"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meet, beginning June 30, 2023, any of the following conditions: (A) ensure that at all times its market capitalization exceeds $1.0 billion and that it maintains Qualified Cash in an amount not less than 30% of the sum of the outstanding principal amount of the Term Loan Advances plus the Qualified Cash A/P Amount, (B) ensure that at all times that it maintains Qualified Cash in an amount not less than 50% of the sum of the outstanding principal amount of the Term Loan Advances plus the Qualified Cash A/P Amount, or (C) ensure that at all times its market capitalization exceeds $1.5 billion. Alternatively, the Company must, beginning with fiscal quarter ending September 30, 2024, and for each quarter thereafter, achieve T6M Net Product Revenue in an amount equal to at least the amount set forth on Schedule 7.20(b) of the Loan Agreement opposite the last day of each fiscal quarter identified in the table therein, tested on a quarterly basis.</w:t>
      </w:r>
    </w:p>
    <w:p>
      <w:pPr>
        <w:spacing w:after="0" w:line="80"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Axsome Malta, a company organized under the laws of the Republic of Malta, may request an Advance from the Lenders up to a certain amount to the extent that the Company may request an Advance in such amount, and Axsome Malta may not hold Cash outside of the United States in excess of the sum of $10.0 million and the aggregate outstanding principal amount of Advances drawn by Axsome Malta.</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Company’s ability to incur additional indebtedness, pay dividends, encumber its intellectual property, or engage in certain fundamental business transactions, such as mergers or acquisitions of other businesses, with certain exceptions.</w:t>
      </w:r>
    </w:p>
    <w:p>
      <w:pPr>
        <w:spacing w:after="0" w:line="162"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Company’s obligations under the Loan Agreement are subject to acceleration upon the occurrence of specified events of default, including payment default, insolvency and a material adverse change in the Borrower’s business, operations or financial or other condition.</w:t>
      </w:r>
    </w:p>
    <w:p>
      <w:pPr>
        <w:spacing w:after="0" w:line="162"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In addition, the Company is required to pay certain end of term charges, including (A) an initial end of term charge of $4.45 million and (B) a subsequent end of term charge of (i) 1.10% of the aggregate amount of all Tranche 1A Advances plus (ii) 4.95% of the aggregate amount of all term loan advances (other than Tranche 1A Advances) funded minus (iii) any charges paid by the Borrower to the Lenders related to partial prepayments of the outstanding Secured Obligations. The end of term charges are being accreted into interest expense using the effective interest rate method over the term of the loan.</w:t>
      </w:r>
    </w:p>
    <w:p>
      <w:pPr>
        <w:spacing w:after="0" w:line="183"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If certain maturity extension conditions are satisfied, the Company must pay an extension end of term charge equal to 1.00% of the aggregate amount of all Term Loan Advances outstanding as of the date on which the maturity extension conditions are satisfied, in addition to the end of term charges described above.</w:t>
      </w:r>
    </w:p>
    <w:p>
      <w:pPr>
        <w:spacing w:after="0" w:line="176"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The Company may, at its option prepay the term loans in full or in part, subject to a prepayment penalty equal to (i) 2.0% of the Advance amount prepaid if the prepayment occurs prior to February 1, 2024, (ii) 1.5% of the Advance amount prepaid if the prepayment occurs on or after February 1, 2024 but prior to February 1, 2025, and (iii) 1.0% of the Advance amount prepaid if the prepayment occurs on or after February 1, 2025 but prior to February 1, 2026.</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20" w:firstLine="749"/>
        <w:spacing w:after="0" w:line="277" w:lineRule="auto"/>
        <w:rPr>
          <w:sz w:val="20"/>
          <w:szCs w:val="20"/>
          <w:color w:val="auto"/>
        </w:rPr>
      </w:pPr>
      <w:r>
        <w:rPr>
          <w:rFonts w:ascii="Times New Roman" w:cs="Times New Roman" w:eastAsia="Times New Roman" w:hAnsi="Times New Roman"/>
          <w:sz w:val="17"/>
          <w:szCs w:val="17"/>
          <w:color w:val="auto"/>
        </w:rPr>
        <w:t xml:space="preserve">The Company evaluated whether the Third Amendment entered into in January 2023 represented a debt modification or extinguishment in accordance with ASC 470-50, </w:t>
      </w:r>
      <w:r>
        <w:rPr>
          <w:rFonts w:ascii="Times New Roman" w:cs="Times New Roman" w:eastAsia="Times New Roman" w:hAnsi="Times New Roman"/>
          <w:sz w:val="17"/>
          <w:szCs w:val="17"/>
          <w:i w:val="1"/>
          <w:iCs w:val="1"/>
          <w:color w:val="auto"/>
        </w:rPr>
        <w:t>Debt – Modifications and Extinguishments</w:t>
      </w:r>
      <w:r>
        <w:rPr>
          <w:rFonts w:ascii="Times New Roman" w:cs="Times New Roman" w:eastAsia="Times New Roman" w:hAnsi="Times New Roman"/>
          <w:sz w:val="17"/>
          <w:szCs w:val="17"/>
          <w:color w:val="auto"/>
        </w:rPr>
        <w:t>. As the present value of the cash flows under the terms of the Third Amendment is less than 10% different from the remaining cash flows under the terms of the Second Amendment, the Third Amendment was accounted for as a debt modification. The unamortized balance of debt discount costs incurred in connection with those loans and additional debt discount costs incurred in connection with entry into the Third Amendment are being amortized through maturity in January 2028 utilizing the effective interest rate method.</w:t>
      </w:r>
    </w:p>
    <w:p>
      <w:pPr>
        <w:spacing w:after="0" w:line="168"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The Company also evaluated whether the Fifth Amendment entered into September 2024 represented a debt modification or extinguishment in accordance with ASC 470. As the terms of the Fifth Amendment are not substantially different as compared to that of the Fourth Amendment, the Company treated the amendment as a debt modification.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Interest Expense and Amortization</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Long-term debt and unamortized debt discount balances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ind w:left="37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outstanding debt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180,000</w:t>
            </w: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180,000</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 accreted final payment fee</w:t>
            </w:r>
          </w:p>
        </w:tc>
        <w:tc>
          <w:tcPr>
            <w:tcW w:w="22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4,085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2,610</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unamortized debt discount, long-term</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(3,375 )</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(4,540 )</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 payable, long-term</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180,710</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178,070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book value of debt approximates its fair value given its variable interest rate.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expense, amortization of the final payment fee, amortization of the debt discount related to the issuance costs and warrants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debt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34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19,254</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17,514</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100" w:type="dxa"/>
            <w:vAlign w:val="bottom"/>
            <w:shd w:val="clear" w:color="auto" w:fill="CFF0FC"/>
          </w:tcPr>
          <w:p>
            <w:pPr>
              <w:spacing w:after="0"/>
              <w:rPr>
                <w:sz w:val="18"/>
                <w:szCs w:val="18"/>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final payment fee</w:t>
            </w: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8"/>
                <w:szCs w:val="18"/>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 related issuance costs and warrants</w:t>
            </w:r>
          </w:p>
        </w:tc>
        <w:tc>
          <w:tcPr>
            <w:tcW w:w="1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1,324</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shd w:val="clear" w:color="auto" w:fill="CFF0FC"/>
          </w:tcPr>
          <w:p>
            <w:pPr>
              <w:spacing w:after="0"/>
              <w:rPr>
                <w:sz w:val="18"/>
                <w:szCs w:val="18"/>
                <w:color w:val="auto"/>
              </w:rPr>
            </w:pPr>
          </w:p>
        </w:tc>
      </w:tr>
      <w:tr>
        <w:trPr>
          <w:trHeight w:val="432"/>
        </w:trPr>
        <w:tc>
          <w:tcPr>
            <w:tcW w:w="74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w w:val="99"/>
              </w:rPr>
              <w:t>Scheduled principal payments on outstanding debt, as of December 31, 2024, are as follows:</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00" w:type="dxa"/>
            <w:vAlign w:val="bottom"/>
          </w:tcPr>
          <w:p>
            <w:pPr>
              <w:spacing w:after="0"/>
              <w:rPr>
                <w:sz w:val="18"/>
                <w:szCs w:val="18"/>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principal payments outstanding</w:t>
            </w:r>
          </w:p>
        </w:tc>
        <w:tc>
          <w:tcPr>
            <w:tcW w:w="15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00" w:type="dxa"/>
            <w:vAlign w:val="bottom"/>
            <w:shd w:val="clear" w:color="auto" w:fill="CFF0FC"/>
          </w:tcPr>
          <w:p>
            <w:pPr>
              <w:spacing w:after="0"/>
              <w:rPr>
                <w:sz w:val="21"/>
                <w:szCs w:val="21"/>
                <w:color w:val="auto"/>
              </w:rPr>
            </w:pPr>
          </w:p>
        </w:tc>
      </w:tr>
      <w:tr>
        <w:trPr>
          <w:trHeight w:val="696"/>
        </w:trPr>
        <w:tc>
          <w:tcPr>
            <w:tcW w:w="5100" w:type="dxa"/>
            <w:vAlign w:val="bottom"/>
            <w:tcBorders>
              <w:top w:val="single" w:sz="8" w:color="CFF0FC"/>
            </w:tcBorders>
          </w:tcPr>
          <w:p>
            <w:pPr>
              <w:spacing w:after="0"/>
              <w:rPr>
                <w:sz w:val="24"/>
                <w:szCs w:val="24"/>
                <w:color w:val="auto"/>
              </w:rPr>
            </w:pPr>
          </w:p>
        </w:tc>
        <w:tc>
          <w:tcPr>
            <w:tcW w:w="2340" w:type="dxa"/>
            <w:vAlign w:val="bottom"/>
            <w:tcBorders>
              <w:top w:val="single" w:sz="8" w:color="CFF0FC"/>
            </w:tcBorders>
            <w:gridSpan w:val="2"/>
          </w:tcPr>
          <w:p>
            <w:pPr>
              <w:jc w:val="right"/>
              <w:ind w:right="1568"/>
              <w:spacing w:after="0"/>
              <w:rPr>
                <w:sz w:val="20"/>
                <w:szCs w:val="20"/>
                <w:color w:val="auto"/>
              </w:rPr>
            </w:pPr>
            <w:r>
              <w:rPr>
                <w:rFonts w:ascii="Times New Roman" w:cs="Times New Roman" w:eastAsia="Times New Roman" w:hAnsi="Times New Roman"/>
                <w:sz w:val="18"/>
                <w:szCs w:val="18"/>
                <w:color w:val="auto"/>
              </w:rPr>
              <w:t>F-27</w:t>
            </w:r>
          </w:p>
        </w:tc>
        <w:tc>
          <w:tcPr>
            <w:tcW w:w="54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6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763"/>
        </w:trPr>
        <w:tc>
          <w:tcPr>
            <w:tcW w:w="51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Leases are accounted for under ASC Topic 842. The Company made an accounting policy election not to apply the recognition requirements to short-term leases. The Company recognizes the lease payments for short-term leases in the consolidated statements of operations on a straight-line basis over the lease term, and variable lease payments in the period in which the obligation for those payments is incurred. Therefore, the Company is not recognizing a lease liability or right-of-use asset for any lease that, at the commencement date, has a lease term of 12 months or less and does not include an option to extend the term or purchase the underlying asset that the Company is reasonably certain to exercise. The Company’s lease terms may include options to extend or terminate the lease when it is reasonably certain that the Company will exercise that option. The Company has entered into a lease agreement for the Company’s principal executive offices located in New York, NY. The lease does not include any restrictions or covenants that had to be accounted for under the lease guidance.</w:t>
      </w:r>
    </w:p>
    <w:p>
      <w:pPr>
        <w:spacing w:after="0" w:line="192"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In February 2023, the Company entered into a ten-year agreement to sublease office space at One World Trade Center, which began in April 2023. Based on the Company’s past experience and current expectation for administrative office needs, the Company determined the lease term to be five years. As of December 31, 2024, the remaining lease term for the Company’s operating lease was 3.3 years with the discount rate of 12.0%. The interest rate implicit in lease contracts is typically not readily determinable and as such, the Company uses its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18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Company entered into a fleet lease program beginning the first quarter of 2024. The lease agreement includes an initial 12-month noncancelable period with monthly renewal options thereafter. Lease terms range from approximately 40 to 50 months and are classified as finance leases. During the year ended December 31, 2024, the Company recognized a right-of-use asset and lease liability, both, of $5.4 million in connection to this lease. As of December 31, 2024, right-of-use asset and lease liability related to the finance lease were $4.3 million and $4.4 million, respectively, and the weighted average remaining lease term was 3.1 years, with a weighted average discount rate of 9.0%.</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Lease expenses recognized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2,331</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2,173</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1,208</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1,034</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6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Future minimum lease payments of the Company’s leases as of December 31, 2024, were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Finance lease</w:t>
            </w:r>
          </w:p>
        </w:tc>
      </w:tr>
      <w:tr>
        <w:trPr>
          <w:trHeight w:val="210"/>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1,789</w:t>
            </w:r>
          </w:p>
        </w:tc>
        <w:tc>
          <w:tcPr>
            <w:tcW w:w="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1,741</w:t>
            </w: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2,521</w:t>
            </w:r>
          </w:p>
        </w:tc>
        <w:tc>
          <w:tcPr>
            <w:tcW w:w="340" w:type="dxa"/>
            <w:vAlign w:val="bottom"/>
          </w:tcPr>
          <w:p>
            <w:pPr>
              <w:spacing w:after="0"/>
              <w:rPr>
                <w:sz w:val="18"/>
                <w:szCs w:val="18"/>
                <w:color w:val="auto"/>
              </w:rPr>
            </w:pP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1,638</w:t>
            </w:r>
          </w:p>
        </w:tc>
      </w:tr>
      <w:tr>
        <w:trPr>
          <w:trHeight w:val="216"/>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2,521</w:t>
            </w:r>
          </w:p>
        </w:tc>
        <w:tc>
          <w:tcPr>
            <w:tcW w:w="3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1,167</w:t>
            </w: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3,204</w:t>
            </w:r>
          </w:p>
        </w:tc>
        <w:tc>
          <w:tcPr>
            <w:tcW w:w="340" w:type="dxa"/>
            <w:vAlign w:val="bottom"/>
          </w:tcPr>
          <w:p>
            <w:pPr>
              <w:spacing w:after="0"/>
              <w:rPr>
                <w:sz w:val="18"/>
                <w:szCs w:val="18"/>
                <w:color w:val="auto"/>
              </w:rPr>
            </w:pPr>
          </w:p>
        </w:tc>
        <w:tc>
          <w:tcPr>
            <w:tcW w:w="14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9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3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10,035</w:t>
            </w:r>
          </w:p>
        </w:tc>
        <w:tc>
          <w:tcPr>
            <w:tcW w:w="3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4,950</w:t>
            </w: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(2,154 )</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(585 )</w:t>
            </w:r>
          </w:p>
        </w:tc>
      </w:tr>
      <w:tr>
        <w:trPr>
          <w:trHeight w:val="249"/>
        </w:trPr>
        <w:tc>
          <w:tcPr>
            <w:tcW w:w="39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8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7,881</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4,365</w:t>
            </w:r>
          </w:p>
        </w:tc>
      </w:tr>
      <w:tr>
        <w:trPr>
          <w:trHeight w:val="696"/>
        </w:trPr>
        <w:tc>
          <w:tcPr>
            <w:tcW w:w="3920" w:type="dxa"/>
            <w:vAlign w:val="bottom"/>
          </w:tcPr>
          <w:p>
            <w:pPr>
              <w:spacing w:after="0"/>
              <w:rPr>
                <w:sz w:val="24"/>
                <w:szCs w:val="24"/>
                <w:color w:val="auto"/>
              </w:rPr>
            </w:pPr>
          </w:p>
        </w:tc>
        <w:tc>
          <w:tcPr>
            <w:tcW w:w="4000" w:type="dxa"/>
            <w:vAlign w:val="bottom"/>
            <w:gridSpan w:val="2"/>
          </w:tcPr>
          <w:p>
            <w:pPr>
              <w:jc w:val="right"/>
              <w:ind w:right="2030"/>
              <w:spacing w:after="0"/>
              <w:rPr>
                <w:sz w:val="20"/>
                <w:szCs w:val="20"/>
                <w:color w:val="auto"/>
              </w:rPr>
            </w:pPr>
            <w:r>
              <w:rPr>
                <w:rFonts w:ascii="Times New Roman" w:cs="Times New Roman" w:eastAsia="Times New Roman" w:hAnsi="Times New Roman"/>
                <w:sz w:val="18"/>
                <w:szCs w:val="18"/>
                <w:color w:val="auto"/>
              </w:rPr>
              <w:t>F-28</w:t>
            </w: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763"/>
        </w:trPr>
        <w:tc>
          <w:tcPr>
            <w:tcW w:w="392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December 2019, the Company entered into a sales agreement (the “December 2019 Sales Agreement”) with SVB Securities LLC (now known as Leerink Partners LLC) (“Leerink”), pursuant to which the Company may sell up to $80 million in shares of the Company’s common stock from time to time through Leerink, acting as the Company’s sales agent, in one or more at-the-market offerings utilizing an automatic shelf registration statement (the “2019 Shelf Registration Statement”) the Company filed with the U.S. Securities and Exchange Commission (the “SEC”) on December 5, 2019 for the issuance of common stock, preferred stock, warrants, rights, debt securities and units. Leerink is entitled to receive a commission of 3.0% of the gross proceeds for any shares sold under the December 2019 Sales Agreement. The December 2019 Sales Agreement was replaced by the March 2022 Sales Agreement (as defined below).</w:t>
      </w:r>
    </w:p>
    <w:p>
      <w:pPr>
        <w:spacing w:after="0" w:line="18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In March 2022, the Company entered into a sales agreement (the “March 2022 Sales Agreement”) with Leerink and filed a prospectus supplement, pursuant to which the Company could sell up to $200 million in shares of the Company’s common stock from time to time through Leerink, acting as the Company’s sales agent, in one or more at-the-market offerings utilizing the 2019 Shelf Registration Statement. Leerink is entitled to receive a commission of up to 3.0% of the gross proceeds for any shares sold under the March 2022 Sales Agreement. The March 2022 Sales Agreement supersedes the December 2019 Sales Agreement, dated December 5, 2019, by and between the Company and Leerink. The Company exhausted sales of shares of the Company’s common stock under its prior at-the-market offering program.</w:t>
      </w:r>
    </w:p>
    <w:p>
      <w:pPr>
        <w:spacing w:after="0" w:line="187"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In August 2022, the Company filed a prospectus supplement to the 2019 Shelf Registration Statement for the issuance and sale, if any, of up to an additional $250 million in shares of the Company’s common stock. The Company will pay Leerink a commission of up to 3.0% of the gross sales proceeds of any shares sold through Leerink, acting as sales agent, under the March 2022 Sales Agreement.</w:t>
      </w:r>
    </w:p>
    <w:p>
      <w:pPr>
        <w:spacing w:after="0" w:line="176"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In December 2022, in connection with the 2022 Shelf Registration Statement (as defined below), the Company filed a new sales agreement prospectus to replace the prior prospectus supplement filed in August 2022 associated with the expired 2019 Shelf Registration Statement. The new sales agreement prospectus covered the issuance and sale by the Company of up to the same $250 million of the Company’s common stock that may be issued and sold from time to time through Leerink, as the Company’s sales agent, under the March 2022 Sales Agreement.</w:t>
      </w:r>
    </w:p>
    <w:p>
      <w:pPr>
        <w:spacing w:after="0" w:line="180"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Under the March 2022 Sales Agreement, for the three months ended December 31, 2024, the Company received approximately $16.4 million in gross proceeds through the sale of 168,973 shares, of which net proceeds were approximately $16.1 million. For the year ended December 31, 2024, the Company received approximately $40.8 million in gross proceeds through the sale of 466,108 shares, of which net proceeds were approximately $40.0 million, under the March 2022 Sales Agreement. The Company did not utilize the March 2022 Sales Agreement with Leerink during the year ended December 31, 2023.</w:t>
      </w:r>
    </w:p>
    <w:p>
      <w:pPr>
        <w:spacing w:after="0" w:line="183"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Under the December 2019 Sales Agreement and March 2022 Sales Agreement, the Company received approximately $238.8 million in gross proceeds through the sale of 5,167,973 shares, of which net proceeds were approximately $231.8 million for the year ended December 31, 2022.</w:t>
      </w:r>
    </w:p>
    <w:p>
      <w:pPr>
        <w:spacing w:after="0" w:line="162"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Upon the closing of the Second Amendment, which occurred in March 2022, Hercules also purchased 152,487 of the Company’s unregistered common stock for a total consideration of $5.0 million at a share price equal to $32.79 per share, pursuant to a share transfer agreement.</w:t>
      </w:r>
    </w:p>
    <w:p>
      <w:pPr>
        <w:spacing w:after="0" w:line="162"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June 2023 Public Offering</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June 2023, the Company completed an underwritten public offering of its common stock (the “June 2023 Public Offering”). The Company sold 3.0 million shares of its common stock at a public offering price of $75.00 per share. The net proceeds were $211.3 million, net of underwriting discounts and commissions of $13.5 million and other offering costs of $0.2 million. Additionally, in connection with this public offering, in July 2023, the underwriters fully exercised their option to purchase 450,000 additional shares of the Company’s common stock at a public offering price of $75.00 per share. The net proceeds from the exercise of the option were $31.7 million, net of underwriting discounts and commissions of $2.0 million and other minimal offering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Shelf Registration Statement</w:t>
      </w:r>
    </w:p>
    <w:p>
      <w:pPr>
        <w:spacing w:after="0" w:line="229"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On December 2, 2022, the Company filed an automatic shelf registration statement (the “2022 Shelf Registration Statement”) with the SEC for the issuance of common stock, preferred stock, warrants, rights, debt securities and units. It became effective upon filing with the SEC and is currently the Company’s only active shelf registration.</w:t>
      </w:r>
    </w:p>
    <w:p>
      <w:pPr>
        <w:spacing w:after="0" w:line="1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Under SEC rules, the 2022 Shelf Registration Statement allows for the potential future offer and sale by the Company, from time to time, in one or more public offerings of an indeterminate amount of the Company’s common stock, preferred stock, debt securities, and units at indeterminate prices. At the time any of the securities covered by the 2022 Shelf Registration Statement are offered for sale, a prospectus supplement will be prepared and filed with the SEC containing specific information about the terms of any such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9"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In November 2015, the 2015 Omnibus Incentive Compensation Plan (the “2015 Plan”) was adopted by the Company’s stockholders. As of December 31, 2024, there were 2,997,349 shares available for future grant under the 2015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stock option activity as of December 31, 2024: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3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30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25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8,462,294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41.48</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25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1,220,294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84.13</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(718,163 )</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Forfeited/Canceled</w:t>
            </w:r>
          </w:p>
        </w:tc>
        <w:tc>
          <w:tcPr>
            <w:tcW w:w="122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(525,304 )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60.83</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8,439,121</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46.72</w:t>
            </w:r>
          </w:p>
        </w:tc>
        <w:tc>
          <w:tcPr>
            <w:tcW w:w="1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321,478</w:t>
            </w:r>
          </w:p>
        </w:tc>
        <w:tc>
          <w:tcPr>
            <w:tcW w:w="0" w:type="dxa"/>
            <w:vAlign w:val="bottom"/>
          </w:tcPr>
          <w:p>
            <w:pPr>
              <w:spacing w:after="0"/>
              <w:rPr>
                <w:sz w:val="1"/>
                <w:szCs w:val="1"/>
                <w:color w:val="auto"/>
              </w:rPr>
            </w:pPr>
          </w:p>
        </w:tc>
      </w:tr>
      <w:tr>
        <w:trPr>
          <w:trHeight w:val="196"/>
        </w:trPr>
        <w:tc>
          <w:tcPr>
            <w:tcW w:w="45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Vested and expected to vest at December 31, 2024</w:t>
            </w:r>
          </w:p>
        </w:tc>
        <w:tc>
          <w:tcPr>
            <w:tcW w:w="2500" w:type="dxa"/>
            <w:vAlign w:val="bottom"/>
            <w:gridSpan w:val="2"/>
          </w:tcPr>
          <w:p>
            <w:pPr>
              <w:jc w:val="right"/>
              <w:ind w:right="37"/>
              <w:spacing w:after="0" w:line="196" w:lineRule="exact"/>
              <w:rPr>
                <w:sz w:val="20"/>
                <w:szCs w:val="20"/>
                <w:color w:val="auto"/>
              </w:rPr>
            </w:pPr>
            <w:r>
              <w:rPr>
                <w:rFonts w:ascii="Times New Roman" w:cs="Times New Roman" w:eastAsia="Times New Roman" w:hAnsi="Times New Roman"/>
                <w:sz w:val="18"/>
                <w:szCs w:val="18"/>
                <w:color w:val="auto"/>
              </w:rPr>
              <w:t>8,439,121</w:t>
            </w: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5"/>
              <w:spacing w:after="0" w:line="196" w:lineRule="exact"/>
              <w:rPr>
                <w:sz w:val="20"/>
                <w:szCs w:val="20"/>
                <w:color w:val="auto"/>
              </w:rPr>
            </w:pPr>
            <w:r>
              <w:rPr>
                <w:rFonts w:ascii="Times New Roman" w:cs="Times New Roman" w:eastAsia="Times New Roman" w:hAnsi="Times New Roman"/>
                <w:sz w:val="18"/>
                <w:szCs w:val="18"/>
                <w:color w:val="auto"/>
              </w:rPr>
              <w:t>46.72</w:t>
            </w:r>
          </w:p>
        </w:tc>
        <w:tc>
          <w:tcPr>
            <w:tcW w:w="1400" w:type="dxa"/>
            <w:vAlign w:val="bottom"/>
            <w:gridSpan w:val="2"/>
          </w:tcPr>
          <w:p>
            <w:pPr>
              <w:jc w:val="right"/>
              <w:ind w:right="62"/>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3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9"/>
              <w:spacing w:after="0" w:line="196" w:lineRule="exact"/>
              <w:rPr>
                <w:sz w:val="20"/>
                <w:szCs w:val="20"/>
                <w:color w:val="auto"/>
              </w:rPr>
            </w:pPr>
            <w:r>
              <w:rPr>
                <w:rFonts w:ascii="Times New Roman" w:cs="Times New Roman" w:eastAsia="Times New Roman" w:hAnsi="Times New Roman"/>
                <w:sz w:val="18"/>
                <w:szCs w:val="18"/>
                <w:color w:val="auto"/>
              </w:rPr>
              <w:t>321,478</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6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at December 31, 2024</w:t>
            </w:r>
          </w:p>
        </w:tc>
        <w:tc>
          <w:tcPr>
            <w:tcW w:w="12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37"/>
              <w:spacing w:after="0" w:line="196" w:lineRule="exact"/>
              <w:rPr>
                <w:sz w:val="20"/>
                <w:szCs w:val="20"/>
                <w:color w:val="auto"/>
              </w:rPr>
            </w:pPr>
            <w:r>
              <w:rPr>
                <w:rFonts w:ascii="Times New Roman" w:cs="Times New Roman" w:eastAsia="Times New Roman" w:hAnsi="Times New Roman"/>
                <w:sz w:val="18"/>
                <w:szCs w:val="18"/>
                <w:color w:val="auto"/>
              </w:rPr>
              <w:t>5,368,481</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55"/>
              <w:spacing w:after="0" w:line="196" w:lineRule="exact"/>
              <w:rPr>
                <w:sz w:val="20"/>
                <w:szCs w:val="20"/>
                <w:color w:val="auto"/>
              </w:rPr>
            </w:pPr>
            <w:r>
              <w:rPr>
                <w:rFonts w:ascii="Times New Roman" w:cs="Times New Roman" w:eastAsia="Times New Roman" w:hAnsi="Times New Roman"/>
                <w:sz w:val="18"/>
                <w:szCs w:val="18"/>
                <w:color w:val="auto"/>
              </w:rPr>
              <w:t>35.52</w:t>
            </w:r>
          </w:p>
        </w:tc>
        <w:tc>
          <w:tcPr>
            <w:tcW w:w="10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62"/>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59"/>
              <w:spacing w:after="0" w:line="196" w:lineRule="exact"/>
              <w:rPr>
                <w:sz w:val="20"/>
                <w:szCs w:val="20"/>
                <w:color w:val="auto"/>
              </w:rPr>
            </w:pPr>
            <w:r>
              <w:rPr>
                <w:rFonts w:ascii="Times New Roman" w:cs="Times New Roman" w:eastAsia="Times New Roman" w:hAnsi="Times New Roman"/>
                <w:sz w:val="18"/>
                <w:szCs w:val="18"/>
                <w:color w:val="auto"/>
              </w:rPr>
              <w:t>263,725</w:t>
            </w:r>
          </w:p>
        </w:tc>
        <w:tc>
          <w:tcPr>
            <w:tcW w:w="0" w:type="dxa"/>
            <w:vAlign w:val="bottom"/>
          </w:tcPr>
          <w:p>
            <w:pPr>
              <w:spacing w:after="0"/>
              <w:rPr>
                <w:sz w:val="1"/>
                <w:szCs w:val="1"/>
                <w:color w:val="auto"/>
              </w:rPr>
            </w:pPr>
          </w:p>
        </w:tc>
      </w:tr>
      <w:tr>
        <w:trPr>
          <w:trHeight w:val="696"/>
        </w:trPr>
        <w:tc>
          <w:tcPr>
            <w:tcW w:w="4560" w:type="dxa"/>
            <w:vAlign w:val="bottom"/>
          </w:tcPr>
          <w:p>
            <w:pPr>
              <w:spacing w:after="0"/>
              <w:rPr>
                <w:sz w:val="24"/>
                <w:szCs w:val="24"/>
                <w:color w:val="auto"/>
              </w:rPr>
            </w:pPr>
          </w:p>
        </w:tc>
        <w:tc>
          <w:tcPr>
            <w:tcW w:w="2500" w:type="dxa"/>
            <w:vAlign w:val="bottom"/>
            <w:gridSpan w:val="2"/>
          </w:tcPr>
          <w:p>
            <w:pPr>
              <w:jc w:val="right"/>
              <w:ind w:right="1177"/>
              <w:spacing w:after="0"/>
              <w:rPr>
                <w:sz w:val="20"/>
                <w:szCs w:val="20"/>
                <w:color w:val="auto"/>
              </w:rPr>
            </w:pPr>
            <w:r>
              <w:rPr>
                <w:rFonts w:ascii="Times New Roman" w:cs="Times New Roman" w:eastAsia="Times New Roman" w:hAnsi="Times New Roman"/>
                <w:sz w:val="18"/>
                <w:szCs w:val="18"/>
                <w:color w:val="auto"/>
              </w:rPr>
              <w:t>F-30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5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-1302385</wp:posOffset>
            </wp:positionV>
            <wp:extent cx="857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-1285240</wp:posOffset>
            </wp:positionV>
            <wp:extent cx="857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-1302385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-1285240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-1302385</wp:posOffset>
            </wp:positionV>
            <wp:extent cx="857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-1285240</wp:posOffset>
            </wp:positionV>
            <wp:extent cx="857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-976630</wp:posOffset>
            </wp:positionV>
            <wp:extent cx="857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-959485</wp:posOffset>
            </wp:positionV>
            <wp:extent cx="857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-976630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-959485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-976630</wp:posOffset>
            </wp:positionV>
            <wp:extent cx="857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-959485</wp:posOffset>
            </wp:positionV>
            <wp:extent cx="857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 pricing model. The expected term of the Company’s stock options has been determined utilizing the “simplified” method as described in the SEC’s Staff Accounting Bulletin No. 107 relating to stock-based compensation. The simplified method was chosen because the Company has limited historical option exercise experience due to its short operating history. The risk-free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In prior years, expected volatility was based on historical volatilities of similar entities within the Company’s industry which were commensurate with the Company’s expected term assumption. Currently, expected volatility is based on historical volatility information of the Company’s common stock since the Company’s initial public offering in 2015.</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relevant data used to determine the value of the stock option grants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Black-Scholes option valuation assumptions</w:t>
            </w:r>
          </w:p>
        </w:tc>
        <w:tc>
          <w:tcPr>
            <w:tcW w:w="120" w:type="dxa"/>
            <w:vAlign w:val="bottom"/>
          </w:tcPr>
          <w:p>
            <w:pPr>
              <w:spacing w:after="0"/>
              <w:rPr>
                <w:sz w:val="15"/>
                <w:szCs w:val="15"/>
                <w:color w:val="auto"/>
              </w:rPr>
            </w:pPr>
          </w:p>
        </w:tc>
        <w:tc>
          <w:tcPr>
            <w:tcW w:w="16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1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rates</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3.51 - 4.62%</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3.34 - 4.88%</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1.46 - 4.31%</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81 - 93%</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93 - 99%</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90 - 95%</w:t>
            </w:r>
          </w:p>
        </w:tc>
        <w:tc>
          <w:tcPr>
            <w:tcW w:w="100" w:type="dxa"/>
            <w:vAlign w:val="bottom"/>
            <w:shd w:val="clear" w:color="auto" w:fill="CFF0FC"/>
          </w:tcPr>
          <w:p>
            <w:pPr>
              <w:spacing w:after="0"/>
              <w:rPr>
                <w:sz w:val="18"/>
                <w:szCs w:val="18"/>
                <w:color w:val="auto"/>
              </w:rPr>
            </w:pP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expected term</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5.0 - 6.11 years</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5.0 - 6.11 years</w:t>
            </w:r>
          </w:p>
        </w:tc>
        <w:tc>
          <w:tcPr>
            <w:tcW w:w="220" w:type="dxa"/>
            <w:vAlign w:val="bottom"/>
          </w:tcPr>
          <w:p>
            <w:pPr>
              <w:spacing w:after="0"/>
              <w:rPr>
                <w:sz w:val="20"/>
                <w:szCs w:val="20"/>
                <w:color w:val="auto"/>
              </w:rPr>
            </w:pPr>
          </w:p>
        </w:tc>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5.0 - 6.11 years</w:t>
            </w:r>
          </w:p>
        </w:tc>
      </w:tr>
    </w:tbl>
    <w:p>
      <w:pPr>
        <w:spacing w:after="0" w:line="179" w:lineRule="exact"/>
        <w:rPr>
          <w:sz w:val="20"/>
          <w:szCs w:val="20"/>
          <w:color w:val="auto"/>
        </w:rPr>
      </w:pPr>
    </w:p>
    <w:p>
      <w:pPr>
        <w:ind w:right="60" w:firstLine="749"/>
        <w:spacing w:after="0" w:line="222" w:lineRule="exact"/>
        <w:rPr>
          <w:sz w:val="20"/>
          <w:szCs w:val="20"/>
          <w:color w:val="auto"/>
        </w:rPr>
      </w:pPr>
      <w:r>
        <w:rPr>
          <w:rFonts w:ascii="Times New Roman" w:cs="Times New Roman" w:eastAsia="Times New Roman" w:hAnsi="Times New Roman"/>
          <w:sz w:val="18"/>
          <w:szCs w:val="18"/>
          <w:color w:val="auto"/>
        </w:rPr>
        <w:t>The weighted average grant date fair value of options granted was $64.88, $53.07 and $28.18 per option for the years ended December 31, 2024, 2023 and 2022, respectively. As of December 31, 2024, there was $146.6 million of total unrecognized compensation cost related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vested stock options which is expected to be recognized over a weighted average period of 2.3 years.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The fair value of RSUs is determined on the date of the grant based on the market price of its shares of common stock as of that date. The fair value of the RSUs is recognized as an expense ratably over the vesting period of four years. As of December 31, 2024, total compensation cost not yet recognized related to unvested RSUs was $42.0 million, which is expected to be recognized over a weighted-average period of 2.4 years. The intrinsic value of RSUs lapsed during the years ended December 31, 2024, 2023 and 2022 was $10.3 million, $4.9 million and $1.5 million, respectively.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RSU activity for the year ended December 31, 2024: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88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680" w:type="dxa"/>
            <w:vAlign w:val="bottom"/>
          </w:tcPr>
          <w:p>
            <w:pPr>
              <w:ind w:left="3760"/>
              <w:spacing w:after="0"/>
              <w:rPr>
                <w:sz w:val="20"/>
                <w:szCs w:val="20"/>
                <w:color w:val="auto"/>
              </w:rPr>
            </w:pPr>
            <w:r>
              <w:rPr>
                <w:rFonts w:ascii="Times New Roman" w:cs="Times New Roman" w:eastAsia="Times New Roman" w:hAnsi="Times New Roman"/>
                <w:sz w:val="14"/>
                <w:szCs w:val="14"/>
                <w:b w:val="1"/>
                <w:bCs w:val="1"/>
                <w:color w:val="auto"/>
              </w:rPr>
              <w:t>​</w:t>
            </w:r>
          </w:p>
        </w:tc>
        <w:tc>
          <w:tcPr>
            <w:tcW w:w="18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80" w:type="dxa"/>
            <w:vAlign w:val="bottom"/>
          </w:tcPr>
          <w:p>
            <w:pPr>
              <w:spacing w:after="0"/>
              <w:rPr>
                <w:sz w:val="15"/>
                <w:szCs w:val="15"/>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804,150</w:t>
            </w:r>
          </w:p>
        </w:tc>
        <w:tc>
          <w:tcPr>
            <w:tcW w:w="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471,778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(267,779 )</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(101,205 )</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906,944</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ESPP allows eligible employees to purchase shares of the Company’s common stock. The purchase price is equal to 85% of the lower of the closing price of the Company’s common stock on (1) the first day of the offering period or (2) the last day of the offering period. The ESPP has consecutive offering periods that begin on or about June 1st of each year with a duration of 12 months. The Company commenced the first offering period pursuant to the ESPP on June 1, 2023, and such offering ended on May 31, 2024.</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2024, 52,368 common shares have been purchased and issued pursuant to the ESPP, and $1.6 million of expense was recorded for the year ended December 31, 2024. During the year ended December 31, 2023, no shares of common stock were purchased pursuant to the ESPP, and $1.1 million of expense was recorded.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88"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recognized was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vMerge w:val="restart"/>
          </w:tcPr>
          <w:p>
            <w:pPr>
              <w:ind w:left="324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21,417</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63,801</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48,540</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85,218</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62,620</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37,726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Stock-based compensation expense capitalized into inventory totaled $1.3 million, $2.7 million, and $1.3 million for the years ended December 31, 2024, 2023, and 2022, respectively. The Company started capitalizing stock-based compensation to inventory in the third quarter of 2022. Capitalized stock-based compensation is recognized as an expense in cost of product sales when the related product is sold or in selling, general and administrative expense when the related product is dispensed as a physician sample.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Warrants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warrant activity for the years ended December 31, 2024, 2023, and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72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7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15,541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80.43</w:t>
            </w:r>
          </w:p>
        </w:tc>
        <w:tc>
          <w:tcPr>
            <w:tcW w:w="0" w:type="dxa"/>
            <w:vAlign w:val="bottom"/>
          </w:tcPr>
          <w:p>
            <w:pPr>
              <w:spacing w:after="0"/>
              <w:rPr>
                <w:sz w:val="1"/>
                <w:szCs w:val="1"/>
                <w:color w:val="auto"/>
              </w:rPr>
            </w:pPr>
          </w:p>
        </w:tc>
      </w:tr>
      <w:tr>
        <w:trPr>
          <w:trHeight w:val="210"/>
        </w:trPr>
        <w:tc>
          <w:tcPr>
            <w:tcW w:w="76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72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35,255</w:t>
            </w: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31.91</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7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50,796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46.75</w:t>
            </w: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720" w:type="dxa"/>
            <w:vAlign w:val="bottom"/>
            <w:tcBorders>
              <w:top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28,424</w:t>
            </w:r>
          </w:p>
        </w:tc>
        <w:tc>
          <w:tcPr>
            <w:tcW w:w="1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74.75</w:t>
            </w: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7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79,220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56.80</w:t>
            </w:r>
          </w:p>
        </w:tc>
        <w:tc>
          <w:tcPr>
            <w:tcW w:w="0" w:type="dxa"/>
            <w:vAlign w:val="bottom"/>
          </w:tcPr>
          <w:p>
            <w:pPr>
              <w:spacing w:after="0"/>
              <w:rPr>
                <w:sz w:val="1"/>
                <w:szCs w:val="1"/>
                <w:color w:val="auto"/>
              </w:rPr>
            </w:pPr>
          </w:p>
        </w:tc>
      </w:tr>
      <w:tr>
        <w:trPr>
          <w:trHeight w:val="209"/>
        </w:trPr>
        <w:tc>
          <w:tcPr>
            <w:tcW w:w="76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72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7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79,220</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56.80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-1293495</wp:posOffset>
            </wp:positionV>
            <wp:extent cx="1117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-1010920</wp:posOffset>
            </wp:positionV>
            <wp:extent cx="1117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-436245</wp:posOffset>
            </wp:positionV>
            <wp:extent cx="1117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-153670</wp:posOffset>
            </wp:positionV>
            <wp:extent cx="1117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Warrants</w:t>
      </w:r>
    </w:p>
    <w:p>
      <w:pPr>
        <w:spacing w:after="0" w:line="22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entry into the Third Amendment, Hercules received warrants to purchase an aggregate of 18,724 shares of the Company’s common stock at an exercise price of $55.01 per share, and in connection with the draw down of the Tranche 1C Advance, Hercules received warrants to purchase 9,700 shares of the Company’s common stock at an exercise price of $77.31 per share (collectively, the “2023 warrants”). In connection with the entry into the Second Amendment, Hercules received warrants to purchase an aggregate of 35,255 shares of the Company’s common stock at an exercise price of $31.91 per share (the “2022 warrants”), and in connection with the first advance of the 2020 Term Loan, Hercules received warrants to purchase an aggregate of 15,541 shares of the Company’s common stock at an exercise price of $80.43 per share (the “2020 warrants”).</w:t>
      </w:r>
    </w:p>
    <w:p>
      <w:pPr>
        <w:spacing w:after="0" w:line="18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2023 warrants, 2022 warrants and 2020 warrants were priced using the volume weighted average price of the Company’s common stock over the ten-day trading period immediately preceding the initial closing, subject to certain limited adjustments as specified in the warrant. The warrants are exercisable for seven years from the date of issuance. The warrants were classified as a component of stockholders’ equity. The relative fair value of the warrants of approximately $1.6 million for the 2023 warrants, $0.8 million for the 2022 warrants and $0.9 million for the 2020 warrants at the time of issuance, which was determined using the Black-Scholes option-pricing model, was recorded as additional paid-in capital and reduced the carrying value of the debt. The discount on the debt is being amortized to interest expense over the term of the debt utilizing the effective interest rate method.</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The initial fair value of warrants outstanding was estimated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with the following assumptions: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Black-Scholes option valuation assumptions</w:t>
            </w:r>
          </w:p>
        </w:tc>
        <w:tc>
          <w:tcPr>
            <w:tcW w:w="1560" w:type="dxa"/>
            <w:vAlign w:val="bottom"/>
            <w:gridSpan w:val="2"/>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60" w:type="dxa"/>
            <w:vAlign w:val="bottom"/>
            <w:gridSpan w:val="2"/>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60" w:type="dxa"/>
            <w:vAlign w:val="bottom"/>
            <w:gridSpan w:val="2"/>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73"/>
        </w:trPr>
        <w:tc>
          <w:tcPr>
            <w:tcW w:w="63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209"/>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3.6 - 3.9%</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00" w:type="dxa"/>
            <w:vAlign w:val="bottom"/>
          </w:tcPr>
          <w:p>
            <w:pPr>
              <w:spacing w:after="0"/>
              <w:rPr>
                <w:sz w:val="18"/>
                <w:szCs w:val="18"/>
                <w:color w:val="auto"/>
              </w:rPr>
            </w:pP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56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92 - 95%</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contractual term</w:t>
            </w:r>
          </w:p>
        </w:tc>
        <w:tc>
          <w:tcPr>
            <w:tcW w:w="100" w:type="dxa"/>
            <w:vAlign w:val="bottom"/>
          </w:tcPr>
          <w:p>
            <w:pPr>
              <w:spacing w:after="0"/>
              <w:rPr>
                <w:sz w:val="20"/>
                <w:szCs w:val="20"/>
                <w:color w:val="auto"/>
              </w:rPr>
            </w:pPr>
          </w:p>
        </w:tc>
        <w:tc>
          <w:tcPr>
            <w:tcW w:w="14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7 years</w:t>
            </w:r>
          </w:p>
        </w:tc>
        <w:tc>
          <w:tcPr>
            <w:tcW w:w="100" w:type="dxa"/>
            <w:vAlign w:val="bottom"/>
          </w:tcPr>
          <w:p>
            <w:pPr>
              <w:spacing w:after="0"/>
              <w:rPr>
                <w:sz w:val="20"/>
                <w:szCs w:val="20"/>
                <w:color w:val="auto"/>
              </w:rPr>
            </w:pPr>
          </w:p>
        </w:tc>
        <w:tc>
          <w:tcPr>
            <w:tcW w:w="15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7 years</w:t>
            </w:r>
          </w:p>
        </w:tc>
        <w:tc>
          <w:tcPr>
            <w:tcW w:w="100" w:type="dxa"/>
            <w:vAlign w:val="bottom"/>
          </w:tcPr>
          <w:p>
            <w:pPr>
              <w:spacing w:after="0"/>
              <w:rPr>
                <w:sz w:val="20"/>
                <w:szCs w:val="20"/>
                <w:color w:val="auto"/>
              </w:rPr>
            </w:pPr>
          </w:p>
        </w:tc>
        <w:tc>
          <w:tcPr>
            <w:tcW w:w="15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Loss per Common Share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(287,216 )</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(239,238 )</w:t>
            </w:r>
          </w:p>
        </w:tc>
        <w:tc>
          <w:tcPr>
            <w:tcW w:w="14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(187,134 )</w:t>
            </w:r>
          </w:p>
        </w:tc>
      </w:tr>
      <w:tr>
        <w:trPr>
          <w:trHeight w:val="21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 average common shares outstanding—basic and diluted</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47,914,253</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45,425,212</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40,655,941</w:t>
            </w: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share—basic and 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(5.99 )</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(5.27 )</w:t>
            </w:r>
          </w:p>
        </w:tc>
        <w:tc>
          <w:tcPr>
            <w:tcW w:w="14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(4.60 )</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-170815</wp:posOffset>
            </wp:positionV>
            <wp:extent cx="939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-170815</wp:posOffset>
            </wp:positionV>
            <wp:extent cx="9461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78"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 average shares outstanding, as they would be anti-dilutive: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r>
        <w:trPr>
          <w:trHeight w:val="142"/>
        </w:trPr>
        <w:tc>
          <w:tcPr>
            <w:tcW w:w="6600" w:type="dxa"/>
            <w:vAlign w:val="bottom"/>
          </w:tcPr>
          <w:p>
            <w:pPr>
              <w:spacing w:after="0"/>
              <w:rPr>
                <w:sz w:val="12"/>
                <w:szCs w:val="12"/>
                <w:color w:val="auto"/>
              </w:rPr>
            </w:pPr>
          </w:p>
        </w:tc>
        <w:tc>
          <w:tcPr>
            <w:tcW w:w="146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460" w:type="dxa"/>
            <w:vAlign w:val="bottom"/>
            <w:tcBorders>
              <w:bottom w:val="single" w:sz="8" w:color="auto"/>
            </w:tcBorders>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1480" w:type="dxa"/>
            <w:vAlign w:val="bottom"/>
            <w:tcBorders>
              <w:bottom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8,439,121</w:t>
            </w:r>
          </w:p>
        </w:tc>
        <w:tc>
          <w:tcPr>
            <w:tcW w:w="15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8,462,294</w:t>
            </w:r>
          </w:p>
        </w:tc>
        <w:tc>
          <w:tcPr>
            <w:tcW w:w="16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6,617,728</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906,944</w:t>
            </w:r>
          </w:p>
        </w:tc>
        <w:tc>
          <w:tcPr>
            <w:tcW w:w="15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804,150</w:t>
            </w:r>
          </w:p>
        </w:tc>
        <w:tc>
          <w:tcPr>
            <w:tcW w:w="16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686,375</w:t>
            </w: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4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79,220</w:t>
            </w:r>
          </w:p>
        </w:tc>
        <w:tc>
          <w:tcPr>
            <w:tcW w:w="15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79,220</w:t>
            </w:r>
          </w:p>
        </w:tc>
        <w:tc>
          <w:tcPr>
            <w:tcW w:w="16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50,796</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14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64,886</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56,760</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9,490,171</w:t>
            </w:r>
          </w:p>
        </w:tc>
        <w:tc>
          <w:tcPr>
            <w:tcW w:w="1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9,402,424</w:t>
            </w: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7,354,899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-25400</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Revenues</w:t>
      </w:r>
    </w:p>
    <w:p>
      <w:pPr>
        <w:spacing w:after="0" w:line="229"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Company sells Auvelity and Sunosi in the United States through the Distributors. The Company also sells Sunosi to Distributors in Canada and on a product supply basis to Pharmanovia. Sunosi is subsequently sold by Pharmanovia in certain ex-U.S. markets. For the year ended December 31, 2024, the Company’s three largest customers represented approximately 35%, 29%, and 28% of the Company’s gross product sales.</w:t>
      </w:r>
    </w:p>
    <w:p>
      <w:pPr>
        <w:spacing w:after="0" w:line="176"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License revenue consists of the recognition of the upfront payment the Company received from Pharmanovia in February 2023, royalty revenue related to the sales of Sunosi by Pharmanovia in certain ex-U.S. markets, and a milestone revenue of $0.5 million related to an achievement of a regulatory milestone in China for Sunosi from SK recorded in the fourth quarter of 2024.</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by product: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ind w:left="324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ind w:left="32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Auvelity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291,378</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130,072</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10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Sunosi</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90,299</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72,388</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product sales, net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381,677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202,460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50,037</w:t>
            </w:r>
          </w:p>
        </w:tc>
        <w:tc>
          <w:tcPr>
            <w:tcW w:w="100" w:type="dxa"/>
            <w:vAlign w:val="bottom"/>
          </w:tcPr>
          <w:p>
            <w:pPr>
              <w:spacing w:after="0"/>
              <w:rPr>
                <w:sz w:val="18"/>
                <w:szCs w:val="18"/>
                <w:color w:val="auto"/>
              </w:rPr>
            </w:pPr>
          </w:p>
        </w:tc>
      </w:tr>
      <w:tr>
        <w:trPr>
          <w:trHeight w:val="243"/>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Sunosi license revenue</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65,735</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Sunosi royalty and milestone revenue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385,693</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270,600</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50,037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-608330</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-608330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-608330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by geographic location: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ind w:left="324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ind w:left="32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378,159</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197,224</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49,132</w:t>
            </w:r>
          </w:p>
        </w:tc>
        <w:tc>
          <w:tcPr>
            <w:tcW w:w="10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Outside of the United States</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product sales, net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381,677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202,460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50,037</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revenue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Outside of the United States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 and milestone revenue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Outside of the United States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385,693</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270,600</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50,037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-864870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-864870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product sales, net, includes adjustments for provisions for product sales made in 2023 resulting from changes in estimates of $0.8 million for Auvelity and $0.6 million for Sunosi. For the year ended December 31, 2023, product sales, net, includes adjustments for provisions for product sales made in 2022 resulting from changes in estimates of $0.8 million for Auvelity and $0.1 million for Sunosi.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License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Pharmanovia</w:t>
      </w:r>
    </w:p>
    <w:p>
      <w:pPr>
        <w:spacing w:after="0" w:line="227"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 February 2023, Axsome Malta, a Malta limited company and a wholly-owned subsidiary of the Company, entered into an exclusive license agreement with Pharmanovia (the “Pharmanovia License Agreement”) to commercialize and further develop Sunosi in Europe and certain countries in the Middle East and North Africa (the “Territory”). Under the terms of the Pharmanovia License Agreement, the Company retains its existing interest in Sunosi intellectual property and licenses those rights in the Territory to Pharmanovia. Pharmanovia is solely responsible for the clinical development and commercialization of Sunosi in the Territory. The Company will continue to manufacture Sunosi and provide product supply to Pharmanovia for an indefinite period of time, and the Company will recognize revenue as a component of product sales, net, when product is supplied to Pharmanovia.</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consideration for entering the Pharmanovia License Agreement, the Company received a non-refundable upfront payment of €62.0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($65.7 million). The Company also will receive a royalty percentage in the mid-twenties on Sunosi net sales in the Territory and is eligible to receive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milestone payments totaling up to €94.5 million.</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00" w:firstLine="794"/>
        <w:spacing w:after="0" w:line="253" w:lineRule="auto"/>
        <w:rPr>
          <w:sz w:val="20"/>
          <w:szCs w:val="20"/>
          <w:color w:val="auto"/>
        </w:rPr>
      </w:pPr>
      <w:r>
        <w:rPr>
          <w:rFonts w:ascii="Times New Roman" w:cs="Times New Roman" w:eastAsia="Times New Roman" w:hAnsi="Times New Roman"/>
          <w:sz w:val="18"/>
          <w:szCs w:val="18"/>
          <w:color w:val="auto"/>
        </w:rPr>
        <w:t>The Company evaluated the Pharmanovia License Agreement under ASC 606 and concluded that Pharmanovia represents a customer in the transaction. The initial transaction price consisted of the non-refundable upfront payment, which was recognized as License Revenue in the first quarter of 2023 upon transfer of the license to Pharmanovia, as the requirement for revenue recognition under ASC 606 were met. The remaining forms of consideration are variable because they are dependent on the achievement of sales-based or other milestones. The Company evaluated the constraint on variable consideration and concluded that the milestone payments are dependent on regulatory approvals and actions of third parties, and thus are highly susceptible to factors outside the Company’s influence. Therefore, at contract inception, the milestones are not included in the transaction price as it is not probable that a significant reversal of revenue would not occur. Sales-based milestones will be recognized as revenue in the period when the related sales threshold is met. All other development or regulatory milestones will be recognized as revenue immediately in the period the underlying milestone is achieved. Any consideration related to sales-based royalties will be recognized when the related sales occur. For the year ended December 31, 2024, the Company recognized royalty revenue of $3.5 million related to Pharmanovia’s sales of Sunosi, and $0.5 million related to an achievement of a regulatory milestone in China for Sunosi from SK in the fourth quarter of 2024. No other development or sales-based milestones were recognized during the year ended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 with Pfizer</w:t>
      </w:r>
    </w:p>
    <w:p>
      <w:pPr>
        <w:spacing w:after="0" w:line="22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January 2020, the Company entered into an exclusive license agreement with Pfizer Inc. (“Pfizer”)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referred to as AXS-14, in the U.S. for the treatment of fibromyalgia.</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Pfizer received 82,019 shares of the Company’s common stock having a stated value of $8.0 million, based on the average closing price of the Company’s common stock for the ten prior trading days of $97.54, in consideration for the license and rights and also received an upfront cash payment of $3.0 million. The Company determined that the fair value of each share of common stock granted to Pfizer on the closing date of January 9, 2020 was $87.24, based on the closing price of the Company’s stock on that date. As a result, the fair value of the stock issued was $7.2 million and, therefore, the total research and development expense recognized was $10.2 million related to the Pfizer license agreement during the year ended December 31, 2020.</w:t>
      </w:r>
    </w:p>
    <w:p>
      <w:pPr>
        <w:spacing w:after="0" w:line="187"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Pfizer can also receive up to $323 million in regulatory and sales milestones, and tiered mid-single to low double-digit royalties on future sales related to the licensed products. Pfizer will also have a right of first negotiation on any potential future strategic transactions involving AXS-12 and AXS-</w:t>
      </w:r>
    </w:p>
    <w:p>
      <w:pPr>
        <w:ind w:left="5460" w:right="1800" w:hanging="5452"/>
        <w:spacing w:after="0" w:line="589" w:lineRule="auto"/>
        <w:tabs>
          <w:tab w:leader="none" w:pos="28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2024 and 2023, no milestone payments or royalties were paid to Pfizer by the Company. 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276860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Agreements with Antecip</w:t>
      </w:r>
    </w:p>
    <w:p>
      <w:pPr>
        <w:spacing w:after="0" w:line="22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2012, the Company entered into three exclusive license agreements with Antecip, an entity owned by the Company’s Chief Executive Officer and Chairman of the Board, Herriot Tabuteau, M.D., in which the Company was granted exclusive licenses to develop, manufacture and commercialize Antecip’s patents and applications related to the development of AXS-05 (now marketed as Auvelity) and two product candidates no longer under active development, anywhere in the world for human therapeutic, veterinary, and diagnostic use. Pursuant to the agreements, the Company is required to use commercially reasonable efforts to develop, obtain regulatory approval for and commercialize these product candidates. Under the terms of the agreements, the Company is required to pay to Antecip a royalty equal to 3.0% for AXS-05 (and 1.5% or 4.5% for the other two product candidates no longer under active development),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product-by-product and country-by-country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paid-up, royalty-free, perpetual non-exclusive license. If Antecip terminates any of the agreements for cause, or if the Company exercises its right to terminate any of the agreements for convenience, the rights granted to the Company under such terminated agreement will revert to Antecip. The Company began recording royalty payments to Antecip along with the initiation of sales of Auvelity (the components of which are referred to as “AXS-05”) in the fourth quarter of 2022. For the year ended December 31, 2024, the Company recorded royalty expense of $8.7 million for royalty due to Antecip, which is equal to 3.0% of net sales of Auvelity. This is considered to be a related party transaction.</w:t>
      </w:r>
    </w:p>
    <w:p>
      <w:pPr>
        <w:spacing w:after="0" w:line="87"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In connection with the Loan Agreement, the Company entered into the Direct Agreement with Antecip and Hercules, pursuant to which Antecip consented to the collateral assignment of the License Agreement under the Loan Agreement, among other things.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Royalty Agreements</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the Company agreed to make non-refundable, non-creditable royalty payments to Jazz equal to a (A) high single-digit royalty for any current indication, or (B) mid single-digit royalty for any future indication of net sales in the U.S. Territory made during the applicable royalty term. There are no royalty payments due to Jazz for Net Sales outside of the U.S. Territory.</w:t>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At the Initial Closing, the Company assumed all of the commitments of Jazz to SK and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additionally, the Company is committed to pay up to $165 million based on revenue milestones and $1 million based on development milestones. In the fourth quarter of 2024, the Company recorded a $2.5 million expense for the achievement of a sales-based milestone related to world-wide Sunosi sales.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Income Taxes</w:t>
      </w:r>
    </w:p>
    <w:p>
      <w:pPr>
        <w:spacing w:after="0" w:line="229"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As of December 31, 2024, the Company has U.S. federal net operating loss (“NOL”) carryforwards of approximately $572.1 million and foreign NOL carryforwards of $4.8 million. U.S. federal NOLs amounting to $59.8 million generated before the 2018 tax year will start expiring beginning 2032, and the NOLs of approximately $512.3 million generated in 2018 and later have an indefinite carryforward period. The NOL carryforwards are subject to review and possible adjustment by the Internal Revenue Service (“IRS”) and state tax authorities. NOL carryforwards may become subject to an annual limitation in the event of certain cumulative changes in the ownership interest of significant stockholders, as defined under Sections 382 and 383 of the Internal Revenue Code of 1986, as amended, as well as similar state tax provisions. This could limit the amount of NOLs that the Company can utilize annually to offset future taxable income or tax liabilities.</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components of the Company’s deferred tax assets and deferred tax liabilities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federal operating loss carryforward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120,149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114,889</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foreign operating loss carryforward</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4,830</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697</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state operating loss carryforward</w:t>
            </w:r>
          </w:p>
        </w:tc>
        <w:tc>
          <w:tcPr>
            <w:tcW w:w="140" w:type="dxa"/>
            <w:vAlign w:val="bottom"/>
          </w:tcPr>
          <w:p>
            <w:pPr>
              <w:spacing w:after="0"/>
              <w:rPr>
                <w:sz w:val="18"/>
                <w:szCs w:val="18"/>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37,828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34,365</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compensation</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30,734</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20,007</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40" w:type="dxa"/>
            <w:vAlign w:val="bottom"/>
          </w:tcPr>
          <w:p>
            <w:pPr>
              <w:spacing w:after="0"/>
              <w:rPr>
                <w:sz w:val="18"/>
                <w:szCs w:val="18"/>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27,409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21,034</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3,458</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1,327</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w:t>
            </w:r>
          </w:p>
        </w:tc>
        <w:tc>
          <w:tcPr>
            <w:tcW w:w="140" w:type="dxa"/>
            <w:vAlign w:val="bottom"/>
          </w:tcPr>
          <w:p>
            <w:pPr>
              <w:spacing w:after="0"/>
              <w:rPr>
                <w:sz w:val="18"/>
                <w:szCs w:val="18"/>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5,547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4,242</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9,180</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6,058</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174 capitalization</w:t>
            </w:r>
          </w:p>
        </w:tc>
        <w:tc>
          <w:tcPr>
            <w:tcW w:w="140" w:type="dxa"/>
            <w:vAlign w:val="bottom"/>
          </w:tcPr>
          <w:p>
            <w:pPr>
              <w:spacing w:after="0"/>
              <w:rPr>
                <w:sz w:val="18"/>
                <w:szCs w:val="18"/>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42,343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22,248</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Fixed assets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140" w:type="dxa"/>
            <w:vAlign w:val="bottom"/>
          </w:tcPr>
          <w:p>
            <w:pPr>
              <w:spacing w:after="0"/>
              <w:rPr>
                <w:sz w:val="18"/>
                <w:szCs w:val="18"/>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3,045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315</w:t>
            </w: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 excluding valuation allowance</w:t>
            </w:r>
          </w:p>
        </w:tc>
        <w:tc>
          <w:tcPr>
            <w:tcW w:w="140" w:type="dxa"/>
            <w:vAlign w:val="bottom"/>
          </w:tcPr>
          <w:p>
            <w:pPr>
              <w:spacing w:after="0"/>
              <w:rPr>
                <w:sz w:val="18"/>
                <w:szCs w:val="18"/>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284,570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225,182</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assets</w:t>
            </w:r>
          </w:p>
        </w:tc>
        <w:tc>
          <w:tcPr>
            <w:tcW w:w="140" w:type="dxa"/>
            <w:vAlign w:val="bottom"/>
          </w:tcPr>
          <w:p>
            <w:pPr>
              <w:spacing w:after="0"/>
              <w:rPr>
                <w:sz w:val="18"/>
                <w:szCs w:val="18"/>
                <w:color w:val="auto"/>
              </w:rPr>
            </w:pPr>
          </w:p>
        </w:tc>
        <w:tc>
          <w:tcPr>
            <w:tcW w:w="1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asset</w:t>
            </w:r>
          </w:p>
        </w:tc>
        <w:tc>
          <w:tcPr>
            <w:tcW w:w="1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(2,413 )</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(1,661 )</w:t>
            </w: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 excluding valuation allowance</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(1,739 )</w:t>
            </w:r>
          </w:p>
        </w:tc>
      </w:tr>
      <w:tr>
        <w:trPr>
          <w:trHeight w:val="216"/>
        </w:trPr>
        <w:tc>
          <w:tcPr>
            <w:tcW w:w="7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(282,157 )</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(223,443 )</w:t>
            </w: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-1148080</wp:posOffset>
            </wp:positionV>
            <wp:extent cx="1117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-590550</wp:posOffset>
            </wp:positionV>
            <wp:extent cx="1117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Based on the weight of the available evidence, which includes the Company’s historical operating losses and forecast of future losses, the Company provided a full valuation allowance against the deferred tax assets resulting from the tax loss and credits carried forward. The valuation allowance increased by $58.7 million, $39.0 million and $26.9 million, in 2024, 2023 and 2022, respectively, as a result of the increase of the deferred tax assets.</w:t>
      </w:r>
    </w:p>
    <w:p>
      <w:pPr>
        <w:spacing w:after="0" w:line="187"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2024, the Company recorded $0.1 million of income tax expense due to state taxes that the Company expects to pay based on minimum tax requirements in various states. For the year ended December 31, 2023, the Company recorded $1.0 million of income tax expense related to its foreign operations in Malta primarily due to a one-time payment received in connection with the Pharmanovia License Agreement. There was no income tax expense or benefit recorded by the Company in any other jurisdiction due to its net loss tax position and full valuation allowance during the year ended December 31, 2024, 2023, and 2022. As of December 31, 2024, the Company does not believe any material uncertain tax positions are present. A reconciliation of the statutory federal income tax rate to the Company’s annual effective tax rate as reflected in the consolidated financial statements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15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5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c>
          <w:tcPr>
            <w:tcW w:w="15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10"/>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2.2</w:t>
            </w:r>
          </w:p>
        </w:tc>
        <w:tc>
          <w:tcPr>
            <w:tcW w:w="170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2.6</w:t>
            </w:r>
          </w:p>
        </w:tc>
        <w:tc>
          <w:tcPr>
            <w:tcW w:w="164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5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(6.3 )</w:t>
            </w:r>
          </w:p>
        </w:tc>
        <w:tc>
          <w:tcPr>
            <w:tcW w:w="170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(1.8 )</w:t>
            </w:r>
          </w:p>
        </w:tc>
        <w:tc>
          <w:tcPr>
            <w:tcW w:w="1640" w:type="dxa"/>
            <w:vAlign w:val="bottom"/>
            <w:gridSpan w:val="2"/>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 - Excess tax benefit</w:t>
            </w:r>
          </w:p>
        </w:tc>
        <w:tc>
          <w:tcPr>
            <w:tcW w:w="1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1.3</w:t>
            </w:r>
          </w:p>
        </w:tc>
        <w:tc>
          <w:tcPr>
            <w:tcW w:w="170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0.7</w:t>
            </w:r>
          </w:p>
        </w:tc>
        <w:tc>
          <w:tcPr>
            <w:tcW w:w="164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162(m) Limitation</w:t>
            </w:r>
          </w:p>
        </w:tc>
        <w:tc>
          <w:tcPr>
            <w:tcW w:w="15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(1.1 )</w:t>
            </w:r>
          </w:p>
        </w:tc>
        <w:tc>
          <w:tcPr>
            <w:tcW w:w="170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(0.6 )</w:t>
            </w:r>
          </w:p>
        </w:tc>
        <w:tc>
          <w:tcPr>
            <w:tcW w:w="170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(0.4 )</w:t>
            </w:r>
          </w:p>
        </w:tc>
        <w:tc>
          <w:tcPr>
            <w:tcW w:w="164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(0.3 )</w:t>
            </w:r>
          </w:p>
        </w:tc>
      </w:tr>
      <w:tr>
        <w:trPr>
          <w:trHeight w:val="216"/>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credit</w:t>
            </w:r>
          </w:p>
        </w:tc>
        <w:tc>
          <w:tcPr>
            <w:tcW w:w="15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2.8</w:t>
            </w:r>
          </w:p>
        </w:tc>
        <w:tc>
          <w:tcPr>
            <w:tcW w:w="170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1.9</w:t>
            </w:r>
          </w:p>
        </w:tc>
        <w:tc>
          <w:tcPr>
            <w:tcW w:w="164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(0.6 )</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adjustment</w:t>
            </w:r>
          </w:p>
        </w:tc>
        <w:tc>
          <w:tcPr>
            <w:tcW w:w="15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8"/>
                <w:szCs w:val="18"/>
                <w:color w:val="auto"/>
              </w:rPr>
            </w:pPr>
          </w:p>
        </w:tc>
        <w:tc>
          <w:tcPr>
            <w:tcW w:w="158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(2.9 )</w:t>
            </w:r>
          </w:p>
        </w:tc>
      </w:tr>
      <w:tr>
        <w:trPr>
          <w:trHeight w:val="216"/>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GILTI</w:t>
            </w:r>
          </w:p>
        </w:tc>
        <w:tc>
          <w:tcPr>
            <w:tcW w:w="15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(19.8 )</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(23.9 )</w:t>
            </w:r>
          </w:p>
        </w:tc>
      </w:tr>
      <w:tr>
        <w:trPr>
          <w:trHeight w:val="250"/>
        </w:trPr>
        <w:tc>
          <w:tcPr>
            <w:tcW w:w="6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-24765</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200" w:firstLine="749"/>
        <w:spacing w:after="0" w:line="261" w:lineRule="auto"/>
        <w:rPr>
          <w:sz w:val="20"/>
          <w:szCs w:val="20"/>
          <w:color w:val="auto"/>
        </w:rPr>
      </w:pPr>
      <w:r>
        <w:rPr>
          <w:rFonts w:ascii="Times New Roman" w:cs="Times New Roman" w:eastAsia="Times New Roman" w:hAnsi="Times New Roman"/>
          <w:sz w:val="18"/>
          <w:szCs w:val="18"/>
          <w:color w:val="auto"/>
        </w:rPr>
        <w:t>The Company is currently under examination by the IRS for the Company’s 2021 U.S. income tax return. The Company is not currently under examination at the state level. The Company’s U.S. federal and state net operating losses have occurred since its inception in 2012 and as such, tax years subject to potential tax examination could apply from that date because the utilization of net operating losses from prior years opens the relevant year to audit by the IRS and/or state taxing authorities.</w:t>
      </w:r>
    </w:p>
    <w:p>
      <w:pPr>
        <w:spacing w:after="0" w:line="180"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Company has elected to account for Global Intangible Low-Taxed Income (GILTI) in the period in which it is incurred, and therefore has not provided deferred tax impacts of GILTI in its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Related Party Transactions</w:t>
      </w:r>
    </w:p>
    <w:p>
      <w:pPr>
        <w:spacing w:after="0" w:line="22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From the Company’s inception, Herriot Tabuteau, M.D. has been the Company’s founder, Chief Executive Officer, Chairman of the Company’s Board, and the beneficial owner of more than 5% of the outstanding shares of the Company’s common stock. In connection with the formation of the Company, in January 2012, the Company issued to Antecip Bioventures II LLC, an entity controlled by Dr. Tabuteau, an aggregate of 7,344,500 shares of the Company’s common stock for nominal consideration. Additionally, since the launch of Auvelity in the fourth quarter of 2022, the Company recorded royalty expense of $8.7 million and $3.9 million for the years ended December 31, 2024 and 2023, respectively, which equal 3.0% of net sales for those respective years.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is a party to three exclusive license agreements with Antecip Bioventures II LLC, an entity owned by Dr. Tabuteau. See Note 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Agreements for further information regarding the license agreements.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Segment Information</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views its operations and manages its business as one operating and reportable segment, which is the business of developing and delivering novel therapies for the management of CNS disorders. The Company’s focus centers around the CNS disorders market as its primary operating environment. Consistent with the operational structure, the Chief Executive Officer, as the chief operating decision maker (“CODM”), manages and allocates resources on a consolidated basis. This decision making process reflects the way in which the financial information is regularly reviewed and used by the CODM to evaluate performance, set operational targets, forecast future financial results, and allocate resources.</w:t>
      </w:r>
    </w:p>
    <w:p>
      <w:pPr>
        <w:spacing w:after="0" w:line="183"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The Company’s CODM assesses financial performance and allocates resources based on consolidated net loss that also is reported on the consolidated statements of operations. The measure of segment assets is reported on the balance sheet as total consolidated assets. The CODM utilizes consolidated net loss by comparing actual results against budgeted amounts on a quarterly basis. As part of this process, consolidated net loss is a critical performance measure used to evaluate the Company’s operating performance and guide strategic decisions and resource allocations, including additional investments in research and development and commercialization activities.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one reportable segment and includes the reconciliation to consolidated net loss.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385,693</w:t>
            </w:r>
          </w:p>
        </w:tc>
        <w:tc>
          <w:tcPr>
            <w:tcW w:w="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270,600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50,037</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 (excluding amortization and depreciation)</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33,303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26,065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expense (excluding share-based compensation expense):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Solriamfetol</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53,678</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18,232</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AXS-05</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23,949</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AXS-07</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9,061</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AXS-12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AXS-14</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380"/>
              <w:spacing w:after="0" w:line="216" w:lineRule="exact"/>
              <w:rPr>
                <w:sz w:val="20"/>
                <w:szCs w:val="20"/>
                <w:color w:val="auto"/>
              </w:rPr>
            </w:pPr>
            <w:r>
              <w:rPr>
                <w:rFonts w:ascii="Times New Roman" w:cs="Times New Roman" w:eastAsia="Times New Roman" w:hAnsi="Times New Roman"/>
                <w:sz w:val="18"/>
                <w:szCs w:val="18"/>
                <w:color w:val="auto"/>
              </w:rPr>
              <w:t>Other research and development</w:t>
            </w:r>
            <w:r>
              <w:rPr>
                <w:rFonts w:ascii="Times New Roman" w:cs="Times New Roman" w:eastAsia="Times New Roman" w:hAnsi="Times New Roman"/>
                <w:sz w:val="24"/>
                <w:szCs w:val="24"/>
                <w:color w:val="auto"/>
                <w:vertAlign w:val="superscript"/>
              </w:rPr>
              <w:t>(a)</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 expense (excluding share-based compensation expense)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54,204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25,473</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and marketing expense (excluding share-based compensation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237,228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104,659</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 based compensation expense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85,218</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62,620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37,726</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in fair value of contingent consideration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4"/>
                <w:szCs w:val="24"/>
                <w:color w:val="auto"/>
                <w:vertAlign w:val="superscript"/>
              </w:rPr>
              <w:t>(b)</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(c)</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00" w:type="dxa"/>
            <w:vAlign w:val="bottom"/>
          </w:tcPr>
          <w:p>
            <w:pPr>
              <w:spacing w:after="0"/>
              <w:rPr>
                <w:sz w:val="18"/>
                <w:szCs w:val="18"/>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net loss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(287,216 )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(239,238 )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(187,134 )</w:t>
            </w:r>
          </w:p>
        </w:tc>
      </w:tr>
      <w:tr>
        <w:trPr>
          <w:trHeight w:val="210"/>
        </w:trPr>
        <w:tc>
          <w:tcPr>
            <w:tcW w:w="66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Reconciliation of net loss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Consolidated net loss</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(287,216 )</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(239,238 )</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(187,134 )</w:t>
            </w: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-591185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-591185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300" w:hanging="292"/>
        <w:spacing w:after="0"/>
        <w:tabs>
          <w:tab w:leader="none" w:pos="3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research and development expenses primarily consist of facilities charges, third party consultant costs, costs related to other product candidates, and other unallocated costs.</w:t>
      </w:r>
    </w:p>
    <w:p>
      <w:pPr>
        <w:ind w:left="300" w:right="20" w:hanging="292"/>
        <w:spacing w:after="0" w:line="234" w:lineRule="auto"/>
        <w:tabs>
          <w:tab w:leader="none" w:pos="30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Interest expense, net of $6,569 for the year ended December 31, 2024 comprises (i) consolidated interest expense of $21,581 and (ii) consolidated interest income of $15,012. Interest expense, net of $6,453 for the year ended December 31, 2023 comprises (i) consolidated interest expense of $20,034 and (ii) consolidated interest income of $13,581. Interest expense, net of $7,335 for the year ended December 31, 2022 comprises</w:t>
      </w:r>
    </w:p>
    <w:p>
      <w:pPr>
        <w:ind w:left="300"/>
        <w:spacing w:after="0" w:line="21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(i) consolidated interest expense of $9,659 and (ii) consolidated interest income of $2,324.</w:t>
      </w:r>
    </w:p>
    <w:p>
      <w:pPr>
        <w:ind w:left="300" w:hanging="292"/>
        <w:spacing w:after="0"/>
        <w:tabs>
          <w:tab w:leader="none" w:pos="3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segment items included in Segment net loss includes intangible asset amortization and income tax expense.</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Note 2. Summary of Significant Accounting Policies for further details on the products from which the Company derives its revenues.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Note 15. Revenues for details of revenue from external customers by geography.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Subsequent Events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In January 2025, the Company entered into an amended sublease agreement for its corporate office located at One World Trade Center in New York, New York.</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January 30, 2025, the FDA approved Symbravo (meloxicam and rizatriptan) for the acute treatment of migraine with or without aura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adults.</w:t>
      </w:r>
    </w:p>
    <w:p>
      <w:pPr>
        <w:spacing w:after="0" w:line="20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On February 10, 2025, the Company announced that it had entered into a settlement agreement with Teva to resolve all outstanding litigation between the parties relating to Auvelity. Under the terms of the settlement agreement, the Company will grant Teva a license to sell its generic version of Auvelity beginning on or after March 31, 2039, if pediatric exclusivity is granted for Auvelity, or on or after September 30, 2038, if no pediatric exclusivity is granted, subject to FDA approval and conditions and exceptions customary for agreements of this type.</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60" w:type="dxa"/>
            <w:vAlign w:val="bottom"/>
            <w:gridSpan w:val="21"/>
          </w:tcPr>
          <w:p>
            <w:pPr>
              <w:ind w:left="340"/>
              <w:spacing w:after="0"/>
              <w:rPr>
                <w:sz w:val="20"/>
                <w:szCs w:val="20"/>
                <w:color w:val="auto"/>
              </w:rPr>
            </w:pPr>
            <w:r>
              <w:rPr>
                <w:rFonts w:ascii="Times New Roman" w:cs="Times New Roman" w:eastAsia="Times New Roman" w:hAnsi="Times New Roman"/>
                <w:sz w:val="18"/>
                <w:szCs w:val="18"/>
                <w:b w:val="1"/>
                <w:bCs w:val="1"/>
                <w:color w:val="auto"/>
              </w:rPr>
              <w:t>INDEX OF EXHIBITS</w:t>
            </w:r>
          </w:p>
        </w:tc>
        <w:tc>
          <w:tcPr>
            <w:tcW w:w="0" w:type="dxa"/>
            <w:vAlign w:val="bottom"/>
          </w:tcPr>
          <w:p>
            <w:pPr>
              <w:spacing w:after="0"/>
              <w:rPr>
                <w:sz w:val="1"/>
                <w:szCs w:val="1"/>
                <w:color w:val="auto"/>
              </w:rPr>
            </w:pPr>
          </w:p>
        </w:tc>
      </w:tr>
      <w:tr>
        <w:trPr>
          <w:trHeight w:val="340"/>
        </w:trPr>
        <w:tc>
          <w:tcPr>
            <w:tcW w:w="10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60" w:type="dxa"/>
            <w:vAlign w:val="bottom"/>
            <w:gridSpan w:val="21"/>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60" w:type="dxa"/>
            <w:vAlign w:val="bottom"/>
            <w:tcBorders>
              <w:bottom w:val="single" w:sz="8" w:color="auto"/>
            </w:tcBorders>
            <w:gridSpan w:val="2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2"/>
                <w:szCs w:val="22"/>
                <w:color w:val="auto"/>
              </w:rPr>
            </w:pPr>
          </w:p>
        </w:tc>
        <w:tc>
          <w:tcPr>
            <w:tcW w:w="972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344">
              <w:r>
                <w:rPr>
                  <w:rFonts w:ascii="Times New Roman" w:cs="Times New Roman" w:eastAsia="Times New Roman" w:hAnsi="Times New Roman"/>
                  <w:sz w:val="18"/>
                  <w:szCs w:val="18"/>
                  <w:color w:val="auto"/>
                </w:rPr>
                <w:t>Amended and Restated Certificate of Incorporation of the Company (Incorporated by reference, Exhibit 3.1 to the Company’s Current</w:t>
              </w:r>
            </w:hyperlink>
          </w:p>
        </w:tc>
        <w:tc>
          <w:tcPr>
            <w:tcW w:w="34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9"/>
              </w:rPr>
            </w:pPr>
            <w:hyperlink r:id="rId344">
              <w:r>
                <w:rPr>
                  <w:rFonts w:ascii="Times New Roman" w:cs="Times New Roman" w:eastAsia="Times New Roman" w:hAnsi="Times New Roman"/>
                  <w:sz w:val="18"/>
                  <w:szCs w:val="18"/>
                  <w:color w:val="auto"/>
                  <w:w w:val="99"/>
                </w:rPr>
                <w:t>Report on Form 8-K (No. 001-37635) filed November 24, 2015).</w:t>
              </w:r>
            </w:hyperlink>
          </w:p>
        </w:tc>
        <w:tc>
          <w:tcPr>
            <w:tcW w:w="53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980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345">
              <w:r>
                <w:rPr>
                  <w:rFonts w:ascii="Times New Roman" w:cs="Times New Roman" w:eastAsia="Times New Roman" w:hAnsi="Times New Roman"/>
                  <w:sz w:val="18"/>
                  <w:szCs w:val="18"/>
                  <w:color w:val="auto"/>
                </w:rPr>
                <w:t>Amended and Restated Bylaws of the Company (Incorporated by reference, Exhibit 3.2 to the Company’s Current Report on Form 8-K</w:t>
              </w:r>
            </w:hyperlink>
          </w:p>
        </w:tc>
        <w:tc>
          <w:tcPr>
            <w:tcW w:w="2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auto"/>
                <w:w w:val="99"/>
              </w:rPr>
            </w:pPr>
            <w:hyperlink r:id="rId345">
              <w:r>
                <w:rPr>
                  <w:rFonts w:ascii="Times New Roman" w:cs="Times New Roman" w:eastAsia="Times New Roman" w:hAnsi="Times New Roman"/>
                  <w:sz w:val="18"/>
                  <w:szCs w:val="18"/>
                  <w:color w:val="auto"/>
                  <w:w w:val="99"/>
                </w:rPr>
                <w:t>(No. 001-37635) filed November 24, 2015).</w:t>
              </w:r>
            </w:hyperlink>
          </w:p>
        </w:tc>
        <w:tc>
          <w:tcPr>
            <w:tcW w:w="68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10060" w:type="dxa"/>
            <w:vAlign w:val="bottom"/>
            <w:gridSpan w:val="25"/>
          </w:tcPr>
          <w:p>
            <w:pPr>
              <w:spacing w:after="0"/>
              <w:rPr>
                <w:rFonts w:ascii="Times New Roman" w:cs="Times New Roman" w:eastAsia="Times New Roman" w:hAnsi="Times New Roman"/>
                <w:sz w:val="18"/>
                <w:szCs w:val="18"/>
                <w:color w:val="auto"/>
              </w:rPr>
            </w:pPr>
            <w:hyperlink r:id="rId346">
              <w:r>
                <w:rPr>
                  <w:rFonts w:ascii="Times New Roman" w:cs="Times New Roman" w:eastAsia="Times New Roman" w:hAnsi="Times New Roman"/>
                  <w:sz w:val="18"/>
                  <w:szCs w:val="18"/>
                  <w:color w:val="auto"/>
                </w:rPr>
                <w:t>Specimen Certificate evidencing shares of Company’s common stock (Incorporated by reference, Exhibit 4.1 to Amendment No. 1 to the</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auto"/>
              </w:rPr>
            </w:pPr>
            <w:hyperlink r:id="rId346">
              <w:r>
                <w:rPr>
                  <w:rFonts w:ascii="Times New Roman" w:cs="Times New Roman" w:eastAsia="Times New Roman" w:hAnsi="Times New Roman"/>
                  <w:sz w:val="18"/>
                  <w:szCs w:val="18"/>
                  <w:color w:val="auto"/>
                </w:rPr>
                <w:t>Company’s Registration Statement on Form S-1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207393) filed October 30, 2015).</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10020" w:type="dxa"/>
            <w:vAlign w:val="bottom"/>
            <w:tcBorders>
              <w:bottom w:val="single" w:sz="8" w:color="0000EE"/>
            </w:tcBorders>
            <w:gridSpan w:val="23"/>
          </w:tcPr>
          <w:p>
            <w:pPr>
              <w:spacing w:after="0"/>
              <w:rPr>
                <w:rFonts w:ascii="Times New Roman" w:cs="Times New Roman" w:eastAsia="Times New Roman" w:hAnsi="Times New Roman"/>
                <w:sz w:val="18"/>
                <w:szCs w:val="18"/>
                <w:color w:val="auto"/>
              </w:rPr>
            </w:pPr>
            <w:hyperlink r:id="rId347">
              <w:r>
                <w:rPr>
                  <w:rFonts w:ascii="Times New Roman" w:cs="Times New Roman" w:eastAsia="Times New Roman" w:hAnsi="Times New Roman"/>
                  <w:sz w:val="18"/>
                  <w:szCs w:val="18"/>
                  <w:color w:val="auto"/>
                </w:rPr>
                <w:t>Form of warrant to purchase shares of Company’s common stock issued in 2013 (Incorporated by reference, Exhibit 4.2 to the Company’s</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auto"/>
              </w:rPr>
            </w:pPr>
            <w:hyperlink r:id="rId347">
              <w:r>
                <w:rPr>
                  <w:rFonts w:ascii="Times New Roman" w:cs="Times New Roman" w:eastAsia="Times New Roman" w:hAnsi="Times New Roman"/>
                  <w:sz w:val="18"/>
                  <w:szCs w:val="18"/>
                  <w:color w:val="auto"/>
                </w:rPr>
                <w:t>Registration Statement on Form S-1 (No. 333-207393) filed October 13, 2015).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10020" w:type="dxa"/>
            <w:vAlign w:val="bottom"/>
            <w:tcBorders>
              <w:bottom w:val="single" w:sz="8" w:color="0000EE"/>
            </w:tcBorders>
            <w:gridSpan w:val="23"/>
          </w:tcPr>
          <w:p>
            <w:pPr>
              <w:spacing w:after="0"/>
              <w:rPr>
                <w:rFonts w:ascii="Times New Roman" w:cs="Times New Roman" w:eastAsia="Times New Roman" w:hAnsi="Times New Roman"/>
                <w:sz w:val="18"/>
                <w:szCs w:val="18"/>
                <w:color w:val="auto"/>
              </w:rPr>
            </w:pPr>
            <w:hyperlink r:id="rId348">
              <w:r>
                <w:rPr>
                  <w:rFonts w:ascii="Times New Roman" w:cs="Times New Roman" w:eastAsia="Times New Roman" w:hAnsi="Times New Roman"/>
                  <w:sz w:val="18"/>
                  <w:szCs w:val="18"/>
                  <w:color w:val="auto"/>
                </w:rPr>
                <w:t>Form of warrant to purchase shares of Company’s common stock issued in 2014 (Incorporated by reference, Exhibit 4.3 to the Company’s</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auto"/>
              </w:rPr>
            </w:pPr>
            <w:hyperlink r:id="rId348">
              <w:r>
                <w:rPr>
                  <w:rFonts w:ascii="Times New Roman" w:cs="Times New Roman" w:eastAsia="Times New Roman" w:hAnsi="Times New Roman"/>
                  <w:sz w:val="18"/>
                  <w:szCs w:val="18"/>
                  <w:color w:val="auto"/>
                </w:rPr>
                <w:t>Registration Statement on Form S-1 (No. 333-207393) filed October 13, 2015).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10060" w:type="dxa"/>
            <w:vAlign w:val="bottom"/>
            <w:gridSpan w:val="25"/>
          </w:tcPr>
          <w:p>
            <w:pPr>
              <w:spacing w:after="0" w:line="207" w:lineRule="exact"/>
              <w:rPr>
                <w:rFonts w:ascii="Times New Roman" w:cs="Times New Roman" w:eastAsia="Times New Roman" w:hAnsi="Times New Roman"/>
                <w:sz w:val="18"/>
                <w:szCs w:val="18"/>
                <w:color w:val="auto"/>
              </w:rPr>
            </w:pPr>
            <w:hyperlink r:id="rId349">
              <w:r>
                <w:rPr>
                  <w:rFonts w:ascii="Times New Roman" w:cs="Times New Roman" w:eastAsia="Times New Roman" w:hAnsi="Times New Roman"/>
                  <w:sz w:val="18"/>
                  <w:szCs w:val="18"/>
                  <w:color w:val="auto"/>
                </w:rPr>
                <w:t>Form of Warrant (Incorporated by reference, Exhibit 4.1 to the Company’s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filed December 4, 2017).</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4"/>
                <w:szCs w:val="24"/>
                <w:color w:val="auto"/>
              </w:rPr>
            </w:pPr>
          </w:p>
        </w:tc>
        <w:tc>
          <w:tcPr>
            <w:tcW w:w="10000" w:type="dxa"/>
            <w:vAlign w:val="bottom"/>
            <w:tcBorders>
              <w:bottom w:val="single" w:sz="8" w:color="0000EE"/>
            </w:tcBorders>
            <w:gridSpan w:val="22"/>
          </w:tcPr>
          <w:p>
            <w:pPr>
              <w:spacing w:after="0"/>
              <w:rPr>
                <w:rFonts w:ascii="Times New Roman" w:cs="Times New Roman" w:eastAsia="Times New Roman" w:hAnsi="Times New Roman"/>
                <w:sz w:val="18"/>
                <w:szCs w:val="18"/>
                <w:color w:val="auto"/>
              </w:rPr>
            </w:pPr>
            <w:hyperlink r:id="rId350">
              <w:r>
                <w:rPr>
                  <w:rFonts w:ascii="Times New Roman" w:cs="Times New Roman" w:eastAsia="Times New Roman" w:hAnsi="Times New Roman"/>
                  <w:sz w:val="18"/>
                  <w:szCs w:val="18"/>
                  <w:color w:val="auto"/>
                </w:rPr>
                <w:t>Warrant Agreement, dated as of September 25, 2020, by and between Axsome Therapeutics, Inc. and Hercules Capital, Inc. (Incorporated</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auto"/>
                <w:w w:val="99"/>
              </w:rPr>
            </w:pPr>
            <w:hyperlink r:id="rId350">
              <w:r>
                <w:rPr>
                  <w:rFonts w:ascii="Times New Roman" w:cs="Times New Roman" w:eastAsia="Times New Roman" w:hAnsi="Times New Roman"/>
                  <w:sz w:val="18"/>
                  <w:szCs w:val="18"/>
                  <w:color w:val="auto"/>
                  <w:w w:val="99"/>
                </w:rPr>
                <w:t>by reference, Exhibit 10.4 to the Company’s Quarterly Report on Form 10-Q, filed November 5, 2020).</w:t>
              </w:r>
            </w:hyperlink>
          </w:p>
        </w:tc>
        <w:tc>
          <w:tcPr>
            <w:tcW w:w="26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4"/>
                <w:szCs w:val="24"/>
                <w:color w:val="auto"/>
              </w:rPr>
            </w:pPr>
          </w:p>
        </w:tc>
        <w:tc>
          <w:tcPr>
            <w:tcW w:w="10060" w:type="dxa"/>
            <w:vAlign w:val="bottom"/>
            <w:gridSpan w:val="25"/>
          </w:tcPr>
          <w:p>
            <w:pPr>
              <w:spacing w:after="0"/>
              <w:rPr>
                <w:rFonts w:ascii="Times New Roman" w:cs="Times New Roman" w:eastAsia="Times New Roman" w:hAnsi="Times New Roman"/>
                <w:sz w:val="18"/>
                <w:szCs w:val="18"/>
                <w:color w:val="auto"/>
              </w:rPr>
            </w:pPr>
            <w:hyperlink r:id="rId351">
              <w:r>
                <w:rPr>
                  <w:rFonts w:ascii="Times New Roman" w:cs="Times New Roman" w:eastAsia="Times New Roman" w:hAnsi="Times New Roman"/>
                  <w:sz w:val="18"/>
                  <w:szCs w:val="18"/>
                  <w:color w:val="auto"/>
                </w:rPr>
                <w:t>Description of Securities (Incorporated by reference, Exhibit 4.13, to the Company’s Annual Report on Form 10-K, filed March 12, 2020).</w:t>
              </w:r>
            </w:hyperlink>
          </w:p>
        </w:tc>
        <w:tc>
          <w:tcPr>
            <w:tcW w:w="0" w:type="dxa"/>
            <w:vAlign w:val="bottom"/>
          </w:tcPr>
          <w:p>
            <w:pPr>
              <w:spacing w:after="0"/>
              <w:rPr>
                <w:sz w:val="1"/>
                <w:szCs w:val="1"/>
                <w:color w:val="auto"/>
              </w:rPr>
            </w:pPr>
          </w:p>
        </w:tc>
      </w:tr>
      <w:tr>
        <w:trPr>
          <w:trHeight w:val="291"/>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9980" w:type="dxa"/>
            <w:vAlign w:val="bottom"/>
            <w:tcBorders>
              <w:top w:val="single" w:sz="8" w:color="0000EE"/>
              <w:bottom w:val="single" w:sz="8" w:color="0000EE"/>
            </w:tcBorders>
            <w:gridSpan w:val="21"/>
          </w:tcPr>
          <w:p>
            <w:pPr>
              <w:spacing w:after="0"/>
              <w:rPr>
                <w:rFonts w:ascii="Times New Roman" w:cs="Times New Roman" w:eastAsia="Times New Roman" w:hAnsi="Times New Roman"/>
                <w:sz w:val="18"/>
                <w:szCs w:val="18"/>
                <w:color w:val="auto"/>
              </w:rPr>
            </w:pPr>
            <w:hyperlink r:id="rId352">
              <w:r>
                <w:rPr>
                  <w:rFonts w:ascii="Times New Roman" w:cs="Times New Roman" w:eastAsia="Times New Roman" w:hAnsi="Times New Roman"/>
                  <w:sz w:val="18"/>
                  <w:szCs w:val="18"/>
                  <w:color w:val="auto"/>
                </w:rPr>
                <w:t>Axsome Therapeutics, Inc. 2013 Equity Compensation Plan and Form of Nonqualified Stock Option Agreement thereunder (Incorporated</w:t>
              </w:r>
            </w:hyperlink>
          </w:p>
        </w:tc>
        <w:tc>
          <w:tcPr>
            <w:tcW w:w="20" w:type="dxa"/>
            <w:vAlign w:val="bottom"/>
            <w:tcBorders>
              <w:top w:val="single" w:sz="8" w:color="0000EE"/>
            </w:tcBorders>
          </w:tcPr>
          <w:p>
            <w:pPr>
              <w:spacing w:after="0"/>
              <w:rPr>
                <w:sz w:val="24"/>
                <w:szCs w:val="24"/>
                <w:color w:val="auto"/>
              </w:rPr>
            </w:pPr>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auto"/>
              </w:rPr>
            </w:pPr>
            <w:hyperlink r:id="rId352">
              <w:r>
                <w:rPr>
                  <w:rFonts w:ascii="Times New Roman" w:cs="Times New Roman" w:eastAsia="Times New Roman" w:hAnsi="Times New Roman"/>
                  <w:sz w:val="18"/>
                  <w:szCs w:val="18"/>
                  <w:color w:val="auto"/>
                </w:rPr>
                <w:t>by reference, Exhibit 10.1 to the Company’s Registration Statement on Form S-1 (No. 333-207393) filed October 13, 2015).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9920" w:type="dxa"/>
            <w:vAlign w:val="bottom"/>
            <w:tcBorders>
              <w:bottom w:val="single" w:sz="8" w:color="0000EE"/>
            </w:tcBorders>
            <w:gridSpan w:val="19"/>
          </w:tcPr>
          <w:p>
            <w:pPr>
              <w:spacing w:after="0"/>
              <w:rPr>
                <w:rFonts w:ascii="Times New Roman" w:cs="Times New Roman" w:eastAsia="Times New Roman" w:hAnsi="Times New Roman"/>
                <w:sz w:val="18"/>
                <w:szCs w:val="18"/>
                <w:color w:val="auto"/>
              </w:rPr>
            </w:pPr>
            <w:hyperlink r:id="rId353">
              <w:r>
                <w:rPr>
                  <w:rFonts w:ascii="Times New Roman" w:cs="Times New Roman" w:eastAsia="Times New Roman" w:hAnsi="Times New Roman"/>
                  <w:sz w:val="18"/>
                  <w:szCs w:val="18"/>
                  <w:color w:val="auto"/>
                </w:rPr>
                <w:t>Axsome Therapeutics, Inc. Amended and Restated 2015 Omnibus Incentive Compensation Plan (Incorporated by reference, Exhibit 10.2</w:t>
              </w:r>
            </w:hyperlink>
          </w:p>
        </w:tc>
        <w:tc>
          <w:tcPr>
            <w:tcW w:w="1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auto"/>
                <w:w w:val="99"/>
              </w:rPr>
            </w:pPr>
            <w:hyperlink r:id="rId353">
              <w:r>
                <w:rPr>
                  <w:rFonts w:ascii="Times New Roman" w:cs="Times New Roman" w:eastAsia="Times New Roman" w:hAnsi="Times New Roman"/>
                  <w:sz w:val="18"/>
                  <w:szCs w:val="18"/>
                  <w:color w:val="auto"/>
                  <w:w w:val="99"/>
                </w:rPr>
                <w:t>to the Company’s Annual Report on Form 10-K, filed February 23, 2024).</w:t>
              </w:r>
            </w:hyperlink>
          </w:p>
        </w:tc>
        <w:tc>
          <w:tcPr>
            <w:tcW w:w="47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9120" w:type="dxa"/>
            <w:vAlign w:val="bottom"/>
            <w:tcBorders>
              <w:bottom w:val="single" w:sz="8" w:color="0000EE"/>
            </w:tcBorders>
            <w:gridSpan w:val="12"/>
          </w:tcPr>
          <w:p>
            <w:pPr>
              <w:spacing w:after="0"/>
              <w:rPr>
                <w:rFonts w:ascii="Times New Roman" w:cs="Times New Roman" w:eastAsia="Times New Roman" w:hAnsi="Times New Roman"/>
                <w:sz w:val="18"/>
                <w:szCs w:val="18"/>
                <w:color w:val="auto"/>
              </w:rPr>
            </w:pPr>
            <w:hyperlink r:id="rId354">
              <w:r>
                <w:rPr>
                  <w:rFonts w:ascii="Times New Roman" w:cs="Times New Roman" w:eastAsia="Times New Roman" w:hAnsi="Times New Roman"/>
                  <w:sz w:val="18"/>
                  <w:szCs w:val="18"/>
                  <w:color w:val="auto"/>
                </w:rPr>
                <w:t>Axsome Therapeutics, Inc. Form of Stock Option Agreement pursuant to the Amended and Restated 2015 Omnibus Incentive</w:t>
              </w:r>
            </w:hyperlink>
          </w:p>
        </w:tc>
        <w:tc>
          <w:tcPr>
            <w:tcW w:w="9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auto"/>
              </w:rPr>
            </w:pPr>
            <w:hyperlink r:id="rId354">
              <w:r>
                <w:rPr>
                  <w:rFonts w:ascii="Times New Roman" w:cs="Times New Roman" w:eastAsia="Times New Roman" w:hAnsi="Times New Roman"/>
                  <w:sz w:val="18"/>
                  <w:szCs w:val="18"/>
                  <w:color w:val="auto"/>
                </w:rPr>
                <w:t>Compensation Plan (Incorporated by reference, Exhibit 99.2 to the Company’s Registration Statement on Form S-8 (No. 333-208579) filed</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auto"/>
              </w:rPr>
            </w:pPr>
            <w:hyperlink r:id="rId354">
              <w:r>
                <w:rPr>
                  <w:rFonts w:ascii="Times New Roman" w:cs="Times New Roman" w:eastAsia="Times New Roman" w:hAnsi="Times New Roman"/>
                  <w:sz w:val="18"/>
                  <w:szCs w:val="18"/>
                  <w:color w:val="auto"/>
                </w:rPr>
                <w:t>December 16, 2015).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9620" w:type="dxa"/>
            <w:vAlign w:val="bottom"/>
            <w:tcBorders>
              <w:bottom w:val="single" w:sz="8" w:color="0000EE"/>
            </w:tcBorders>
            <w:gridSpan w:val="15"/>
          </w:tcPr>
          <w:p>
            <w:pPr>
              <w:spacing w:after="0"/>
              <w:rPr>
                <w:rFonts w:ascii="Times New Roman" w:cs="Times New Roman" w:eastAsia="Times New Roman" w:hAnsi="Times New Roman"/>
                <w:sz w:val="18"/>
                <w:szCs w:val="18"/>
                <w:color w:val="auto"/>
              </w:rPr>
            </w:pPr>
            <w:hyperlink r:id="rId355">
              <w:r>
                <w:rPr>
                  <w:rFonts w:ascii="Times New Roman" w:cs="Times New Roman" w:eastAsia="Times New Roman" w:hAnsi="Times New Roman"/>
                  <w:sz w:val="18"/>
                  <w:szCs w:val="18"/>
                  <w:color w:val="auto"/>
                </w:rPr>
                <w:t>Axsome Therapeutics, Inc. Form of Restricted Stock Unit Agreement (Non-Executives) pursuant to the Amended and Restated 2015</w:t>
              </w:r>
            </w:hyperlink>
          </w:p>
        </w:tc>
        <w:tc>
          <w:tcPr>
            <w:tcW w:w="4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auto"/>
              </w:rPr>
            </w:pPr>
            <w:hyperlink r:id="rId355">
              <w:r>
                <w:rPr>
                  <w:rFonts w:ascii="Times New Roman" w:cs="Times New Roman" w:eastAsia="Times New Roman" w:hAnsi="Times New Roman"/>
                  <w:sz w:val="18"/>
                  <w:szCs w:val="18"/>
                  <w:color w:val="auto"/>
                </w:rPr>
                <w:t>Omnibus Incentive Compensation Plan (Incorporated by reference, Exhibit 99.3 to the Company’s Registration Statement on Form S-8</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auto"/>
              </w:rPr>
            </w:pPr>
            <w:hyperlink r:id="rId355">
              <w:r>
                <w:rPr>
                  <w:rFonts w:ascii="Times New Roman" w:cs="Times New Roman" w:eastAsia="Times New Roman" w:hAnsi="Times New Roman"/>
                  <w:sz w:val="18"/>
                  <w:szCs w:val="18"/>
                  <w:color w:val="auto"/>
                </w:rPr>
                <w:t>(File No. 333-238174), filed May 11, 2020).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52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10040" w:type="dxa"/>
            <w:vAlign w:val="bottom"/>
            <w:tcBorders>
              <w:bottom w:val="single" w:sz="8" w:color="0000EE"/>
            </w:tcBorders>
            <w:gridSpan w:val="24"/>
          </w:tcPr>
          <w:p>
            <w:pPr>
              <w:spacing w:after="0"/>
              <w:rPr>
                <w:rFonts w:ascii="Times New Roman" w:cs="Times New Roman" w:eastAsia="Times New Roman" w:hAnsi="Times New Roman"/>
                <w:sz w:val="18"/>
                <w:szCs w:val="18"/>
                <w:color w:val="auto"/>
              </w:rPr>
            </w:pPr>
            <w:hyperlink r:id="rId356">
              <w:r>
                <w:rPr>
                  <w:rFonts w:ascii="Times New Roman" w:cs="Times New Roman" w:eastAsia="Times New Roman" w:hAnsi="Times New Roman"/>
                  <w:sz w:val="18"/>
                  <w:szCs w:val="18"/>
                  <w:color w:val="auto"/>
                </w:rPr>
                <w:t>Axsome Therapeutics, Inc. Form of Restricted Stock Unit Agreement (Executives and Non-Employee Directors) pursuant to the Amended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auto"/>
              </w:rPr>
            </w:pPr>
            <w:hyperlink r:id="rId356">
              <w:r>
                <w:rPr>
                  <w:rFonts w:ascii="Times New Roman" w:cs="Times New Roman" w:eastAsia="Times New Roman" w:hAnsi="Times New Roman"/>
                  <w:sz w:val="18"/>
                  <w:szCs w:val="18"/>
                  <w:color w:val="auto"/>
                </w:rPr>
                <w:t>and Restated 2015 Omnibus Incentive Compensation Plan (Incorporated by reference, Exhibit 99.4 to the Company’s Registration</w:t>
              </w:r>
            </w:hyperlink>
          </w:p>
        </w:tc>
        <w:tc>
          <w:tcPr>
            <w:tcW w:w="6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auto"/>
                <w:w w:val="99"/>
              </w:rPr>
            </w:pPr>
            <w:hyperlink r:id="rId356">
              <w:r>
                <w:rPr>
                  <w:rFonts w:ascii="Times New Roman" w:cs="Times New Roman" w:eastAsia="Times New Roman" w:hAnsi="Times New Roman"/>
                  <w:sz w:val="18"/>
                  <w:szCs w:val="18"/>
                  <w:color w:val="auto"/>
                  <w:w w:val="99"/>
                </w:rPr>
                <w:t>Statement on Form S-8 (File No. 333-238174), filed May 11, 2020).</w:t>
              </w:r>
            </w:hyperlink>
          </w:p>
        </w:tc>
        <w:tc>
          <w:tcPr>
            <w:tcW w:w="51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10060" w:type="dxa"/>
            <w:vAlign w:val="bottom"/>
            <w:tcBorders>
              <w:bottom w:val="single" w:sz="8" w:color="0000EE"/>
            </w:tcBorders>
            <w:gridSpan w:val="25"/>
          </w:tcPr>
          <w:p>
            <w:pPr>
              <w:spacing w:after="0"/>
              <w:rPr>
                <w:rFonts w:ascii="Times New Roman" w:cs="Times New Roman" w:eastAsia="Times New Roman" w:hAnsi="Times New Roman"/>
                <w:sz w:val="18"/>
                <w:szCs w:val="18"/>
                <w:color w:val="auto"/>
              </w:rPr>
            </w:pPr>
            <w:hyperlink r:id="rId357">
              <w:r>
                <w:rPr>
                  <w:rFonts w:ascii="Times New Roman" w:cs="Times New Roman" w:eastAsia="Times New Roman" w:hAnsi="Times New Roman"/>
                  <w:sz w:val="18"/>
                  <w:szCs w:val="18"/>
                  <w:color w:val="auto"/>
                </w:rPr>
                <w:t>Axsome Therapeutics, Inc. 2023 Employee Stock Purchase Plan (Incorporated by reference, Exhibit 10.1 to the Company’s Current Report</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9"/>
              </w:rPr>
            </w:pPr>
            <w:hyperlink r:id="rId357">
              <w:r>
                <w:rPr>
                  <w:rFonts w:ascii="Times New Roman" w:cs="Times New Roman" w:eastAsia="Times New Roman" w:hAnsi="Times New Roman"/>
                  <w:sz w:val="18"/>
                  <w:szCs w:val="18"/>
                  <w:color w:val="auto"/>
                  <w:w w:val="99"/>
                </w:rPr>
                <w:t>on Form 8-K, filed on June 8, 2023).</w:t>
              </w:r>
            </w:hyperlink>
          </w:p>
        </w:tc>
        <w:tc>
          <w:tcPr>
            <w:tcW w:w="740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9620" w:type="dxa"/>
            <w:vAlign w:val="bottom"/>
            <w:tcBorders>
              <w:bottom w:val="single" w:sz="8" w:color="0000EE"/>
            </w:tcBorders>
            <w:gridSpan w:val="15"/>
          </w:tcPr>
          <w:p>
            <w:pPr>
              <w:spacing w:after="0"/>
              <w:rPr>
                <w:rFonts w:ascii="Times New Roman" w:cs="Times New Roman" w:eastAsia="Times New Roman" w:hAnsi="Times New Roman"/>
                <w:sz w:val="18"/>
                <w:szCs w:val="18"/>
                <w:color w:val="auto"/>
              </w:rPr>
            </w:pPr>
            <w:hyperlink r:id="rId358">
              <w:r>
                <w:rPr>
                  <w:rFonts w:ascii="Times New Roman" w:cs="Times New Roman" w:eastAsia="Times New Roman" w:hAnsi="Times New Roman"/>
                  <w:sz w:val="18"/>
                  <w:szCs w:val="18"/>
                  <w:color w:val="auto"/>
                </w:rPr>
                <w:t>License Agreement, dated January 12, 2012, by and between the Company and Antecip Bioventures II LLC, as modified by the First</w:t>
              </w:r>
            </w:hyperlink>
          </w:p>
        </w:tc>
        <w:tc>
          <w:tcPr>
            <w:tcW w:w="4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auto"/>
              </w:rPr>
            </w:pPr>
            <w:hyperlink r:id="rId358">
              <w:r>
                <w:rPr>
                  <w:rFonts w:ascii="Times New Roman" w:cs="Times New Roman" w:eastAsia="Times New Roman" w:hAnsi="Times New Roman"/>
                  <w:sz w:val="18"/>
                  <w:szCs w:val="18"/>
                  <w:color w:val="auto"/>
                </w:rPr>
                <w:t>Amendment to License Agreement, dated August 21, 2015, by and between the Company and Antecip Bioventures II LLC (Incorporated</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gridSpan w:val="25"/>
          </w:tcPr>
          <w:p>
            <w:pPr>
              <w:spacing w:after="0" w:line="196" w:lineRule="exact"/>
              <w:rPr>
                <w:rFonts w:ascii="Times New Roman" w:cs="Times New Roman" w:eastAsia="Times New Roman" w:hAnsi="Times New Roman"/>
                <w:sz w:val="18"/>
                <w:szCs w:val="18"/>
                <w:color w:val="auto"/>
              </w:rPr>
            </w:pPr>
            <w:hyperlink r:id="rId358">
              <w:r>
                <w:rPr>
                  <w:rFonts w:ascii="Times New Roman" w:cs="Times New Roman" w:eastAsia="Times New Roman" w:hAnsi="Times New Roman"/>
                  <w:sz w:val="18"/>
                  <w:szCs w:val="18"/>
                  <w:color w:val="auto"/>
                </w:rPr>
                <w:t>by reference, Exhibit 10.2 to the Company’s Registration Statement on Form S-1 (No. 333-207393) filed October 13, 2015).</w:t>
              </w:r>
            </w:hyperlink>
          </w:p>
        </w:tc>
        <w:tc>
          <w:tcPr>
            <w:tcW w:w="0" w:type="dxa"/>
            <w:vAlign w:val="bottom"/>
          </w:tcPr>
          <w:p>
            <w:pPr>
              <w:spacing w:after="0"/>
              <w:rPr>
                <w:sz w:val="1"/>
                <w:szCs w:val="1"/>
                <w:color w:val="auto"/>
              </w:rPr>
            </w:pPr>
          </w:p>
        </w:tc>
      </w:tr>
      <w:tr>
        <w:trPr>
          <w:trHeight w:val="615"/>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00" w:type="dxa"/>
            <w:vAlign w:val="bottom"/>
            <w:tcBorders>
              <w:top w:val="single" w:sz="8" w:color="0000EE"/>
            </w:tcBorders>
            <w:gridSpan w:val="5"/>
          </w:tcPr>
          <w:p>
            <w:pPr>
              <w:ind w:left="4300"/>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10.8++</w:t>
            </w:r>
          </w:p>
        </w:tc>
        <w:tc>
          <w:tcPr>
            <w:tcW w:w="9300" w:type="dxa"/>
            <w:vAlign w:val="bottom"/>
            <w:tcBorders>
              <w:bottom w:val="single" w:sz="8" w:color="0000EE"/>
            </w:tcBorders>
            <w:gridSpan w:val="15"/>
          </w:tcPr>
          <w:p>
            <w:pPr>
              <w:spacing w:after="0"/>
              <w:rPr>
                <w:rFonts w:ascii="Times New Roman" w:cs="Times New Roman" w:eastAsia="Times New Roman" w:hAnsi="Times New Roman"/>
                <w:sz w:val="18"/>
                <w:szCs w:val="18"/>
                <w:color w:val="auto"/>
              </w:rPr>
            </w:pPr>
            <w:hyperlink r:id="rId361">
              <w:r>
                <w:rPr>
                  <w:rFonts w:ascii="Times New Roman" w:cs="Times New Roman" w:eastAsia="Times New Roman" w:hAnsi="Times New Roman"/>
                  <w:sz w:val="18"/>
                  <w:szCs w:val="18"/>
                  <w:color w:val="auto"/>
                </w:rPr>
                <w:t>License Agreement, dated June 6, 2012, by and between the Company and Antecip Bioventures II LLC, as modified by the First</w:t>
              </w:r>
            </w:hyperlink>
          </w:p>
        </w:tc>
        <w:tc>
          <w:tcPr>
            <w:tcW w:w="760" w:type="dxa"/>
            <w:vAlign w:val="bottom"/>
            <w:gridSpan w:val="15"/>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99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auto"/>
              </w:rPr>
            </w:pPr>
            <w:hyperlink r:id="rId361">
              <w:r>
                <w:rPr>
                  <w:rFonts w:ascii="Times New Roman" w:cs="Times New Roman" w:eastAsia="Times New Roman" w:hAnsi="Times New Roman"/>
                  <w:sz w:val="18"/>
                  <w:szCs w:val="18"/>
                  <w:color w:val="auto"/>
                </w:rPr>
                <w:t>Amendment to License Agreement, dated August 21, 2015, by and between the Company and Antecip Bioventures II LLC (Incorporated</w:t>
              </w:r>
            </w:hyperlink>
          </w:p>
        </w:tc>
        <w:tc>
          <w:tcPr>
            <w:tcW w:w="140" w:type="dxa"/>
            <w:vAlign w:val="bottom"/>
            <w:gridSpan w:val="6"/>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30"/>
          </w:tcPr>
          <w:p>
            <w:pPr>
              <w:spacing w:after="0" w:line="196" w:lineRule="exact"/>
              <w:rPr>
                <w:rFonts w:ascii="Times New Roman" w:cs="Times New Roman" w:eastAsia="Times New Roman" w:hAnsi="Times New Roman"/>
                <w:sz w:val="18"/>
                <w:szCs w:val="18"/>
                <w:color w:val="auto"/>
              </w:rPr>
            </w:pPr>
            <w:hyperlink r:id="rId361">
              <w:r>
                <w:rPr>
                  <w:rFonts w:ascii="Times New Roman" w:cs="Times New Roman" w:eastAsia="Times New Roman" w:hAnsi="Times New Roman"/>
                  <w:sz w:val="18"/>
                  <w:szCs w:val="18"/>
                  <w:color w:val="auto"/>
                </w:rPr>
                <w:t>by reference, Exhibit 10.4 to the Company’s Registration Statement on Form S-1 (No. 333-207393) filed October 13, 2015).</w:t>
              </w:r>
            </w:hyperlink>
          </w:p>
        </w:tc>
      </w:tr>
      <w:tr>
        <w:trPr>
          <w:trHeight w:val="20"/>
        </w:trPr>
        <w:tc>
          <w:tcPr>
            <w:tcW w:w="11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10.9+</w:t>
            </w:r>
          </w:p>
        </w:tc>
        <w:tc>
          <w:tcPr>
            <w:tcW w:w="9200" w:type="dxa"/>
            <w:vAlign w:val="bottom"/>
            <w:tcBorders>
              <w:bottom w:val="single" w:sz="8" w:color="0000EE"/>
            </w:tcBorders>
            <w:gridSpan w:val="13"/>
          </w:tcPr>
          <w:p>
            <w:pPr>
              <w:spacing w:after="0"/>
              <w:rPr>
                <w:rFonts w:ascii="Times New Roman" w:cs="Times New Roman" w:eastAsia="Times New Roman" w:hAnsi="Times New Roman"/>
                <w:sz w:val="18"/>
                <w:szCs w:val="18"/>
                <w:color w:val="auto"/>
              </w:rPr>
            </w:pPr>
            <w:hyperlink r:id="rId362">
              <w:r>
                <w:rPr>
                  <w:rFonts w:ascii="Times New Roman" w:cs="Times New Roman" w:eastAsia="Times New Roman" w:hAnsi="Times New Roman"/>
                  <w:sz w:val="18"/>
                  <w:szCs w:val="18"/>
                  <w:color w:val="auto"/>
                </w:rPr>
                <w:t>Consulting Agreement, dated April 13, 2012, by and between the Company and Mark Coleman, M.D., as modified by the First</w:t>
              </w:r>
            </w:hyperlink>
          </w:p>
        </w:tc>
        <w:tc>
          <w:tcPr>
            <w:tcW w:w="860" w:type="dxa"/>
            <w:vAlign w:val="bottom"/>
            <w:gridSpan w:val="17"/>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5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auto"/>
              </w:rPr>
            </w:pPr>
            <w:hyperlink r:id="rId362">
              <w:r>
                <w:rPr>
                  <w:rFonts w:ascii="Times New Roman" w:cs="Times New Roman" w:eastAsia="Times New Roman" w:hAnsi="Times New Roman"/>
                  <w:sz w:val="18"/>
                  <w:szCs w:val="18"/>
                  <w:color w:val="auto"/>
                </w:rPr>
                <w:t>Amendment to Consulting Agreement, dated June 2, 2014, by and between the Company and Mark Coleman, M.D (Incorporated by</w:t>
              </w:r>
            </w:hyperlink>
          </w:p>
        </w:tc>
        <w:tc>
          <w:tcPr>
            <w:tcW w:w="480" w:type="dxa"/>
            <w:vAlign w:val="bottom"/>
            <w:gridSpan w:val="12"/>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30"/>
          </w:tcPr>
          <w:p>
            <w:pPr>
              <w:spacing w:after="0" w:line="196" w:lineRule="exact"/>
              <w:rPr>
                <w:rFonts w:ascii="Times New Roman" w:cs="Times New Roman" w:eastAsia="Times New Roman" w:hAnsi="Times New Roman"/>
                <w:sz w:val="18"/>
                <w:szCs w:val="18"/>
                <w:color w:val="auto"/>
              </w:rPr>
            </w:pPr>
            <w:hyperlink r:id="rId362">
              <w:r>
                <w:rPr>
                  <w:rFonts w:ascii="Times New Roman" w:cs="Times New Roman" w:eastAsia="Times New Roman" w:hAnsi="Times New Roman"/>
                  <w:sz w:val="18"/>
                  <w:szCs w:val="18"/>
                  <w:color w:val="auto"/>
                </w:rPr>
                <w:t>reference, Exhibit 10.5 to the Company’s Registration Statement on Form S-1 (No. 333-207393) filed October 13, 2015).</w:t>
              </w:r>
            </w:hyperlink>
          </w:p>
        </w:tc>
      </w:tr>
      <w:tr>
        <w:trPr>
          <w:trHeight w:val="20"/>
        </w:trPr>
        <w:tc>
          <w:tcPr>
            <w:tcW w:w="11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10.10</w:t>
            </w:r>
          </w:p>
        </w:tc>
        <w:tc>
          <w:tcPr>
            <w:tcW w:w="9240" w:type="dxa"/>
            <w:vAlign w:val="bottom"/>
            <w:tcBorders>
              <w:bottom w:val="single" w:sz="8" w:color="0000EE"/>
            </w:tcBorders>
            <w:gridSpan w:val="14"/>
          </w:tcPr>
          <w:p>
            <w:pPr>
              <w:spacing w:after="0"/>
              <w:rPr>
                <w:rFonts w:ascii="Times New Roman" w:cs="Times New Roman" w:eastAsia="Times New Roman" w:hAnsi="Times New Roman"/>
                <w:sz w:val="18"/>
                <w:szCs w:val="18"/>
                <w:color w:val="auto"/>
              </w:rPr>
            </w:pPr>
            <w:hyperlink r:id="rId363">
              <w:r>
                <w:rPr>
                  <w:rFonts w:ascii="Times New Roman" w:cs="Times New Roman" w:eastAsia="Times New Roman" w:hAnsi="Times New Roman"/>
                  <w:sz w:val="18"/>
                  <w:szCs w:val="18"/>
                  <w:color w:val="auto"/>
                </w:rPr>
                <w:t>Form of Purchase Agreement, dated as of November 30, 2017 among Axsome Therapeutics, Inc. and the purchasers thereunder</w:t>
              </w:r>
            </w:hyperlink>
          </w:p>
        </w:tc>
        <w:tc>
          <w:tcPr>
            <w:tcW w:w="820" w:type="dxa"/>
            <w:vAlign w:val="bottom"/>
            <w:gridSpan w:val="16"/>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30"/>
          </w:tcPr>
          <w:p>
            <w:pPr>
              <w:spacing w:after="0" w:line="196" w:lineRule="exact"/>
              <w:rPr>
                <w:rFonts w:ascii="Times New Roman" w:cs="Times New Roman" w:eastAsia="Times New Roman" w:hAnsi="Times New Roman"/>
                <w:sz w:val="18"/>
                <w:szCs w:val="18"/>
                <w:color w:val="auto"/>
              </w:rPr>
            </w:pPr>
            <w:hyperlink r:id="rId363">
              <w:r>
                <w:rPr>
                  <w:rFonts w:ascii="Times New Roman" w:cs="Times New Roman" w:eastAsia="Times New Roman" w:hAnsi="Times New Roman"/>
                  <w:sz w:val="18"/>
                  <w:szCs w:val="18"/>
                  <w:color w:val="auto"/>
                </w:rPr>
                <w:t>(Incorporated by reference, Exhibit 10.1 to the Company’s Current Report on Form 8-K filed December 4, 2017).</w:t>
              </w:r>
            </w:hyperlink>
          </w:p>
        </w:tc>
      </w:tr>
      <w:tr>
        <w:trPr>
          <w:trHeight w:val="20"/>
        </w:trPr>
        <w:tc>
          <w:tcPr>
            <w:tcW w:w="11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10.11+</w:t>
            </w:r>
          </w:p>
        </w:tc>
        <w:tc>
          <w:tcPr>
            <w:tcW w:w="9980" w:type="dxa"/>
            <w:vAlign w:val="bottom"/>
            <w:tcBorders>
              <w:bottom w:val="single" w:sz="8" w:color="0000EE"/>
            </w:tcBorders>
            <w:gridSpan w:val="26"/>
          </w:tcPr>
          <w:p>
            <w:pPr>
              <w:spacing w:after="0"/>
              <w:rPr>
                <w:rFonts w:ascii="Times New Roman" w:cs="Times New Roman" w:eastAsia="Times New Roman" w:hAnsi="Times New Roman"/>
                <w:sz w:val="18"/>
                <w:szCs w:val="18"/>
                <w:color w:val="auto"/>
              </w:rPr>
            </w:pPr>
            <w:hyperlink r:id="rId364">
              <w:r>
                <w:rPr>
                  <w:rFonts w:ascii="Times New Roman" w:cs="Times New Roman" w:eastAsia="Times New Roman" w:hAnsi="Times New Roman"/>
                  <w:sz w:val="18"/>
                  <w:szCs w:val="18"/>
                  <w:color w:val="auto"/>
                </w:rPr>
                <w:t>Nick Pizzie Offer Letter, dated April 16, 2018 (Incorporated by reference, Exhibit 10.1 to the Company’s Quarterly Report on Form 10-Q</w:t>
              </w:r>
            </w:hyperlink>
          </w:p>
        </w:tc>
        <w:tc>
          <w:tcPr>
            <w:tcW w:w="80" w:type="dxa"/>
            <w:vAlign w:val="bottom"/>
            <w:gridSpan w:val="4"/>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8"/>
              </w:rPr>
            </w:pPr>
            <w:hyperlink r:id="rId364">
              <w:r>
                <w:rPr>
                  <w:rFonts w:ascii="Times New Roman" w:cs="Times New Roman" w:eastAsia="Times New Roman" w:hAnsi="Times New Roman"/>
                  <w:sz w:val="18"/>
                  <w:szCs w:val="18"/>
                  <w:color w:val="auto"/>
                  <w:w w:val="98"/>
                </w:rPr>
                <w:t>filed May 8, 2018).</w:t>
              </w:r>
            </w:hyperlink>
          </w:p>
        </w:tc>
        <w:tc>
          <w:tcPr>
            <w:tcW w:w="8660" w:type="dxa"/>
            <w:vAlign w:val="bottom"/>
            <w:gridSpan w:val="29"/>
          </w:tcPr>
          <w:p>
            <w:pPr>
              <w:spacing w:after="0"/>
              <w:rPr>
                <w:sz w:val="17"/>
                <w:szCs w:val="17"/>
                <w:color w:val="auto"/>
              </w:rPr>
            </w:pPr>
          </w:p>
        </w:tc>
      </w:tr>
      <w:tr>
        <w:trPr>
          <w:trHeight w:val="290"/>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10.12</w:t>
            </w:r>
          </w:p>
        </w:tc>
        <w:tc>
          <w:tcPr>
            <w:tcW w:w="9900" w:type="dxa"/>
            <w:vAlign w:val="bottom"/>
            <w:tcBorders>
              <w:bottom w:val="single" w:sz="8" w:color="0000EE"/>
            </w:tcBorders>
            <w:gridSpan w:val="23"/>
          </w:tcPr>
          <w:p>
            <w:pPr>
              <w:spacing w:after="0"/>
              <w:rPr>
                <w:rFonts w:ascii="Times New Roman" w:cs="Times New Roman" w:eastAsia="Times New Roman" w:hAnsi="Times New Roman"/>
                <w:sz w:val="18"/>
                <w:szCs w:val="18"/>
                <w:color w:val="auto"/>
              </w:rPr>
            </w:pPr>
            <w:hyperlink r:id="rId365">
              <w:r>
                <w:rPr>
                  <w:rFonts w:ascii="Times New Roman" w:cs="Times New Roman" w:eastAsia="Times New Roman" w:hAnsi="Times New Roman"/>
                  <w:sz w:val="18"/>
                  <w:szCs w:val="18"/>
                  <w:color w:val="auto"/>
                </w:rPr>
                <w:t>Form of Purchase Agreement, dated as of September 27, 2018, by and among the Company and the investors party thereto (Incorporated</w:t>
              </w:r>
            </w:hyperlink>
          </w:p>
        </w:tc>
        <w:tc>
          <w:tcPr>
            <w:tcW w:w="160" w:type="dxa"/>
            <w:vAlign w:val="bottom"/>
            <w:gridSpan w:val="7"/>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30"/>
          </w:tcPr>
          <w:p>
            <w:pPr>
              <w:spacing w:after="0" w:line="196" w:lineRule="exact"/>
              <w:rPr>
                <w:rFonts w:ascii="Times New Roman" w:cs="Times New Roman" w:eastAsia="Times New Roman" w:hAnsi="Times New Roman"/>
                <w:sz w:val="18"/>
                <w:szCs w:val="18"/>
                <w:color w:val="auto"/>
              </w:rPr>
            </w:pPr>
            <w:hyperlink r:id="rId365">
              <w:r>
                <w:rPr>
                  <w:rFonts w:ascii="Times New Roman" w:cs="Times New Roman" w:eastAsia="Times New Roman" w:hAnsi="Times New Roman"/>
                  <w:sz w:val="18"/>
                  <w:szCs w:val="18"/>
                  <w:color w:val="auto"/>
                </w:rPr>
                <w:t>by reference, Exhibit 10.1 to the Company’s Current Report on Form 8-K, filed September 28, 2018).</w:t>
              </w:r>
            </w:hyperlink>
          </w:p>
        </w:tc>
      </w:tr>
      <w:tr>
        <w:trPr>
          <w:trHeight w:val="20"/>
        </w:trPr>
        <w:tc>
          <w:tcPr>
            <w:tcW w:w="1180" w:type="dxa"/>
            <w:vAlign w:val="bottom"/>
          </w:tcPr>
          <w:p>
            <w:pPr>
              <w:spacing w:after="0" w:line="20" w:lineRule="exact"/>
              <w:rPr>
                <w:sz w:val="1"/>
                <w:szCs w:val="1"/>
                <w:color w:val="auto"/>
              </w:rPr>
            </w:pPr>
          </w:p>
        </w:tc>
        <w:tc>
          <w:tcPr>
            <w:tcW w:w="388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10.13+++</w:t>
            </w:r>
          </w:p>
        </w:tc>
        <w:tc>
          <w:tcPr>
            <w:tcW w:w="9960" w:type="dxa"/>
            <w:vAlign w:val="bottom"/>
            <w:tcBorders>
              <w:bottom w:val="single" w:sz="8" w:color="0000EE"/>
            </w:tcBorders>
            <w:gridSpan w:val="25"/>
          </w:tcPr>
          <w:p>
            <w:pPr>
              <w:spacing w:after="0"/>
              <w:rPr>
                <w:rFonts w:ascii="Times New Roman" w:cs="Times New Roman" w:eastAsia="Times New Roman" w:hAnsi="Times New Roman"/>
                <w:sz w:val="18"/>
                <w:szCs w:val="18"/>
                <w:color w:val="auto"/>
              </w:rPr>
            </w:pPr>
            <w:hyperlink r:id="rId366">
              <w:r>
                <w:rPr>
                  <w:rFonts w:ascii="Times New Roman" w:cs="Times New Roman" w:eastAsia="Times New Roman" w:hAnsi="Times New Roman"/>
                  <w:sz w:val="18"/>
                  <w:szCs w:val="18"/>
                  <w:color w:val="auto"/>
                </w:rPr>
                <w:t>License Agreement, dated as of January 10, 2020, by and between the Company and Pfizer Inc. (Incorporated by reference, Exhibit 10.15</w:t>
              </w:r>
            </w:hyperlink>
          </w:p>
        </w:tc>
        <w:tc>
          <w:tcPr>
            <w:tcW w:w="100" w:type="dxa"/>
            <w:vAlign w:val="bottom"/>
            <w:gridSpan w:val="5"/>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51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auto"/>
                <w:w w:val="99"/>
              </w:rPr>
            </w:pPr>
            <w:hyperlink r:id="rId366">
              <w:r>
                <w:rPr>
                  <w:rFonts w:ascii="Times New Roman" w:cs="Times New Roman" w:eastAsia="Times New Roman" w:hAnsi="Times New Roman"/>
                  <w:sz w:val="18"/>
                  <w:szCs w:val="18"/>
                  <w:color w:val="auto"/>
                  <w:w w:val="99"/>
                </w:rPr>
                <w:t>to the Company’s Annual Report on Form 10-K, filed March 12 2020).</w:t>
              </w:r>
            </w:hyperlink>
          </w:p>
        </w:tc>
        <w:tc>
          <w:tcPr>
            <w:tcW w:w="4920" w:type="dxa"/>
            <w:vAlign w:val="bottom"/>
            <w:gridSpan w:val="27"/>
          </w:tcPr>
          <w:p>
            <w:pPr>
              <w:spacing w:after="0"/>
              <w:rPr>
                <w:sz w:val="17"/>
                <w:szCs w:val="17"/>
                <w:color w:val="auto"/>
              </w:rPr>
            </w:pPr>
          </w:p>
        </w:tc>
      </w:tr>
      <w:tr>
        <w:trPr>
          <w:trHeight w:val="291"/>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10.14</w:t>
            </w:r>
          </w:p>
        </w:tc>
        <w:tc>
          <w:tcPr>
            <w:tcW w:w="9500" w:type="dxa"/>
            <w:vAlign w:val="bottom"/>
            <w:tcBorders>
              <w:bottom w:val="single" w:sz="8" w:color="0000EE"/>
            </w:tcBorders>
            <w:gridSpan w:val="17"/>
          </w:tcPr>
          <w:p>
            <w:pPr>
              <w:spacing w:after="0"/>
              <w:rPr>
                <w:rFonts w:ascii="Times New Roman" w:cs="Times New Roman" w:eastAsia="Times New Roman" w:hAnsi="Times New Roman"/>
                <w:sz w:val="18"/>
                <w:szCs w:val="18"/>
                <w:color w:val="auto"/>
              </w:rPr>
            </w:pPr>
            <w:hyperlink r:id="rId367">
              <w:r>
                <w:rPr>
                  <w:rFonts w:ascii="Times New Roman" w:cs="Times New Roman" w:eastAsia="Times New Roman" w:hAnsi="Times New Roman"/>
                  <w:sz w:val="18"/>
                  <w:szCs w:val="18"/>
                  <w:color w:val="auto"/>
                </w:rPr>
                <w:t>Share Transfer Agreement by and between the Company and Pfizer Inc. (Incorporated by reference, Exhibit 10.1 to the Company’s</w:t>
              </w:r>
            </w:hyperlink>
          </w:p>
        </w:tc>
        <w:tc>
          <w:tcPr>
            <w:tcW w:w="560" w:type="dxa"/>
            <w:vAlign w:val="bottom"/>
            <w:gridSpan w:val="13"/>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38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9"/>
              </w:rPr>
            </w:pPr>
            <w:hyperlink r:id="rId367">
              <w:r>
                <w:rPr>
                  <w:rFonts w:ascii="Times New Roman" w:cs="Times New Roman" w:eastAsia="Times New Roman" w:hAnsi="Times New Roman"/>
                  <w:sz w:val="18"/>
                  <w:szCs w:val="18"/>
                  <w:color w:val="auto"/>
                  <w:w w:val="99"/>
                </w:rPr>
                <w:t>Current Report on Form 8-K, filed January 13, 2020).</w:t>
              </w:r>
            </w:hyperlink>
          </w:p>
        </w:tc>
        <w:tc>
          <w:tcPr>
            <w:tcW w:w="6180" w:type="dxa"/>
            <w:vAlign w:val="bottom"/>
            <w:gridSpan w:val="28"/>
          </w:tcPr>
          <w:p>
            <w:pPr>
              <w:spacing w:after="0"/>
              <w:rPr>
                <w:sz w:val="17"/>
                <w:szCs w:val="17"/>
                <w:color w:val="auto"/>
              </w:rPr>
            </w:pPr>
          </w:p>
        </w:tc>
      </w:tr>
      <w:tr>
        <w:trPr>
          <w:trHeight w:val="291"/>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10.15</w:t>
            </w:r>
          </w:p>
        </w:tc>
        <w:tc>
          <w:tcPr>
            <w:tcW w:w="948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368">
              <w:r>
                <w:rPr>
                  <w:rFonts w:ascii="Times New Roman" w:cs="Times New Roman" w:eastAsia="Times New Roman" w:hAnsi="Times New Roman"/>
                  <w:sz w:val="18"/>
                  <w:szCs w:val="18"/>
                  <w:color w:val="auto"/>
                </w:rPr>
                <w:t>WeWork Membership Agreement effective as of August 1, 2020, by and between the Company and 22 Cortlandt Street HBQ LLC</w:t>
              </w:r>
            </w:hyperlink>
          </w:p>
        </w:tc>
        <w:tc>
          <w:tcPr>
            <w:tcW w:w="580" w:type="dxa"/>
            <w:vAlign w:val="bottom"/>
            <w:gridSpan w:val="14"/>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83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368">
              <w:r>
                <w:rPr>
                  <w:rFonts w:ascii="Times New Roman" w:cs="Times New Roman" w:eastAsia="Times New Roman" w:hAnsi="Times New Roman"/>
                  <w:sz w:val="18"/>
                  <w:szCs w:val="18"/>
                  <w:color w:val="auto"/>
                  <w:w w:val="99"/>
                </w:rPr>
                <w:t>(Incorporated by reference, Exhibit 10.1 to the Company’s Quarterly Report on Form 10-Q, filed August 10, 2020).</w:t>
              </w:r>
            </w:hyperlink>
          </w:p>
        </w:tc>
        <w:tc>
          <w:tcPr>
            <w:tcW w:w="1720" w:type="dxa"/>
            <w:vAlign w:val="bottom"/>
            <w:gridSpan w:val="22"/>
          </w:tcPr>
          <w:p>
            <w:pPr>
              <w:spacing w:after="0"/>
              <w:rPr>
                <w:sz w:val="17"/>
                <w:szCs w:val="17"/>
                <w:color w:val="auto"/>
              </w:rPr>
            </w:pPr>
          </w:p>
        </w:tc>
      </w:tr>
      <w:tr>
        <w:trPr>
          <w:trHeight w:val="290"/>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10.16+++</w:t>
            </w:r>
          </w:p>
        </w:tc>
        <w:tc>
          <w:tcPr>
            <w:tcW w:w="9620" w:type="dxa"/>
            <w:vAlign w:val="bottom"/>
            <w:tcBorders>
              <w:bottom w:val="single" w:sz="8" w:color="0000EE"/>
            </w:tcBorders>
            <w:gridSpan w:val="19"/>
          </w:tcPr>
          <w:p>
            <w:pPr>
              <w:spacing w:after="0"/>
              <w:rPr>
                <w:rFonts w:ascii="Times New Roman" w:cs="Times New Roman" w:eastAsia="Times New Roman" w:hAnsi="Times New Roman"/>
                <w:sz w:val="18"/>
                <w:szCs w:val="18"/>
                <w:color w:val="auto"/>
              </w:rPr>
            </w:pPr>
            <w:hyperlink r:id="rId369">
              <w:r>
                <w:rPr>
                  <w:rFonts w:ascii="Times New Roman" w:cs="Times New Roman" w:eastAsia="Times New Roman" w:hAnsi="Times New Roman"/>
                  <w:sz w:val="18"/>
                  <w:szCs w:val="18"/>
                  <w:color w:val="auto"/>
                </w:rPr>
                <w:t>Agreement, dated as of September 3, 2020, by and between Axsome Therapeutics, Inc. and David Marek (Incorporated by reference,</w:t>
              </w:r>
            </w:hyperlink>
          </w:p>
        </w:tc>
        <w:tc>
          <w:tcPr>
            <w:tcW w:w="440" w:type="dxa"/>
            <w:vAlign w:val="bottom"/>
            <w:gridSpan w:val="11"/>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74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auto"/>
                <w:w w:val="99"/>
              </w:rPr>
            </w:pPr>
            <w:hyperlink r:id="rId369">
              <w:r>
                <w:rPr>
                  <w:rFonts w:ascii="Times New Roman" w:cs="Times New Roman" w:eastAsia="Times New Roman" w:hAnsi="Times New Roman"/>
                  <w:sz w:val="18"/>
                  <w:szCs w:val="18"/>
                  <w:color w:val="auto"/>
                  <w:w w:val="99"/>
                </w:rPr>
                <w:t>Exhibit 10.2 to the Company’s Amended Quarterly Report on Form 10-Q/A, filed November 6, 2020).</w:t>
              </w:r>
            </w:hyperlink>
          </w:p>
        </w:tc>
        <w:tc>
          <w:tcPr>
            <w:tcW w:w="2660" w:type="dxa"/>
            <w:vAlign w:val="bottom"/>
            <w:gridSpan w:val="24"/>
          </w:tcPr>
          <w:p>
            <w:pPr>
              <w:spacing w:after="0"/>
              <w:rPr>
                <w:sz w:val="17"/>
                <w:szCs w:val="17"/>
                <w:color w:val="auto"/>
              </w:rPr>
            </w:pPr>
          </w:p>
        </w:tc>
      </w:tr>
      <w:tr>
        <w:trPr>
          <w:trHeight w:val="290"/>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10.17</w:t>
            </w:r>
          </w:p>
        </w:tc>
        <w:tc>
          <w:tcPr>
            <w:tcW w:w="9900" w:type="dxa"/>
            <w:vAlign w:val="bottom"/>
            <w:tcBorders>
              <w:bottom w:val="single" w:sz="8" w:color="0000EE"/>
            </w:tcBorders>
            <w:gridSpan w:val="23"/>
          </w:tcPr>
          <w:p>
            <w:pPr>
              <w:spacing w:after="0"/>
              <w:rPr>
                <w:rFonts w:ascii="Times New Roman" w:cs="Times New Roman" w:eastAsia="Times New Roman" w:hAnsi="Times New Roman"/>
                <w:sz w:val="18"/>
                <w:szCs w:val="18"/>
                <w:color w:val="auto"/>
              </w:rPr>
            </w:pPr>
            <w:hyperlink r:id="rId370">
              <w:r>
                <w:rPr>
                  <w:rFonts w:ascii="Times New Roman" w:cs="Times New Roman" w:eastAsia="Times New Roman" w:hAnsi="Times New Roman"/>
                  <w:sz w:val="18"/>
                  <w:szCs w:val="18"/>
                  <w:color w:val="auto"/>
                </w:rPr>
                <w:t>Loan and Security Agreement, dated as of September 25, 2020, by and among Axsome Therapeutics, Inc., the Lenders who from time to</w:t>
              </w:r>
            </w:hyperlink>
          </w:p>
        </w:tc>
        <w:tc>
          <w:tcPr>
            <w:tcW w:w="160" w:type="dxa"/>
            <w:vAlign w:val="bottom"/>
            <w:gridSpan w:val="7"/>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9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auto"/>
              </w:rPr>
            </w:pPr>
            <w:hyperlink r:id="rId370">
              <w:r>
                <w:rPr>
                  <w:rFonts w:ascii="Times New Roman" w:cs="Times New Roman" w:eastAsia="Times New Roman" w:hAnsi="Times New Roman"/>
                  <w:sz w:val="18"/>
                  <w:szCs w:val="18"/>
                  <w:color w:val="auto"/>
                </w:rPr>
                <w:t>time may be party thereto, and Hercules Capital, Inc., in its capacity as administrative agent and collateral agent for itself and the Lenders</w:t>
              </w:r>
            </w:hyperlink>
          </w:p>
        </w:tc>
        <w:tc>
          <w:tcPr>
            <w:tcW w:w="100" w:type="dxa"/>
            <w:vAlign w:val="bottom"/>
            <w:gridSpan w:val="5"/>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30"/>
          </w:tcPr>
          <w:p>
            <w:pPr>
              <w:spacing w:after="0" w:line="196" w:lineRule="exact"/>
              <w:rPr>
                <w:rFonts w:ascii="Times New Roman" w:cs="Times New Roman" w:eastAsia="Times New Roman" w:hAnsi="Times New Roman"/>
                <w:sz w:val="18"/>
                <w:szCs w:val="18"/>
                <w:color w:val="auto"/>
              </w:rPr>
            </w:pPr>
            <w:hyperlink r:id="rId370">
              <w:r>
                <w:rPr>
                  <w:rFonts w:ascii="Times New Roman" w:cs="Times New Roman" w:eastAsia="Times New Roman" w:hAnsi="Times New Roman"/>
                  <w:sz w:val="18"/>
                  <w:szCs w:val="18"/>
                  <w:color w:val="auto"/>
                </w:rPr>
                <w:t>(Incorporated by reference, Exhibit 10.3 to the Company’s Quarterly Report on Form 10-Q, filed November 5, 2020).</w:t>
              </w:r>
            </w:hyperlink>
          </w:p>
        </w:tc>
      </w:tr>
      <w:tr>
        <w:trPr>
          <w:trHeight w:val="20"/>
        </w:trPr>
        <w:tc>
          <w:tcPr>
            <w:tcW w:w="1180" w:type="dxa"/>
            <w:vAlign w:val="bottom"/>
          </w:tcPr>
          <w:p>
            <w:pPr>
              <w:spacing w:after="0" w:line="20" w:lineRule="exact"/>
              <w:rPr>
                <w:sz w:val="1"/>
                <w:szCs w:val="1"/>
                <w:color w:val="auto"/>
              </w:rPr>
            </w:pPr>
          </w:p>
        </w:tc>
        <w:tc>
          <w:tcPr>
            <w:tcW w:w="5460" w:type="dxa"/>
            <w:vAlign w:val="bottom"/>
            <w:gridSpan w:val="4"/>
            <w:shd w:val="clear" w:color="auto" w:fill="0000EE"/>
          </w:tcPr>
          <w:p>
            <w:pPr>
              <w:spacing w:after="0" w:line="20" w:lineRule="exact"/>
              <w:rPr>
                <w:sz w:val="1"/>
                <w:szCs w:val="1"/>
                <w:color w:val="auto"/>
              </w:rPr>
            </w:pPr>
          </w:p>
        </w:tc>
        <w:tc>
          <w:tcPr>
            <w:tcW w:w="3020" w:type="dxa"/>
            <w:vAlign w:val="bottom"/>
            <w:gridSpan w:val="5"/>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10.18+++</w:t>
            </w:r>
          </w:p>
        </w:tc>
        <w:tc>
          <w:tcPr>
            <w:tcW w:w="9900" w:type="dxa"/>
            <w:vAlign w:val="bottom"/>
            <w:tcBorders>
              <w:bottom w:val="single" w:sz="8" w:color="0000EE"/>
            </w:tcBorders>
            <w:gridSpan w:val="23"/>
          </w:tcPr>
          <w:p>
            <w:pPr>
              <w:spacing w:after="0"/>
              <w:rPr>
                <w:rFonts w:ascii="Times New Roman" w:cs="Times New Roman" w:eastAsia="Times New Roman" w:hAnsi="Times New Roman"/>
                <w:sz w:val="18"/>
                <w:szCs w:val="18"/>
                <w:color w:val="auto"/>
              </w:rPr>
            </w:pPr>
            <w:hyperlink r:id="rId371">
              <w:r>
                <w:rPr>
                  <w:rFonts w:ascii="Times New Roman" w:cs="Times New Roman" w:eastAsia="Times New Roman" w:hAnsi="Times New Roman"/>
                  <w:sz w:val="18"/>
                  <w:szCs w:val="18"/>
                  <w:color w:val="auto"/>
                </w:rPr>
                <w:t>First Amendment to Loan and Security Agreement, dated as of October 14, 2021, by and among Axsome Therapeutics, Inc., the Lenders</w:t>
              </w:r>
            </w:hyperlink>
          </w:p>
        </w:tc>
        <w:tc>
          <w:tcPr>
            <w:tcW w:w="160" w:type="dxa"/>
            <w:vAlign w:val="bottom"/>
            <w:gridSpan w:val="7"/>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0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auto"/>
                <w:w w:val="99"/>
              </w:rPr>
            </w:pPr>
            <w:hyperlink r:id="rId371">
              <w:r>
                <w:rPr>
                  <w:rFonts w:ascii="Times New Roman" w:cs="Times New Roman" w:eastAsia="Times New Roman" w:hAnsi="Times New Roman"/>
                  <w:sz w:val="18"/>
                  <w:szCs w:val="18"/>
                  <w:color w:val="auto"/>
                  <w:w w:val="99"/>
                </w:rPr>
                <w:t>who from time to time may be party thereto, and Hercules Capital, Inc., in its capacity as administrative agent and collateral agent for itself</w:t>
              </w:r>
            </w:hyperlink>
          </w:p>
        </w:tc>
        <w:tc>
          <w:tcPr>
            <w:tcW w:w="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0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auto"/>
              </w:rPr>
            </w:pPr>
            <w:hyperlink r:id="rId371">
              <w:r>
                <w:rPr>
                  <w:rFonts w:ascii="Times New Roman" w:cs="Times New Roman" w:eastAsia="Times New Roman" w:hAnsi="Times New Roman"/>
                  <w:sz w:val="18"/>
                  <w:szCs w:val="18"/>
                  <w:color w:val="auto"/>
                </w:rPr>
                <w:t>and the Lenders (Incorporated by reference, Exhibit 10.1, to the Company’s Quarterly Report on Form 10-Q, filed on November 8, 2021).</w:t>
              </w:r>
            </w:hyperlink>
          </w:p>
        </w:tc>
        <w:tc>
          <w:tcPr>
            <w:tcW w:w="60" w:type="dxa"/>
            <w:vAlign w:val="bottom"/>
            <w:gridSpan w:val="3"/>
          </w:tcPr>
          <w:p>
            <w:pPr>
              <w:spacing w:after="0"/>
              <w:rPr>
                <w:sz w:val="17"/>
                <w:szCs w:val="17"/>
                <w:color w:val="auto"/>
              </w:rPr>
            </w:pPr>
          </w:p>
        </w:tc>
      </w:tr>
      <w:tr>
        <w:trPr>
          <w:trHeight w:val="290"/>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10.19+++</w:t>
            </w:r>
          </w:p>
        </w:tc>
        <w:tc>
          <w:tcPr>
            <w:tcW w:w="10000" w:type="dxa"/>
            <w:vAlign w:val="bottom"/>
            <w:tcBorders>
              <w:bottom w:val="single" w:sz="8" w:color="0000EE"/>
            </w:tcBorders>
            <w:gridSpan w:val="27"/>
          </w:tcPr>
          <w:p>
            <w:pPr>
              <w:spacing w:after="0"/>
              <w:rPr>
                <w:rFonts w:ascii="Times New Roman" w:cs="Times New Roman" w:eastAsia="Times New Roman" w:hAnsi="Times New Roman"/>
                <w:sz w:val="18"/>
                <w:szCs w:val="18"/>
                <w:color w:val="auto"/>
              </w:rPr>
            </w:pPr>
            <w:hyperlink r:id="rId372">
              <w:r>
                <w:rPr>
                  <w:rFonts w:ascii="Times New Roman" w:cs="Times New Roman" w:eastAsia="Times New Roman" w:hAnsi="Times New Roman"/>
                  <w:sz w:val="18"/>
                  <w:szCs w:val="18"/>
                  <w:color w:val="auto"/>
                </w:rPr>
                <w:t>Second Amendment to Loan and Security Agreement, dated as of March 27, 2022, by and among Axsome Therapeutics, Inc., the Lenders</w:t>
              </w:r>
            </w:hyperlink>
          </w:p>
        </w:tc>
        <w:tc>
          <w:tcPr>
            <w:tcW w:w="60" w:type="dxa"/>
            <w:vAlign w:val="bottom"/>
            <w:gridSpan w:val="3"/>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0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auto"/>
                <w:w w:val="99"/>
              </w:rPr>
            </w:pPr>
            <w:hyperlink r:id="rId372">
              <w:r>
                <w:rPr>
                  <w:rFonts w:ascii="Times New Roman" w:cs="Times New Roman" w:eastAsia="Times New Roman" w:hAnsi="Times New Roman"/>
                  <w:sz w:val="18"/>
                  <w:szCs w:val="18"/>
                  <w:color w:val="auto"/>
                  <w:w w:val="99"/>
                </w:rPr>
                <w:t>who from time to time may be party thereto, and Hercules Capital, Inc., in its capacity as administrative agent and collateral agent for itself</w:t>
              </w:r>
            </w:hyperlink>
          </w:p>
        </w:tc>
        <w:tc>
          <w:tcPr>
            <w:tcW w:w="2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30"/>
          </w:tcPr>
          <w:p>
            <w:pPr>
              <w:spacing w:after="0" w:line="196" w:lineRule="exact"/>
              <w:rPr>
                <w:rFonts w:ascii="Times New Roman" w:cs="Times New Roman" w:eastAsia="Times New Roman" w:hAnsi="Times New Roman"/>
                <w:sz w:val="18"/>
                <w:szCs w:val="18"/>
                <w:color w:val="auto"/>
              </w:rPr>
            </w:pPr>
            <w:hyperlink r:id="rId372">
              <w:r>
                <w:rPr>
                  <w:rFonts w:ascii="Times New Roman" w:cs="Times New Roman" w:eastAsia="Times New Roman" w:hAnsi="Times New Roman"/>
                  <w:sz w:val="18"/>
                  <w:szCs w:val="18"/>
                  <w:color w:val="auto"/>
                </w:rPr>
                <w:t>and the Lenders (Incorporated by reference, Exhibit 10.1 to the Company’s Quarterly Report on Form 10-Q, filed May 2, 2022).</w:t>
              </w:r>
            </w:hyperlink>
          </w:p>
        </w:tc>
      </w:tr>
      <w:tr>
        <w:trPr>
          <w:trHeight w:val="20"/>
        </w:trPr>
        <w:tc>
          <w:tcPr>
            <w:tcW w:w="1180" w:type="dxa"/>
            <w:vAlign w:val="bottom"/>
          </w:tcPr>
          <w:p>
            <w:pPr>
              <w:spacing w:after="0" w:line="20" w:lineRule="exact"/>
              <w:rPr>
                <w:sz w:val="1"/>
                <w:szCs w:val="1"/>
                <w:color w:val="auto"/>
              </w:rPr>
            </w:pPr>
          </w:p>
        </w:tc>
        <w:tc>
          <w:tcPr>
            <w:tcW w:w="5460" w:type="dxa"/>
            <w:vAlign w:val="bottom"/>
            <w:gridSpan w:val="4"/>
            <w:shd w:val="clear" w:color="auto" w:fill="0000EE"/>
          </w:tcPr>
          <w:p>
            <w:pPr>
              <w:spacing w:after="0" w:line="20" w:lineRule="exact"/>
              <w:rPr>
                <w:sz w:val="1"/>
                <w:szCs w:val="1"/>
                <w:color w:val="auto"/>
              </w:rPr>
            </w:pPr>
          </w:p>
        </w:tc>
        <w:tc>
          <w:tcPr>
            <w:tcW w:w="340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90"/>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10.20+++</w:t>
            </w:r>
          </w:p>
        </w:tc>
        <w:tc>
          <w:tcPr>
            <w:tcW w:w="9820" w:type="dxa"/>
            <w:vAlign w:val="bottom"/>
            <w:tcBorders>
              <w:bottom w:val="single" w:sz="8" w:color="0000EE"/>
            </w:tcBorders>
            <w:gridSpan w:val="21"/>
          </w:tcPr>
          <w:p>
            <w:pPr>
              <w:spacing w:after="0"/>
              <w:rPr>
                <w:rFonts w:ascii="Times New Roman" w:cs="Times New Roman" w:eastAsia="Times New Roman" w:hAnsi="Times New Roman"/>
                <w:sz w:val="18"/>
                <w:szCs w:val="18"/>
                <w:color w:val="auto"/>
              </w:rPr>
            </w:pPr>
            <w:hyperlink r:id="rId373">
              <w:r>
                <w:rPr>
                  <w:rFonts w:ascii="Times New Roman" w:cs="Times New Roman" w:eastAsia="Times New Roman" w:hAnsi="Times New Roman"/>
                  <w:sz w:val="18"/>
                  <w:szCs w:val="18"/>
                  <w:color w:val="auto"/>
                </w:rPr>
                <w:t>Third Amendment to Loan and Security Agreement, dated January 9, 2023, by and among Axsome Therapeutics, Inc., the Lenders who</w:t>
              </w:r>
            </w:hyperlink>
          </w:p>
        </w:tc>
        <w:tc>
          <w:tcPr>
            <w:tcW w:w="240" w:type="dxa"/>
            <w:vAlign w:val="bottom"/>
            <w:gridSpan w:val="9"/>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0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auto"/>
              </w:rPr>
            </w:pPr>
            <w:hyperlink r:id="rId373">
              <w:r>
                <w:rPr>
                  <w:rFonts w:ascii="Times New Roman" w:cs="Times New Roman" w:eastAsia="Times New Roman" w:hAnsi="Times New Roman"/>
                  <w:sz w:val="18"/>
                  <w:szCs w:val="18"/>
                  <w:color w:val="auto"/>
                </w:rPr>
                <w:t>from time to time may be party thereto, and Hercules Capital, Inc., in its capacity as administrative agent and collateral agent for itself and</w:t>
              </w:r>
            </w:hyperlink>
          </w:p>
        </w:tc>
        <w:tc>
          <w:tcPr>
            <w:tcW w:w="40" w:type="dxa"/>
            <w:vAlign w:val="bottom"/>
            <w:gridSpan w:val="2"/>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30"/>
          </w:tcPr>
          <w:p>
            <w:pPr>
              <w:spacing w:after="0" w:line="196" w:lineRule="exact"/>
              <w:rPr>
                <w:rFonts w:ascii="Times New Roman" w:cs="Times New Roman" w:eastAsia="Times New Roman" w:hAnsi="Times New Roman"/>
                <w:sz w:val="18"/>
                <w:szCs w:val="18"/>
                <w:color w:val="auto"/>
              </w:rPr>
            </w:pPr>
            <w:hyperlink r:id="rId373">
              <w:r>
                <w:rPr>
                  <w:rFonts w:ascii="Times New Roman" w:cs="Times New Roman" w:eastAsia="Times New Roman" w:hAnsi="Times New Roman"/>
                  <w:sz w:val="18"/>
                  <w:szCs w:val="18"/>
                  <w:color w:val="auto"/>
                </w:rPr>
                <w:t>the Lenders (Incorporated by reference, Exhibit 10.2 to the Company’s Quarterly Report on Form 10-Q, filed May 9, 2023).</w:t>
              </w:r>
            </w:hyperlink>
          </w:p>
        </w:tc>
      </w:tr>
      <w:tr>
        <w:trPr>
          <w:trHeight w:val="20"/>
        </w:trPr>
        <w:tc>
          <w:tcPr>
            <w:tcW w:w="1180" w:type="dxa"/>
            <w:vAlign w:val="bottom"/>
          </w:tcPr>
          <w:p>
            <w:pPr>
              <w:spacing w:after="0" w:line="20" w:lineRule="exact"/>
              <w:rPr>
                <w:sz w:val="1"/>
                <w:szCs w:val="1"/>
                <w:color w:val="auto"/>
              </w:rPr>
            </w:pPr>
          </w:p>
        </w:tc>
        <w:tc>
          <w:tcPr>
            <w:tcW w:w="5460" w:type="dxa"/>
            <w:vAlign w:val="bottom"/>
            <w:gridSpan w:val="4"/>
            <w:shd w:val="clear" w:color="auto" w:fill="0000EE"/>
          </w:tcPr>
          <w:p>
            <w:pPr>
              <w:spacing w:after="0" w:line="20" w:lineRule="exact"/>
              <w:rPr>
                <w:sz w:val="1"/>
                <w:szCs w:val="1"/>
                <w:color w:val="auto"/>
              </w:rPr>
            </w:pPr>
          </w:p>
        </w:tc>
        <w:tc>
          <w:tcPr>
            <w:tcW w:w="340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r>
      <w:tr>
        <w:trPr>
          <w:trHeight w:val="290"/>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10.21</w:t>
            </w:r>
          </w:p>
        </w:tc>
        <w:tc>
          <w:tcPr>
            <w:tcW w:w="10040" w:type="dxa"/>
            <w:vAlign w:val="bottom"/>
            <w:tcBorders>
              <w:bottom w:val="single" w:sz="8" w:color="0000EE"/>
            </w:tcBorders>
            <w:gridSpan w:val="29"/>
          </w:tcPr>
          <w:p>
            <w:pPr>
              <w:spacing w:after="0"/>
              <w:rPr>
                <w:rFonts w:ascii="Times New Roman" w:cs="Times New Roman" w:eastAsia="Times New Roman" w:hAnsi="Times New Roman"/>
                <w:sz w:val="18"/>
                <w:szCs w:val="18"/>
                <w:color w:val="auto"/>
                <w:w w:val="99"/>
              </w:rPr>
            </w:pPr>
            <w:hyperlink r:id="rId374">
              <w:r>
                <w:rPr>
                  <w:rFonts w:ascii="Times New Roman" w:cs="Times New Roman" w:eastAsia="Times New Roman" w:hAnsi="Times New Roman"/>
                  <w:sz w:val="18"/>
                  <w:szCs w:val="18"/>
                  <w:color w:val="auto"/>
                  <w:w w:val="99"/>
                </w:rPr>
                <w:t>Fourth Amendment to Loan and Security Agreement, dated May 8, 2023, by and among Axsome Therapeutics, Inc., the Lenders who from</w:t>
              </w:r>
            </w:hyperlink>
          </w:p>
        </w:tc>
        <w:tc>
          <w:tcPr>
            <w:tcW w:w="2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8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auto"/>
              </w:rPr>
            </w:pPr>
            <w:hyperlink r:id="rId374">
              <w:r>
                <w:rPr>
                  <w:rFonts w:ascii="Times New Roman" w:cs="Times New Roman" w:eastAsia="Times New Roman" w:hAnsi="Times New Roman"/>
                  <w:sz w:val="18"/>
                  <w:szCs w:val="18"/>
                  <w:color w:val="auto"/>
                </w:rPr>
                <w:t>time to time may be party thereto, and Hercules Capital, Inc., in its capacity as administrative agent and collateral agent for itself and the</w:t>
              </w:r>
            </w:hyperlink>
          </w:p>
        </w:tc>
        <w:tc>
          <w:tcPr>
            <w:tcW w:w="180" w:type="dxa"/>
            <w:vAlign w:val="bottom"/>
            <w:gridSpan w:val="8"/>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30"/>
          </w:tcPr>
          <w:p>
            <w:pPr>
              <w:spacing w:after="0" w:line="196" w:lineRule="exact"/>
              <w:rPr>
                <w:rFonts w:ascii="Times New Roman" w:cs="Times New Roman" w:eastAsia="Times New Roman" w:hAnsi="Times New Roman"/>
                <w:sz w:val="18"/>
                <w:szCs w:val="18"/>
                <w:color w:val="auto"/>
              </w:rPr>
            </w:pPr>
            <w:hyperlink r:id="rId374">
              <w:r>
                <w:rPr>
                  <w:rFonts w:ascii="Times New Roman" w:cs="Times New Roman" w:eastAsia="Times New Roman" w:hAnsi="Times New Roman"/>
                  <w:sz w:val="18"/>
                  <w:szCs w:val="18"/>
                  <w:color w:val="auto"/>
                </w:rPr>
                <w:t>Lenders (Incorporated by reference, Exhibit 10.1 to the Company’s Quarterly Report on Form 10-Q, filed August 7, 2023).</w:t>
              </w:r>
            </w:hyperlink>
          </w:p>
        </w:tc>
      </w:tr>
      <w:tr>
        <w:trPr>
          <w:trHeight w:val="20"/>
        </w:trPr>
        <w:tc>
          <w:tcPr>
            <w:tcW w:w="1180" w:type="dxa"/>
            <w:vAlign w:val="bottom"/>
          </w:tcPr>
          <w:p>
            <w:pPr>
              <w:spacing w:after="0" w:line="20" w:lineRule="exact"/>
              <w:rPr>
                <w:sz w:val="1"/>
                <w:szCs w:val="1"/>
                <w:color w:val="auto"/>
              </w:rPr>
            </w:pPr>
          </w:p>
        </w:tc>
        <w:tc>
          <w:tcPr>
            <w:tcW w:w="5460" w:type="dxa"/>
            <w:vAlign w:val="bottom"/>
            <w:gridSpan w:val="4"/>
            <w:shd w:val="clear" w:color="auto" w:fill="0000EE"/>
          </w:tcPr>
          <w:p>
            <w:pPr>
              <w:spacing w:after="0" w:line="20" w:lineRule="exact"/>
              <w:rPr>
                <w:sz w:val="1"/>
                <w:szCs w:val="1"/>
                <w:color w:val="auto"/>
              </w:rPr>
            </w:pPr>
          </w:p>
        </w:tc>
        <w:tc>
          <w:tcPr>
            <w:tcW w:w="3400" w:type="dxa"/>
            <w:vAlign w:val="bottom"/>
            <w:gridSpan w:val="7"/>
            <w:shd w:val="clear" w:color="auto" w:fill="0000EE"/>
          </w:tcPr>
          <w:p>
            <w:pPr>
              <w:spacing w:after="0" w:line="20" w:lineRule="exact"/>
              <w:rPr>
                <w:sz w:val="1"/>
                <w:szCs w:val="1"/>
                <w:color w:val="auto"/>
              </w:rPr>
            </w:pPr>
          </w:p>
        </w:tc>
        <w:tc>
          <w:tcPr>
            <w:tcW w:w="920" w:type="dxa"/>
            <w:vAlign w:val="bottom"/>
            <w:gridSpan w:val="9"/>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r>
      <w:tr>
        <w:trPr>
          <w:trHeight w:val="290"/>
        </w:trPr>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10.22+++</w:t>
            </w:r>
          </w:p>
        </w:tc>
        <w:tc>
          <w:tcPr>
            <w:tcW w:w="978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375">
              <w:r>
                <w:rPr>
                  <w:rFonts w:ascii="Times New Roman" w:cs="Times New Roman" w:eastAsia="Times New Roman" w:hAnsi="Times New Roman"/>
                  <w:sz w:val="18"/>
                  <w:szCs w:val="18"/>
                  <w:color w:val="auto"/>
                </w:rPr>
                <w:t>Fifth Amendment to Hercules Loan and Security Agreement, dated September 30, 2024, by and among Axsome Therapeutics, Inc., the</w:t>
              </w:r>
            </w:hyperlink>
          </w:p>
        </w:tc>
        <w:tc>
          <w:tcPr>
            <w:tcW w:w="280" w:type="dxa"/>
            <w:vAlign w:val="bottom"/>
            <w:gridSpan w:val="10"/>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30"/>
          </w:tcPr>
          <w:p>
            <w:pPr>
              <w:spacing w:after="0" w:line="196" w:lineRule="exact"/>
              <w:rPr>
                <w:rFonts w:ascii="Times New Roman" w:cs="Times New Roman" w:eastAsia="Times New Roman" w:hAnsi="Times New Roman"/>
                <w:sz w:val="18"/>
                <w:szCs w:val="18"/>
                <w:color w:val="auto"/>
              </w:rPr>
            </w:pPr>
            <w:hyperlink r:id="rId375">
              <w:r>
                <w:rPr>
                  <w:rFonts w:ascii="Times New Roman" w:cs="Times New Roman" w:eastAsia="Times New Roman" w:hAnsi="Times New Roman"/>
                  <w:sz w:val="18"/>
                  <w:szCs w:val="18"/>
                  <w:color w:val="auto"/>
                </w:rPr>
                <w:t>Lenders who from time to time may be party thereto, and Hercules Capital,</w:t>
              </w:r>
            </w:hyperlink>
          </w:p>
        </w:tc>
      </w:tr>
      <w:tr>
        <w:trPr>
          <w:trHeight w:val="520"/>
        </w:trPr>
        <w:tc>
          <w:tcPr>
            <w:tcW w:w="1180" w:type="dxa"/>
            <w:vAlign w:val="bottom"/>
          </w:tcPr>
          <w:p>
            <w:pPr>
              <w:spacing w:after="0"/>
              <w:rPr>
                <w:sz w:val="24"/>
                <w:szCs w:val="24"/>
                <w:color w:val="auto"/>
              </w:rPr>
            </w:pPr>
          </w:p>
        </w:tc>
        <w:tc>
          <w:tcPr>
            <w:tcW w:w="5140" w:type="dxa"/>
            <w:vAlign w:val="bottom"/>
            <w:tcBorders>
              <w:top w:val="single" w:sz="8" w:color="0000EE"/>
            </w:tcBorders>
            <w:gridSpan w:val="3"/>
          </w:tcPr>
          <w:p>
            <w:pPr>
              <w:ind w:left="4300"/>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9820" w:type="dxa"/>
            <w:vAlign w:val="bottom"/>
            <w:tcBorders>
              <w:bottom w:val="single" w:sz="8" w:color="0000EE"/>
            </w:tcBorders>
            <w:gridSpan w:val="19"/>
          </w:tcPr>
          <w:p>
            <w:pPr>
              <w:spacing w:after="0"/>
              <w:rPr>
                <w:rFonts w:ascii="Times New Roman" w:cs="Times New Roman" w:eastAsia="Times New Roman" w:hAnsi="Times New Roman"/>
                <w:sz w:val="18"/>
                <w:szCs w:val="18"/>
                <w:color w:val="auto"/>
              </w:rPr>
            </w:pPr>
            <w:hyperlink r:id="rId375">
              <w:r>
                <w:rPr>
                  <w:rFonts w:ascii="Times New Roman" w:cs="Times New Roman" w:eastAsia="Times New Roman" w:hAnsi="Times New Roman"/>
                  <w:sz w:val="18"/>
                  <w:szCs w:val="18"/>
                  <w:color w:val="auto"/>
                </w:rPr>
                <w:t>Inc., in its capacity as administrative agent and collateral agent for itself and the Lenders (Incorporated by reference, Exhibit 10.1 to the</w:t>
              </w:r>
            </w:hyperlink>
          </w:p>
        </w:tc>
        <w:tc>
          <w:tcPr>
            <w:tcW w:w="220" w:type="dxa"/>
            <w:vAlign w:val="bottom"/>
            <w:gridSpan w:val="6"/>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51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auto"/>
                <w:w w:val="99"/>
              </w:rPr>
            </w:pPr>
            <w:hyperlink r:id="rId375">
              <w:r>
                <w:rPr>
                  <w:rFonts w:ascii="Times New Roman" w:cs="Times New Roman" w:eastAsia="Times New Roman" w:hAnsi="Times New Roman"/>
                  <w:sz w:val="18"/>
                  <w:szCs w:val="18"/>
                  <w:color w:val="auto"/>
                  <w:w w:val="99"/>
                </w:rPr>
                <w:t>Company’s Quarterly Report on Form 10-Q, filed November 12, 2024).</w:t>
              </w:r>
            </w:hyperlink>
          </w:p>
        </w:tc>
        <w:tc>
          <w:tcPr>
            <w:tcW w:w="4860" w:type="dxa"/>
            <w:vAlign w:val="bottom"/>
            <w:gridSpan w:val="15"/>
          </w:tcPr>
          <w:p>
            <w:pPr>
              <w:spacing w:after="0"/>
              <w:rPr>
                <w:sz w:val="17"/>
                <w:szCs w:val="17"/>
                <w:color w:val="auto"/>
              </w:rPr>
            </w:pPr>
          </w:p>
        </w:tc>
      </w:tr>
      <w:tr>
        <w:trPr>
          <w:trHeight w:val="291"/>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10.23</w:t>
            </w:r>
          </w:p>
        </w:tc>
        <w:tc>
          <w:tcPr>
            <w:tcW w:w="986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378">
              <w:r>
                <w:rPr>
                  <w:rFonts w:ascii="Times New Roman" w:cs="Times New Roman" w:eastAsia="Times New Roman" w:hAnsi="Times New Roman"/>
                  <w:sz w:val="18"/>
                  <w:szCs w:val="18"/>
                  <w:color w:val="auto"/>
                </w:rPr>
                <w:t>Direct Agreement, by and among Axsome Therapeutics, Inc., Antecip Bioventures II LLC, and Hercules Capital Inc., as collateral agent</w:t>
              </w:r>
            </w:hyperlink>
          </w:p>
        </w:tc>
        <w:tc>
          <w:tcPr>
            <w:tcW w:w="180" w:type="dxa"/>
            <w:vAlign w:val="bottom"/>
            <w:gridSpan w:val="5"/>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25"/>
          </w:tcPr>
          <w:p>
            <w:pPr>
              <w:spacing w:after="0" w:line="196" w:lineRule="exact"/>
              <w:rPr>
                <w:rFonts w:ascii="Times New Roman" w:cs="Times New Roman" w:eastAsia="Times New Roman" w:hAnsi="Times New Roman"/>
                <w:sz w:val="18"/>
                <w:szCs w:val="18"/>
                <w:color w:val="auto"/>
              </w:rPr>
            </w:pPr>
            <w:hyperlink r:id="rId378">
              <w:r>
                <w:rPr>
                  <w:rFonts w:ascii="Times New Roman" w:cs="Times New Roman" w:eastAsia="Times New Roman" w:hAnsi="Times New Roman"/>
                  <w:sz w:val="18"/>
                  <w:szCs w:val="18"/>
                  <w:color w:val="auto"/>
                </w:rPr>
                <w:t>for itself and the Lenders (Incorporated by reference, Exhibit 10.5 to the Company’s Quarterly Report on Form 10-Q, filed November 5,</w:t>
              </w:r>
            </w:hyperlink>
          </w:p>
        </w:tc>
      </w:tr>
      <w:tr>
        <w:trPr>
          <w:trHeight w:val="196"/>
        </w:trPr>
        <w:tc>
          <w:tcPr>
            <w:tcW w:w="116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auto"/>
                <w:w w:val="94"/>
              </w:rPr>
            </w:pPr>
            <w:hyperlink r:id="rId378">
              <w:r>
                <w:rPr>
                  <w:rFonts w:ascii="Times New Roman" w:cs="Times New Roman" w:eastAsia="Times New Roman" w:hAnsi="Times New Roman"/>
                  <w:sz w:val="18"/>
                  <w:szCs w:val="18"/>
                  <w:color w:val="auto"/>
                  <w:w w:val="94"/>
                </w:rPr>
                <w:t>2020).</w:t>
              </w:r>
            </w:hyperlink>
          </w:p>
        </w:tc>
        <w:tc>
          <w:tcPr>
            <w:tcW w:w="9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91"/>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10.24+++</w:t>
            </w:r>
          </w:p>
        </w:tc>
        <w:tc>
          <w:tcPr>
            <w:tcW w:w="9880" w:type="dxa"/>
            <w:vAlign w:val="bottom"/>
            <w:tcBorders>
              <w:bottom w:val="single" w:sz="8" w:color="0000EE"/>
            </w:tcBorders>
            <w:gridSpan w:val="21"/>
          </w:tcPr>
          <w:p>
            <w:pPr>
              <w:spacing w:after="0"/>
              <w:rPr>
                <w:rFonts w:ascii="Times New Roman" w:cs="Times New Roman" w:eastAsia="Times New Roman" w:hAnsi="Times New Roman"/>
                <w:sz w:val="18"/>
                <w:szCs w:val="18"/>
                <w:color w:val="auto"/>
              </w:rPr>
            </w:pPr>
            <w:hyperlink r:id="rId379">
              <w:r>
                <w:rPr>
                  <w:rFonts w:ascii="Times New Roman" w:cs="Times New Roman" w:eastAsia="Times New Roman" w:hAnsi="Times New Roman"/>
                  <w:sz w:val="18"/>
                  <w:szCs w:val="18"/>
                  <w:color w:val="auto"/>
                </w:rPr>
                <w:t>Asset Purchase Agreement, dated as of March 25, 2022, between Jazz Pharmaceuticals plc and Axsome Therapeutics, Inc. (Incorporated</w:t>
              </w:r>
            </w:hyperlink>
          </w:p>
        </w:tc>
        <w:tc>
          <w:tcPr>
            <w:tcW w:w="160" w:type="dxa"/>
            <w:vAlign w:val="bottom"/>
            <w:gridSpan w:val="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3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auto"/>
              </w:rPr>
            </w:pPr>
            <w:hyperlink r:id="rId379">
              <w:r>
                <w:rPr>
                  <w:rFonts w:ascii="Times New Roman" w:cs="Times New Roman" w:eastAsia="Times New Roman" w:hAnsi="Times New Roman"/>
                  <w:sz w:val="18"/>
                  <w:szCs w:val="18"/>
                  <w:color w:val="auto"/>
                </w:rPr>
                <w:t>by reference, Exhibit 10.1 to the Company’s Current Report on Form 8-K, filed on March 31, 2022).</w:t>
              </w:r>
            </w:hyperlink>
          </w:p>
        </w:tc>
        <w:tc>
          <w:tcPr>
            <w:tcW w:w="2740" w:type="dxa"/>
            <w:vAlign w:val="bottom"/>
            <w:gridSpan w:val="11"/>
          </w:tcPr>
          <w:p>
            <w:pPr>
              <w:spacing w:after="0"/>
              <w:rPr>
                <w:sz w:val="17"/>
                <w:szCs w:val="17"/>
                <w:color w:val="auto"/>
              </w:rPr>
            </w:pPr>
          </w:p>
        </w:tc>
      </w:tr>
      <w:tr>
        <w:trPr>
          <w:trHeight w:val="291"/>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10.25</w:t>
            </w:r>
          </w:p>
        </w:tc>
        <w:tc>
          <w:tcPr>
            <w:tcW w:w="978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380">
              <w:r>
                <w:rPr>
                  <w:rFonts w:ascii="Times New Roman" w:cs="Times New Roman" w:eastAsia="Times New Roman" w:hAnsi="Times New Roman"/>
                  <w:sz w:val="18"/>
                  <w:szCs w:val="18"/>
                  <w:color w:val="auto"/>
                </w:rPr>
                <w:t>Form of Warrant Agreement, dated as of May 9, 2022, between Axsome Therapeutics, Inc. and Hercules Capital, Inc. (Incorporated by</w:t>
              </w:r>
            </w:hyperlink>
          </w:p>
        </w:tc>
        <w:tc>
          <w:tcPr>
            <w:tcW w:w="260" w:type="dxa"/>
            <w:vAlign w:val="bottom"/>
            <w:gridSpan w:val="7"/>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0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w w:val="99"/>
              </w:rPr>
            </w:pPr>
            <w:hyperlink r:id="rId380">
              <w:r>
                <w:rPr>
                  <w:rFonts w:ascii="Times New Roman" w:cs="Times New Roman" w:eastAsia="Times New Roman" w:hAnsi="Times New Roman"/>
                  <w:sz w:val="18"/>
                  <w:szCs w:val="18"/>
                  <w:color w:val="auto"/>
                  <w:w w:val="99"/>
                </w:rPr>
                <w:t>reference, Exhibit 10.1 to the Company’s Quarterly Report on Form 10-Q, filed August 9, 2022).</w:t>
              </w:r>
            </w:hyperlink>
          </w:p>
        </w:tc>
        <w:tc>
          <w:tcPr>
            <w:tcW w:w="3040" w:type="dxa"/>
            <w:vAlign w:val="bottom"/>
            <w:gridSpan w:val="13"/>
          </w:tcPr>
          <w:p>
            <w:pPr>
              <w:spacing w:after="0"/>
              <w:rPr>
                <w:sz w:val="17"/>
                <w:szCs w:val="17"/>
                <w:color w:val="auto"/>
              </w:rPr>
            </w:pPr>
          </w:p>
        </w:tc>
      </w:tr>
      <w:tr>
        <w:trPr>
          <w:trHeight w:val="290"/>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10.26</w:t>
            </w:r>
          </w:p>
        </w:tc>
        <w:tc>
          <w:tcPr>
            <w:tcW w:w="9940" w:type="dxa"/>
            <w:vAlign w:val="bottom"/>
            <w:tcBorders>
              <w:bottom w:val="single" w:sz="8" w:color="0000EE"/>
            </w:tcBorders>
            <w:gridSpan w:val="22"/>
          </w:tcPr>
          <w:p>
            <w:pPr>
              <w:spacing w:after="0"/>
              <w:rPr>
                <w:rFonts w:ascii="Times New Roman" w:cs="Times New Roman" w:eastAsia="Times New Roman" w:hAnsi="Times New Roman"/>
                <w:sz w:val="18"/>
                <w:szCs w:val="18"/>
                <w:color w:val="auto"/>
              </w:rPr>
            </w:pPr>
            <w:hyperlink r:id="rId381">
              <w:r>
                <w:rPr>
                  <w:rFonts w:ascii="Times New Roman" w:cs="Times New Roman" w:eastAsia="Times New Roman" w:hAnsi="Times New Roman"/>
                  <w:sz w:val="18"/>
                  <w:szCs w:val="18"/>
                  <w:color w:val="auto"/>
                </w:rPr>
                <w:t>Share Transfer Agreement, dated as of May 9, 2022, between Axsome Therapeutics, Inc., Hercules Capital, Inc., Hercules Private Global</w:t>
              </w:r>
            </w:hyperlink>
          </w:p>
        </w:tc>
        <w:tc>
          <w:tcPr>
            <w:tcW w:w="10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auto"/>
              </w:rPr>
            </w:pPr>
            <w:hyperlink r:id="rId381">
              <w:r>
                <w:rPr>
                  <w:rFonts w:ascii="Times New Roman" w:cs="Times New Roman" w:eastAsia="Times New Roman" w:hAnsi="Times New Roman"/>
                  <w:sz w:val="18"/>
                  <w:szCs w:val="18"/>
                  <w:color w:val="auto"/>
                </w:rPr>
                <w:t>Venture Growth Fund I L.P. and Hercules Private Credit Fund I L.P. (Incorporated by reference, Exhibit 10.2 to the Company’s Quarterly</w:t>
              </w:r>
            </w:hyperlink>
          </w:p>
        </w:tc>
        <w:tc>
          <w:tcPr>
            <w:tcW w:w="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25"/>
          </w:tcPr>
          <w:p>
            <w:pPr>
              <w:spacing w:after="0" w:line="196" w:lineRule="exact"/>
              <w:rPr>
                <w:rFonts w:ascii="Times New Roman" w:cs="Times New Roman" w:eastAsia="Times New Roman" w:hAnsi="Times New Roman"/>
                <w:sz w:val="18"/>
                <w:szCs w:val="18"/>
                <w:color w:val="auto"/>
              </w:rPr>
            </w:pPr>
            <w:hyperlink r:id="rId381">
              <w:r>
                <w:rPr>
                  <w:rFonts w:ascii="Times New Roman" w:cs="Times New Roman" w:eastAsia="Times New Roman" w:hAnsi="Times New Roman"/>
                  <w:sz w:val="18"/>
                  <w:szCs w:val="18"/>
                  <w:color w:val="auto"/>
                </w:rPr>
                <w:t>Report on Form 10-Q, filed August 9, 2022).</w:t>
              </w:r>
            </w:hyperlink>
          </w:p>
        </w:tc>
      </w:tr>
      <w:tr>
        <w:trPr>
          <w:trHeight w:val="20"/>
        </w:trPr>
        <w:tc>
          <w:tcPr>
            <w:tcW w:w="116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90"/>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10.27+++</w:t>
            </w:r>
          </w:p>
        </w:tc>
        <w:tc>
          <w:tcPr>
            <w:tcW w:w="9600" w:type="dxa"/>
            <w:vAlign w:val="bottom"/>
            <w:tcBorders>
              <w:bottom w:val="single" w:sz="8" w:color="0000EE"/>
            </w:tcBorders>
            <w:gridSpan w:val="15"/>
          </w:tcPr>
          <w:p>
            <w:pPr>
              <w:spacing w:after="0"/>
              <w:rPr>
                <w:rFonts w:ascii="Times New Roman" w:cs="Times New Roman" w:eastAsia="Times New Roman" w:hAnsi="Times New Roman"/>
                <w:sz w:val="18"/>
                <w:szCs w:val="18"/>
                <w:color w:val="auto"/>
              </w:rPr>
            </w:pPr>
            <w:hyperlink r:id="rId382">
              <w:r>
                <w:rPr>
                  <w:rFonts w:ascii="Times New Roman" w:cs="Times New Roman" w:eastAsia="Times New Roman" w:hAnsi="Times New Roman"/>
                  <w:sz w:val="18"/>
                  <w:szCs w:val="18"/>
                  <w:color w:val="auto"/>
                </w:rPr>
                <w:t>License Agreement, dated February 21, 2023, by and between Axsome Malta Ltd. and Atnahs Pharma UK Limited (Incorporated by</w:t>
              </w:r>
            </w:hyperlink>
          </w:p>
        </w:tc>
        <w:tc>
          <w:tcPr>
            <w:tcW w:w="440" w:type="dxa"/>
            <w:vAlign w:val="bottom"/>
            <w:gridSpan w:val="10"/>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25"/>
          </w:tcPr>
          <w:p>
            <w:pPr>
              <w:spacing w:after="0" w:line="196" w:lineRule="exact"/>
              <w:rPr>
                <w:rFonts w:ascii="Times New Roman" w:cs="Times New Roman" w:eastAsia="Times New Roman" w:hAnsi="Times New Roman"/>
                <w:sz w:val="18"/>
                <w:szCs w:val="18"/>
                <w:color w:val="auto"/>
              </w:rPr>
            </w:pPr>
            <w:hyperlink r:id="rId382">
              <w:r>
                <w:rPr>
                  <w:rFonts w:ascii="Times New Roman" w:cs="Times New Roman" w:eastAsia="Times New Roman" w:hAnsi="Times New Roman"/>
                  <w:sz w:val="18"/>
                  <w:szCs w:val="18"/>
                  <w:color w:val="auto"/>
                </w:rPr>
                <w:t>reference, Exhibit 10.1 to the Company’s Quarterly Report on Form 10-Q, filed May 9, 2023).</w:t>
              </w:r>
            </w:hyperlink>
          </w:p>
        </w:tc>
      </w:tr>
      <w:tr>
        <w:trPr>
          <w:trHeight w:val="20"/>
        </w:trPr>
        <w:tc>
          <w:tcPr>
            <w:tcW w:w="116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91"/>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10.28+++</w:t>
            </w:r>
          </w:p>
        </w:tc>
        <w:tc>
          <w:tcPr>
            <w:tcW w:w="10040" w:type="dxa"/>
            <w:vAlign w:val="bottom"/>
            <w:tcBorders>
              <w:bottom w:val="single" w:sz="8" w:color="0000EE"/>
            </w:tcBorders>
            <w:gridSpan w:val="25"/>
          </w:tcPr>
          <w:p>
            <w:pPr>
              <w:spacing w:after="0"/>
              <w:rPr>
                <w:rFonts w:ascii="Times New Roman" w:cs="Times New Roman" w:eastAsia="Times New Roman" w:hAnsi="Times New Roman"/>
                <w:sz w:val="18"/>
                <w:szCs w:val="18"/>
                <w:color w:val="auto"/>
                <w:w w:val="99"/>
              </w:rPr>
            </w:pPr>
            <w:hyperlink r:id="rId383">
              <w:r>
                <w:rPr>
                  <w:rFonts w:ascii="Times New Roman" w:cs="Times New Roman" w:eastAsia="Times New Roman" w:hAnsi="Times New Roman"/>
                  <w:sz w:val="18"/>
                  <w:szCs w:val="18"/>
                  <w:color w:val="auto"/>
                  <w:w w:val="99"/>
                </w:rPr>
                <w:t>Sublease, dated February 21, 2023, between Advance Magazine Publishers d/b/a Conde Nast and Axsome Therapeutics, Inc. (Incorporated</w:t>
              </w:r>
            </w:hyperlink>
          </w:p>
        </w:tc>
      </w:tr>
      <w:tr>
        <w:trPr>
          <w:trHeight w:val="196"/>
        </w:trPr>
        <w:tc>
          <w:tcPr>
            <w:tcW w:w="1160" w:type="dxa"/>
            <w:vAlign w:val="bottom"/>
          </w:tcPr>
          <w:p>
            <w:pPr>
              <w:spacing w:after="0"/>
              <w:rPr>
                <w:sz w:val="17"/>
                <w:szCs w:val="17"/>
                <w:color w:val="auto"/>
              </w:rPr>
            </w:pPr>
          </w:p>
        </w:tc>
        <w:tc>
          <w:tcPr>
            <w:tcW w:w="10040" w:type="dxa"/>
            <w:vAlign w:val="bottom"/>
            <w:gridSpan w:val="25"/>
          </w:tcPr>
          <w:p>
            <w:pPr>
              <w:spacing w:after="0" w:line="196" w:lineRule="exact"/>
              <w:rPr>
                <w:rFonts w:ascii="Times New Roman" w:cs="Times New Roman" w:eastAsia="Times New Roman" w:hAnsi="Times New Roman"/>
                <w:sz w:val="18"/>
                <w:szCs w:val="18"/>
                <w:color w:val="auto"/>
              </w:rPr>
            </w:pPr>
            <w:hyperlink r:id="rId383">
              <w:r>
                <w:rPr>
                  <w:rFonts w:ascii="Times New Roman" w:cs="Times New Roman" w:eastAsia="Times New Roman" w:hAnsi="Times New Roman"/>
                  <w:sz w:val="18"/>
                  <w:szCs w:val="18"/>
                  <w:color w:val="auto"/>
                </w:rPr>
                <w:t>by reference, Exhibit 10.3 to the Company’s Quarterly Report on Form 10-Q, filed May 9, 2023).</w:t>
              </w:r>
            </w:hyperlink>
          </w:p>
        </w:tc>
      </w:tr>
      <w:tr>
        <w:trPr>
          <w:trHeight w:val="291"/>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19.1**</w:t>
            </w:r>
          </w:p>
        </w:tc>
        <w:tc>
          <w:tcPr>
            <w:tcW w:w="366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auto"/>
                <w:w w:val="99"/>
              </w:rPr>
              <w:t>Axsome Therapeutics, Inc. Insider Trading Policy.</w:t>
            </w:r>
          </w:p>
        </w:tc>
        <w:tc>
          <w:tcPr>
            <w:tcW w:w="3360" w:type="dxa"/>
            <w:vAlign w:val="bottom"/>
            <w:tcBorders>
              <w:top w:val="single" w:sz="8" w:color="0000EE"/>
            </w:tcBorders>
            <w:gridSpan w:val="4"/>
          </w:tcPr>
          <w:p>
            <w:pPr>
              <w:spacing w:after="0"/>
              <w:rPr>
                <w:sz w:val="24"/>
                <w:szCs w:val="24"/>
                <w:color w:val="auto"/>
              </w:rPr>
            </w:pPr>
          </w:p>
        </w:tc>
        <w:tc>
          <w:tcPr>
            <w:tcW w:w="3020" w:type="dxa"/>
            <w:vAlign w:val="bottom"/>
            <w:gridSpan w:val="12"/>
          </w:tcPr>
          <w:p>
            <w:pPr>
              <w:spacing w:after="0"/>
              <w:rPr>
                <w:sz w:val="24"/>
                <w:szCs w:val="24"/>
                <w:color w:val="auto"/>
              </w:rPr>
            </w:pPr>
          </w:p>
        </w:tc>
      </w:tr>
      <w:tr>
        <w:trPr>
          <w:trHeight w:val="290"/>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21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w w:val="99"/>
              </w:rPr>
              <w:t>Subsidiaries of the Company.</w:t>
            </w:r>
          </w:p>
        </w:tc>
        <w:tc>
          <w:tcPr>
            <w:tcW w:w="7900" w:type="dxa"/>
            <w:vAlign w:val="bottom"/>
            <w:gridSpan w:val="21"/>
          </w:tcPr>
          <w:p>
            <w:pPr>
              <w:spacing w:after="0"/>
              <w:rPr>
                <w:sz w:val="24"/>
                <w:szCs w:val="24"/>
                <w:color w:val="auto"/>
              </w:rPr>
            </w:pPr>
          </w:p>
        </w:tc>
      </w:tr>
      <w:tr>
        <w:trPr>
          <w:trHeight w:val="291"/>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26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w w:val="99"/>
              </w:rPr>
              <w:t>Consent of Deloitte &amp; Touche LLP.</w:t>
            </w:r>
          </w:p>
        </w:tc>
        <w:tc>
          <w:tcPr>
            <w:tcW w:w="7440" w:type="dxa"/>
            <w:vAlign w:val="bottom"/>
            <w:gridSpan w:val="19"/>
          </w:tcPr>
          <w:p>
            <w:pPr>
              <w:spacing w:after="0"/>
              <w:rPr>
                <w:sz w:val="24"/>
                <w:szCs w:val="24"/>
                <w:color w:val="auto"/>
              </w:rPr>
            </w:pPr>
          </w:p>
        </w:tc>
      </w:tr>
      <w:tr>
        <w:trPr>
          <w:trHeight w:val="290"/>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23.2**</w:t>
            </w:r>
          </w:p>
        </w:tc>
        <w:tc>
          <w:tcPr>
            <w:tcW w:w="100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Consent of Ernst &amp; Young LLP.</w:t>
            </w:r>
          </w:p>
        </w:tc>
      </w:tr>
      <w:tr>
        <w:trPr>
          <w:trHeight w:val="20"/>
        </w:trPr>
        <w:tc>
          <w:tcPr>
            <w:tcW w:w="116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94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90"/>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100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 13a-14(a)/15d-14(a), as adopted pursuant to Section 302 of the Sarbanes-</w:t>
            </w:r>
          </w:p>
        </w:tc>
      </w:tr>
      <w:tr>
        <w:trPr>
          <w:trHeight w:val="196"/>
        </w:trPr>
        <w:tc>
          <w:tcPr>
            <w:tcW w:w="116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Oxley Act of 2002.</w:t>
            </w:r>
          </w:p>
        </w:tc>
        <w:tc>
          <w:tcPr>
            <w:tcW w:w="8280" w:type="dxa"/>
            <w:vAlign w:val="bottom"/>
            <w:tcBorders>
              <w:top w:val="single" w:sz="8" w:color="0000EE"/>
            </w:tcBorders>
            <w:gridSpan w:val="15"/>
          </w:tcPr>
          <w:p>
            <w:pPr>
              <w:spacing w:after="0"/>
              <w:rPr>
                <w:sz w:val="17"/>
                <w:szCs w:val="17"/>
                <w:color w:val="auto"/>
              </w:rPr>
            </w:pPr>
          </w:p>
        </w:tc>
        <w:tc>
          <w:tcPr>
            <w:tcW w:w="360" w:type="dxa"/>
            <w:vAlign w:val="bottom"/>
            <w:gridSpan w:val="8"/>
          </w:tcPr>
          <w:p>
            <w:pPr>
              <w:spacing w:after="0"/>
              <w:rPr>
                <w:sz w:val="17"/>
                <w:szCs w:val="17"/>
                <w:color w:val="auto"/>
              </w:rPr>
            </w:pPr>
          </w:p>
        </w:tc>
      </w:tr>
      <w:tr>
        <w:trPr>
          <w:trHeight w:val="290"/>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96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auto"/>
                <w:w w:val="99"/>
              </w:rPr>
              <w:t>Certification of Principal Financial Officer pursuant to Rule 13a-14(a)/15d-14(a), as adopted pursuant to Section 302 of the Sarbanes-</w:t>
            </w:r>
          </w:p>
        </w:tc>
        <w:tc>
          <w:tcPr>
            <w:tcW w:w="400" w:type="dxa"/>
            <w:vAlign w:val="bottom"/>
            <w:gridSpan w:val="9"/>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Oxley Act of 2002.</w:t>
            </w:r>
          </w:p>
        </w:tc>
        <w:tc>
          <w:tcPr>
            <w:tcW w:w="8640" w:type="dxa"/>
            <w:vAlign w:val="bottom"/>
            <w:gridSpan w:val="23"/>
          </w:tcPr>
          <w:p>
            <w:pPr>
              <w:spacing w:after="0"/>
              <w:rPr>
                <w:sz w:val="17"/>
                <w:szCs w:val="17"/>
                <w:color w:val="auto"/>
              </w:rPr>
            </w:pPr>
          </w:p>
        </w:tc>
      </w:tr>
      <w:tr>
        <w:trPr>
          <w:trHeight w:val="290"/>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04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§1350, as adopted pursuant to Section 906 of the Sarbanes-Oxley Act of</w:t>
            </w:r>
          </w:p>
        </w:tc>
      </w:tr>
      <w:tr>
        <w:trPr>
          <w:trHeight w:val="196"/>
        </w:trPr>
        <w:tc>
          <w:tcPr>
            <w:tcW w:w="1160" w:type="dxa"/>
            <w:vAlign w:val="bottom"/>
          </w:tcPr>
          <w:p>
            <w:pPr>
              <w:spacing w:after="0"/>
              <w:rPr>
                <w:sz w:val="17"/>
                <w:szCs w:val="17"/>
                <w:color w:val="auto"/>
              </w:rPr>
            </w:pPr>
          </w:p>
        </w:tc>
        <w:tc>
          <w:tcPr>
            <w:tcW w:w="100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2002 (furnished herewith).</w:t>
            </w:r>
          </w:p>
        </w:tc>
      </w:tr>
      <w:tr>
        <w:trPr>
          <w:trHeight w:val="20"/>
        </w:trPr>
        <w:tc>
          <w:tcPr>
            <w:tcW w:w="116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080" w:type="dxa"/>
            <w:vAlign w:val="bottom"/>
            <w:gridSpan w:val="11"/>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90"/>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99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§1350, as adopted pursuant to Section 906 of the Sarbanes-Oxley Act of</w:t>
            </w:r>
          </w:p>
        </w:tc>
        <w:tc>
          <w:tcPr>
            <w:tcW w:w="6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auto"/>
              </w:rPr>
              <w:t>2002 (furnished herewith).</w:t>
            </w:r>
          </w:p>
        </w:tc>
      </w:tr>
      <w:tr>
        <w:trPr>
          <w:trHeight w:val="20"/>
        </w:trPr>
        <w:tc>
          <w:tcPr>
            <w:tcW w:w="1160" w:type="dxa"/>
            <w:vAlign w:val="bottom"/>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7080" w:type="dxa"/>
            <w:vAlign w:val="bottom"/>
            <w:gridSpan w:val="11"/>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r>
      <w:tr>
        <w:trPr>
          <w:trHeight w:val="290"/>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97.1</w:t>
            </w:r>
          </w:p>
        </w:tc>
        <w:tc>
          <w:tcPr>
            <w:tcW w:w="978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384">
              <w:r>
                <w:rPr>
                  <w:rFonts w:ascii="Times New Roman" w:cs="Times New Roman" w:eastAsia="Times New Roman" w:hAnsi="Times New Roman"/>
                  <w:sz w:val="18"/>
                  <w:szCs w:val="18"/>
                  <w:color w:val="auto"/>
                </w:rPr>
                <w:t>Axsome Therapeutics, Inc. Dodd-Frank Clawback Policy (Incorporated by reference, Exhibit 97.1 to the Company’s Annual Report on</w:t>
              </w:r>
            </w:hyperlink>
          </w:p>
        </w:tc>
        <w:tc>
          <w:tcPr>
            <w:tcW w:w="260" w:type="dxa"/>
            <w:vAlign w:val="bottom"/>
            <w:gridSpan w:val="7"/>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40" w:type="dxa"/>
            <w:vAlign w:val="bottom"/>
            <w:gridSpan w:val="25"/>
          </w:tcPr>
          <w:p>
            <w:pPr>
              <w:spacing w:after="0" w:line="196" w:lineRule="exact"/>
              <w:rPr>
                <w:rFonts w:ascii="Times New Roman" w:cs="Times New Roman" w:eastAsia="Times New Roman" w:hAnsi="Times New Roman"/>
                <w:sz w:val="18"/>
                <w:szCs w:val="18"/>
                <w:color w:val="auto"/>
              </w:rPr>
            </w:pPr>
            <w:hyperlink r:id="rId384">
              <w:r>
                <w:rPr>
                  <w:rFonts w:ascii="Times New Roman" w:cs="Times New Roman" w:eastAsia="Times New Roman" w:hAnsi="Times New Roman"/>
                  <w:sz w:val="18"/>
                  <w:szCs w:val="18"/>
                  <w:color w:val="auto"/>
                </w:rPr>
                <w:t>Form 10-K, filed February 23, 2024).</w:t>
              </w:r>
            </w:hyperlink>
          </w:p>
        </w:tc>
      </w:tr>
      <w:tr>
        <w:trPr>
          <w:trHeight w:val="20"/>
        </w:trPr>
        <w:tc>
          <w:tcPr>
            <w:tcW w:w="1160" w:type="dxa"/>
            <w:vAlign w:val="bottom"/>
          </w:tcPr>
          <w:p>
            <w:pPr>
              <w:spacing w:after="0" w:line="20" w:lineRule="exact"/>
              <w:rPr>
                <w:sz w:val="1"/>
                <w:szCs w:val="1"/>
                <w:color w:val="auto"/>
              </w:rPr>
            </w:pPr>
          </w:p>
        </w:tc>
        <w:tc>
          <w:tcPr>
            <w:tcW w:w="2700" w:type="dxa"/>
            <w:vAlign w:val="bottom"/>
            <w:gridSpan w:val="7"/>
            <w:shd w:val="clear" w:color="auto" w:fill="0000EE"/>
          </w:tcPr>
          <w:p>
            <w:pPr>
              <w:spacing w:after="0" w:line="20" w:lineRule="exact"/>
              <w:rPr>
                <w:sz w:val="1"/>
                <w:szCs w:val="1"/>
                <w:color w:val="auto"/>
              </w:rPr>
            </w:pPr>
          </w:p>
        </w:tc>
        <w:tc>
          <w:tcPr>
            <w:tcW w:w="7340" w:type="dxa"/>
            <w:vAlign w:val="bottom"/>
            <w:gridSpan w:val="18"/>
          </w:tcPr>
          <w:p>
            <w:pPr>
              <w:spacing w:after="0" w:line="20" w:lineRule="exact"/>
              <w:rPr>
                <w:sz w:val="1"/>
                <w:szCs w:val="1"/>
                <w:color w:val="auto"/>
              </w:rPr>
            </w:pPr>
          </w:p>
        </w:tc>
      </w:tr>
      <w:tr>
        <w:trPr>
          <w:trHeight w:val="31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34"/>
        </w:trPr>
        <w:tc>
          <w:tcPr>
            <w:tcW w:w="1160" w:type="dxa"/>
            <w:vAlign w:val="bottom"/>
          </w:tcPr>
          <w:p>
            <w:pPr>
              <w:spacing w:after="0"/>
              <w:rPr>
                <w:sz w:val="20"/>
                <w:szCs w:val="20"/>
                <w:color w:val="auto"/>
              </w:rPr>
            </w:pPr>
          </w:p>
        </w:tc>
        <w:tc>
          <w:tcPr>
            <w:tcW w:w="100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1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76" w:lineRule="exact"/>
        <w:rPr>
          <w:sz w:val="20"/>
          <w:szCs w:val="20"/>
          <w:color w:val="auto"/>
        </w:rPr>
      </w:pPr>
    </w:p>
    <w:p>
      <w:pPr>
        <w:ind w:left="1180" w:hanging="1159"/>
        <w:spacing w:after="0"/>
        <w:tabs>
          <w:tab w:leader="none" w:pos="1180"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7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117" w:lineRule="exact"/>
        <w:rPr>
          <w:rFonts w:ascii="Times New Roman" w:cs="Times New Roman" w:eastAsia="Times New Roman" w:hAnsi="Times New Roman"/>
          <w:sz w:val="18"/>
          <w:szCs w:val="18"/>
          <w:color w:val="auto"/>
        </w:rPr>
      </w:pPr>
    </w:p>
    <w:p>
      <w:pPr>
        <w:ind w:left="760" w:right="420" w:hanging="752"/>
        <w:spacing w:after="0" w:line="282" w:lineRule="auto"/>
        <w:tabs>
          <w:tab w:leader="none" w:pos="37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with respect to certain portions of this exhibit. Omitted portions have been filed separately with the U.S. Securities and Exchange Commission.</w:t>
      </w:r>
    </w:p>
    <w:p>
      <w:pPr>
        <w:spacing w:after="0" w:line="54" w:lineRule="exact"/>
        <w:rPr>
          <w:sz w:val="20"/>
          <w:szCs w:val="20"/>
          <w:color w:val="auto"/>
        </w:rPr>
      </w:pPr>
    </w:p>
    <w:p>
      <w:pPr>
        <w:ind w:right="3500" w:firstLine="8"/>
        <w:spacing w:after="0" w:line="407" w:lineRule="auto"/>
        <w:tabs>
          <w:tab w:leader="none" w:pos="3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Item 601(b)(10)(iv) of Regulation S-K. ** Filed herewith.</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We may voluntarily include a summary of information required by Form 10-K under this Item 16. We have elected not to include such summary information.</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 on this 18th day of February 2025.</w:t>
      </w:r>
    </w:p>
    <w:p>
      <w:pPr>
        <w:spacing w:after="0" w:line="200" w:lineRule="exact"/>
        <w:rPr>
          <w:sz w:val="20"/>
          <w:szCs w:val="20"/>
          <w:color w:val="auto"/>
        </w:rPr>
      </w:pPr>
    </w:p>
    <w:p>
      <w:pPr>
        <w:spacing w:after="0" w:line="20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225" w:lineRule="exact"/>
        <w:rPr>
          <w:sz w:val="20"/>
          <w:szCs w:val="20"/>
          <w:color w:val="auto"/>
        </w:rPr>
      </w:pPr>
    </w:p>
    <w:p>
      <w:pPr>
        <w:ind w:left="5680"/>
        <w:spacing w:after="0"/>
        <w:tabs>
          <w:tab w:leader="none" w:pos="7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31203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7">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Herriot Tabuteau, M.D.</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4"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by the following persons on behalf of the registrant and in the capacities and on the dates indicated:</w:t>
      </w:r>
    </w:p>
    <w:p>
      <w:pPr>
        <w:sectPr>
          <w:pgSz w:w="11900" w:h="16838" w:orient="portrait"/>
          <w:cols w:equalWidth="0" w:num="1">
            <w:col w:w="11180"/>
          </w:cols>
          <w:pgMar w:left="320" w:top="114" w:right="399" w:bottom="1440" w:gutter="0" w:footer="0" w:header="0"/>
        </w:sectPr>
      </w:pPr>
    </w:p>
    <w:p>
      <w:pPr>
        <w:spacing w:after="0" w:line="19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36830</wp:posOffset>
            </wp:positionV>
            <wp:extent cx="240030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9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240030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3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Herriot Tabuteau, M.D.</w:t>
      </w:r>
    </w:p>
    <w:p>
      <w:pPr>
        <w:spacing w:after="0" w:line="34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240030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3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Nick Pizzie</w:t>
      </w:r>
    </w:p>
    <w:p>
      <w:pPr>
        <w:spacing w:after="0" w:line="37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 Roger Jeffs,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24003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3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Roger Jeffs, Ph.D.</w:t>
      </w:r>
    </w:p>
    <w:p>
      <w:pPr>
        <w:spacing w:after="0" w:line="25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 Mark Coleman,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24003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2">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3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Mark Coleman, M.D.</w:t>
      </w:r>
    </w:p>
    <w:p>
      <w:pPr>
        <w:spacing w:after="0" w:line="26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 Mark Saad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240030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3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Mark Saad</w:t>
      </w:r>
    </w:p>
    <w:p>
      <w:pPr>
        <w:spacing w:after="0" w:line="25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/s/ Susan Mahony,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24765</wp:posOffset>
            </wp:positionV>
            <wp:extent cx="240030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4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Susan Mahony, Ph.D., M.B.A.</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27"/>
        </w:trPr>
        <w:tc>
          <w:tcPr>
            <w:tcW w:w="46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1"/>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 (Principal</w:t>
            </w:r>
          </w:p>
        </w:tc>
        <w:tc>
          <w:tcPr>
            <w:tcW w:w="22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February 18, 2025</w:t>
            </w:r>
          </w:p>
        </w:tc>
        <w:tc>
          <w:tcPr>
            <w:tcW w:w="0" w:type="dxa"/>
            <w:vAlign w:val="bottom"/>
          </w:tcPr>
          <w:p>
            <w:pPr>
              <w:spacing w:after="0"/>
              <w:rPr>
                <w:sz w:val="1"/>
                <w:szCs w:val="1"/>
                <w:color w:val="auto"/>
              </w:rPr>
            </w:pPr>
          </w:p>
        </w:tc>
      </w:tr>
      <w:tr>
        <w:trPr>
          <w:trHeight w:val="126"/>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22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February 18, 2025</w:t>
            </w:r>
          </w:p>
        </w:tc>
        <w:tc>
          <w:tcPr>
            <w:tcW w:w="0" w:type="dxa"/>
            <w:vAlign w:val="bottom"/>
          </w:tcPr>
          <w:p>
            <w:pPr>
              <w:spacing w:after="0"/>
              <w:rPr>
                <w:sz w:val="1"/>
                <w:szCs w:val="1"/>
                <w:color w:val="auto"/>
              </w:rPr>
            </w:pPr>
          </w:p>
        </w:tc>
      </w:tr>
      <w:tr>
        <w:trPr>
          <w:trHeight w:val="122"/>
        </w:trPr>
        <w:tc>
          <w:tcPr>
            <w:tcW w:w="4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6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February 18, 2025</w:t>
            </w:r>
          </w:p>
        </w:tc>
        <w:tc>
          <w:tcPr>
            <w:tcW w:w="0" w:type="dxa"/>
            <w:vAlign w:val="bottom"/>
          </w:tcPr>
          <w:p>
            <w:pPr>
              <w:spacing w:after="0"/>
              <w:rPr>
                <w:sz w:val="1"/>
                <w:szCs w:val="1"/>
                <w:color w:val="auto"/>
              </w:rPr>
            </w:pPr>
          </w:p>
        </w:tc>
      </w:tr>
      <w:tr>
        <w:trPr>
          <w:trHeight w:val="715"/>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February 18, 2025</w:t>
            </w:r>
          </w:p>
        </w:tc>
        <w:tc>
          <w:tcPr>
            <w:tcW w:w="0" w:type="dxa"/>
            <w:vAlign w:val="bottom"/>
          </w:tcPr>
          <w:p>
            <w:pPr>
              <w:spacing w:after="0"/>
              <w:rPr>
                <w:sz w:val="1"/>
                <w:szCs w:val="1"/>
                <w:color w:val="auto"/>
              </w:rPr>
            </w:pPr>
          </w:p>
        </w:tc>
      </w:tr>
      <w:tr>
        <w:trPr>
          <w:trHeight w:val="72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February 18, 2025</w:t>
            </w:r>
          </w:p>
        </w:tc>
        <w:tc>
          <w:tcPr>
            <w:tcW w:w="0" w:type="dxa"/>
            <w:vAlign w:val="bottom"/>
          </w:tcPr>
          <w:p>
            <w:pPr>
              <w:spacing w:after="0"/>
              <w:rPr>
                <w:sz w:val="1"/>
                <w:szCs w:val="1"/>
                <w:color w:val="auto"/>
              </w:rPr>
            </w:pPr>
          </w:p>
        </w:tc>
      </w:tr>
      <w:tr>
        <w:trPr>
          <w:trHeight w:val="715"/>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February 18, 2025</w:t>
            </w:r>
          </w:p>
        </w:tc>
        <w:tc>
          <w:tcPr>
            <w:tcW w:w="0" w:type="dxa"/>
            <w:vAlign w:val="bottom"/>
          </w:tcPr>
          <w:p>
            <w:pPr>
              <w:spacing w:after="0"/>
              <w:rPr>
                <w:sz w:val="1"/>
                <w:szCs w:val="1"/>
                <w:color w:val="auto"/>
              </w:rPr>
            </w:pPr>
          </w:p>
        </w:tc>
      </w:tr>
    </w:tbl>
    <w:p>
      <w:pPr>
        <w:spacing w:after="0" w:line="307" w:lineRule="exact"/>
        <w:rPr>
          <w:sz w:val="20"/>
          <w:szCs w:val="20"/>
          <w:color w:val="auto"/>
        </w:rPr>
      </w:pPr>
    </w:p>
    <w:p>
      <w:pPr>
        <w:sectPr>
          <w:pgSz w:w="11900" w:h="16838" w:orient="portrait"/>
          <w:cols w:equalWidth="0" w:num="2">
            <w:col w:w="3580" w:space="720"/>
            <w:col w:w="6880"/>
          </w:cols>
          <w:pgMar w:left="320" w:top="114" w:right="399" w:bottom="1440" w:gutter="0" w:footer="0" w:header="0"/>
          <w:type w:val="continuous"/>
        </w:sect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type w:val="continuous"/>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xsome</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herapeutics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nsider</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rading</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olicy</w:t>
      </w:r>
    </w:p>
    <w:p>
      <w:pPr>
        <w:spacing w:after="0" w:line="200" w:lineRule="exact"/>
        <w:rPr>
          <w:sz w:val="20"/>
          <w:szCs w:val="20"/>
          <w:color w:val="auto"/>
        </w:rPr>
      </w:pPr>
    </w:p>
    <w:p>
      <w:pPr>
        <w:spacing w:after="0" w:line="218" w:lineRule="exact"/>
        <w:rPr>
          <w:sz w:val="20"/>
          <w:szCs w:val="20"/>
          <w:color w:val="auto"/>
        </w:rPr>
      </w:pPr>
    </w:p>
    <w:p>
      <w:pPr>
        <w:jc w:val="both"/>
        <w:ind w:left="100" w:firstLine="749"/>
        <w:spacing w:after="0" w:line="237" w:lineRule="auto"/>
        <w:rPr>
          <w:sz w:val="20"/>
          <w:szCs w:val="20"/>
          <w:color w:val="auto"/>
        </w:rPr>
      </w:pPr>
      <w:r>
        <w:rPr>
          <w:rFonts w:ascii="Arial" w:cs="Arial" w:eastAsia="Arial" w:hAnsi="Arial"/>
          <w:sz w:val="20"/>
          <w:szCs w:val="20"/>
          <w:color w:val="auto"/>
        </w:rPr>
        <w:t>The following is the insider trading policy (this “</w:t>
      </w:r>
      <w:r>
        <w:rPr>
          <w:rFonts w:ascii="Arial" w:cs="Arial" w:eastAsia="Arial" w:hAnsi="Arial"/>
          <w:sz w:val="20"/>
          <w:szCs w:val="20"/>
          <w:b w:val="1"/>
          <w:bCs w:val="1"/>
          <w:color w:val="auto"/>
        </w:rPr>
        <w:t>Policy</w:t>
      </w:r>
      <w:r>
        <w:rPr>
          <w:rFonts w:ascii="Arial" w:cs="Arial" w:eastAsia="Arial" w:hAnsi="Arial"/>
          <w:sz w:val="20"/>
          <w:szCs w:val="20"/>
          <w:color w:val="auto"/>
        </w:rPr>
        <w:t>”) of Axsome Therapeutics, Inc. (the “</w:t>
      </w:r>
      <w:r>
        <w:rPr>
          <w:rFonts w:ascii="Arial" w:cs="Arial" w:eastAsia="Arial" w:hAnsi="Arial"/>
          <w:sz w:val="20"/>
          <w:szCs w:val="20"/>
          <w:b w:val="1"/>
          <w:bCs w:val="1"/>
          <w:color w:val="auto"/>
        </w:rPr>
        <w:t>Company</w:t>
      </w:r>
      <w:r>
        <w:rPr>
          <w:rFonts w:ascii="Arial" w:cs="Arial" w:eastAsia="Arial" w:hAnsi="Arial"/>
          <w:sz w:val="20"/>
          <w:szCs w:val="20"/>
          <w:color w:val="auto"/>
        </w:rPr>
        <w:t>”) and outlines the procedures that all Company personnel must follow. Failure to comply with these procedures could result in a serious violation of the securities laws by you and/or the Company and can involve both civil and criminal penalties. It is important that you review this Policy carefully. This Policy provides as follows:</w:t>
      </w:r>
    </w:p>
    <w:p>
      <w:pPr>
        <w:spacing w:after="0" w:line="374" w:lineRule="exact"/>
        <w:rPr>
          <w:sz w:val="20"/>
          <w:szCs w:val="20"/>
          <w:color w:val="auto"/>
        </w:rPr>
      </w:pPr>
    </w:p>
    <w:p>
      <w:pPr>
        <w:ind w:left="720" w:hanging="513"/>
        <w:spacing w:after="0"/>
        <w:tabs>
          <w:tab w:leader="none" w:pos="720"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color w:val="auto"/>
        </w:rPr>
        <w:t>PURPOSE</w:t>
      </w:r>
    </w:p>
    <w:p>
      <w:pPr>
        <w:spacing w:after="0" w:line="258" w:lineRule="exact"/>
        <w:rPr>
          <w:sz w:val="20"/>
          <w:szCs w:val="20"/>
          <w:color w:val="auto"/>
        </w:rPr>
      </w:pPr>
    </w:p>
    <w:p>
      <w:pPr>
        <w:jc w:val="both"/>
        <w:ind w:left="340" w:right="120"/>
        <w:spacing w:after="0" w:line="233" w:lineRule="auto"/>
        <w:rPr>
          <w:sz w:val="20"/>
          <w:szCs w:val="20"/>
          <w:color w:val="auto"/>
        </w:rPr>
      </w:pPr>
      <w:r>
        <w:rPr>
          <w:rFonts w:ascii="Arial" w:cs="Arial" w:eastAsia="Arial" w:hAnsi="Arial"/>
          <w:sz w:val="20"/>
          <w:szCs w:val="20"/>
          <w:color w:val="auto"/>
        </w:rPr>
        <w:t>In order to comply with federal and state securities laws governing (a) trading in Company and other company securities while in the possession of “material nonpublic information,” and (b) tipping or disclosing material nonpublic information to others, and in order to, among other things, prevent even the appearance of improper insider trading or tipping, protect the Company from controlling person liability, and protect the reputation of the Company, its directors, officers, and employees, the Company has adopted this Policy for all of its directors, officers, and employees, their family members, and specially designated outsiders, such as consultants, who may have access to material nonpublic information.</w:t>
      </w:r>
    </w:p>
    <w:p>
      <w:pPr>
        <w:spacing w:after="0" w:line="170" w:lineRule="exact"/>
        <w:rPr>
          <w:sz w:val="20"/>
          <w:szCs w:val="20"/>
          <w:color w:val="auto"/>
        </w:rPr>
      </w:pPr>
    </w:p>
    <w:p>
      <w:pPr>
        <w:ind w:left="720" w:hanging="572"/>
        <w:spacing w:after="0"/>
        <w:tabs>
          <w:tab w:leader="none" w:pos="72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SCOPE</w:t>
      </w:r>
    </w:p>
    <w:p>
      <w:pPr>
        <w:spacing w:after="0" w:line="271" w:lineRule="exact"/>
        <w:rPr>
          <w:rFonts w:ascii="Arial" w:cs="Arial" w:eastAsia="Arial" w:hAnsi="Arial"/>
          <w:sz w:val="20"/>
          <w:szCs w:val="20"/>
          <w:b w:val="1"/>
          <w:bCs w:val="1"/>
          <w:color w:val="auto"/>
        </w:rPr>
      </w:pPr>
    </w:p>
    <w:p>
      <w:pPr>
        <w:jc w:val="both"/>
        <w:ind w:left="1080" w:right="120" w:hanging="363"/>
        <w:spacing w:after="0" w:line="229" w:lineRule="auto"/>
        <w:tabs>
          <w:tab w:leader="none" w:pos="1080" w:val="left"/>
        </w:tabs>
        <w:numPr>
          <w:ilvl w:val="1"/>
          <w:numId w:val="58"/>
        </w:numPr>
        <w:rPr>
          <w:rFonts w:ascii="Arial" w:cs="Arial" w:eastAsia="Arial" w:hAnsi="Arial"/>
          <w:sz w:val="20"/>
          <w:szCs w:val="20"/>
          <w:color w:val="auto"/>
        </w:rPr>
      </w:pPr>
      <w:r>
        <w:rPr>
          <w:rFonts w:ascii="Arial" w:cs="Arial" w:eastAsia="Arial" w:hAnsi="Arial"/>
          <w:sz w:val="20"/>
          <w:szCs w:val="20"/>
          <w:color w:val="auto"/>
        </w:rPr>
        <w:t>This Policy covers all insiders, which includes all directors, officers, and employees of the Company, their family members, and any corporations, partnerships, trusts, or other entities owned or controlled by the foregoing persons, and any trusts in which such persons are trustees or beneficiaries (“</w:t>
      </w:r>
      <w:r>
        <w:rPr>
          <w:rFonts w:ascii="Arial" w:cs="Arial" w:eastAsia="Arial" w:hAnsi="Arial"/>
          <w:sz w:val="20"/>
          <w:szCs w:val="20"/>
          <w:b w:val="1"/>
          <w:bCs w:val="1"/>
          <w:color w:val="auto"/>
        </w:rPr>
        <w:t>Applicable Trusts</w:t>
      </w:r>
      <w:r>
        <w:rPr>
          <w:rFonts w:ascii="Arial" w:cs="Arial" w:eastAsia="Arial" w:hAnsi="Arial"/>
          <w:sz w:val="20"/>
          <w:szCs w:val="20"/>
          <w:color w:val="auto"/>
        </w:rPr>
        <w:t>”), or any corporation in which such persons hold more than 20% of the equity or voting rights (“</w:t>
      </w:r>
      <w:r>
        <w:rPr>
          <w:rFonts w:ascii="Arial" w:cs="Arial" w:eastAsia="Arial" w:hAnsi="Arial"/>
          <w:sz w:val="20"/>
          <w:szCs w:val="20"/>
          <w:b w:val="1"/>
          <w:bCs w:val="1"/>
          <w:color w:val="auto"/>
        </w:rPr>
        <w:t>Applicable Corporations</w:t>
      </w:r>
      <w:r>
        <w:rPr>
          <w:rFonts w:ascii="Arial" w:cs="Arial" w:eastAsia="Arial" w:hAnsi="Arial"/>
          <w:sz w:val="20"/>
          <w:szCs w:val="20"/>
          <w:color w:val="auto"/>
        </w:rPr>
        <w:t>”) (collectively, the “</w:t>
      </w:r>
      <w:r>
        <w:rPr>
          <w:rFonts w:ascii="Arial" w:cs="Arial" w:eastAsia="Arial" w:hAnsi="Arial"/>
          <w:sz w:val="20"/>
          <w:szCs w:val="20"/>
          <w:b w:val="1"/>
          <w:bCs w:val="1"/>
          <w:color w:val="auto"/>
        </w:rPr>
        <w:t>Insiders</w:t>
      </w:r>
      <w:r>
        <w:rPr>
          <w:rFonts w:ascii="Arial" w:cs="Arial" w:eastAsia="Arial" w:hAnsi="Arial"/>
          <w:sz w:val="20"/>
          <w:szCs w:val="20"/>
          <w:color w:val="auto"/>
        </w:rPr>
        <w:t>”), and any outsiders whom the Compliance Officer (as defined below) may designate as Insiders because they have or may gain access to material nonpublic information concerning the Company. For purposes of this Policy, “</w:t>
      </w:r>
      <w:r>
        <w:rPr>
          <w:rFonts w:ascii="Arial" w:cs="Arial" w:eastAsia="Arial" w:hAnsi="Arial"/>
          <w:sz w:val="20"/>
          <w:szCs w:val="20"/>
          <w:b w:val="1"/>
          <w:bCs w:val="1"/>
          <w:color w:val="auto"/>
        </w:rPr>
        <w:t>family members</w:t>
      </w:r>
      <w:r>
        <w:rPr>
          <w:rFonts w:ascii="Arial" w:cs="Arial" w:eastAsia="Arial" w:hAnsi="Arial"/>
          <w:sz w:val="20"/>
          <w:szCs w:val="20"/>
          <w:color w:val="auto"/>
        </w:rPr>
        <w:t xml:space="preserve">” include people who live with Company directors, officers, and/or employees, or are financially dependent on them, and also include those whose transactions in securities are directed by Company directors, officers, and/or employees or are subject to their influence or control. Each employee, officer, consultant, and director is </w:t>
      </w:r>
      <w:r>
        <w:rPr>
          <w:rFonts w:ascii="Arial" w:cs="Arial" w:eastAsia="Arial" w:hAnsi="Arial"/>
          <w:sz w:val="20"/>
          <w:szCs w:val="20"/>
          <w:i w:val="1"/>
          <w:iCs w:val="1"/>
          <w:u w:val="single" w:color="auto"/>
          <w:color w:val="auto"/>
        </w:rPr>
        <w:t>personally responsible</w:t>
      </w:r>
      <w:r>
        <w:rPr>
          <w:rFonts w:ascii="Arial" w:cs="Arial" w:eastAsia="Arial" w:hAnsi="Arial"/>
          <w:sz w:val="20"/>
          <w:szCs w:val="20"/>
          <w:color w:val="auto"/>
        </w:rPr>
        <w:t xml:space="preserve"> for the actions of their family members and other persons with whom they have a relationship who are subject to this Policy, including any pre-clearances required.</w:t>
      </w:r>
    </w:p>
    <w:p>
      <w:pPr>
        <w:spacing w:after="0" w:line="174" w:lineRule="exact"/>
        <w:rPr>
          <w:rFonts w:ascii="Arial" w:cs="Arial" w:eastAsia="Arial" w:hAnsi="Arial"/>
          <w:sz w:val="20"/>
          <w:szCs w:val="20"/>
          <w:color w:val="auto"/>
        </w:rPr>
      </w:pPr>
    </w:p>
    <w:p>
      <w:pPr>
        <w:jc w:val="both"/>
        <w:ind w:left="1080" w:right="120" w:hanging="363"/>
        <w:spacing w:after="0" w:line="228" w:lineRule="auto"/>
        <w:tabs>
          <w:tab w:leader="none" w:pos="1080" w:val="left"/>
        </w:tabs>
        <w:numPr>
          <w:ilvl w:val="1"/>
          <w:numId w:val="58"/>
        </w:numPr>
        <w:rPr>
          <w:rFonts w:ascii="Arial" w:cs="Arial" w:eastAsia="Arial" w:hAnsi="Arial"/>
          <w:sz w:val="20"/>
          <w:szCs w:val="20"/>
          <w:color w:val="auto"/>
        </w:rPr>
      </w:pPr>
      <w:r>
        <w:rPr>
          <w:rFonts w:ascii="Arial" w:cs="Arial" w:eastAsia="Arial" w:hAnsi="Arial"/>
          <w:sz w:val="20"/>
          <w:szCs w:val="20"/>
          <w:color w:val="auto"/>
        </w:rPr>
        <w:t>This Policy applies to any and all transactions in the Company’s and any other company’s securities, including (unless specifically excluded herein) its common stock and options to purchase common stock, and any other type of securities that the Company or any other company may issue, such as preferred stock, convertible debentures, warrants, and exchange-traded options or other derivative securities. Transactions subject to this Policy include, but are not necessarily limited to, purchases and sales (including short-selling), whether in the open market or with the Company or any other company; transfers to anyone or any entity, whether with or</w:t>
      </w:r>
    </w:p>
    <w:p>
      <w:pPr>
        <w:ind w:left="1080"/>
        <w:spacing w:after="0" w:line="225" w:lineRule="auto"/>
        <w:rPr>
          <w:sz w:val="20"/>
          <w:szCs w:val="20"/>
          <w:color w:val="auto"/>
        </w:rPr>
      </w:pPr>
      <w:r>
        <w:rPr>
          <w:rFonts w:ascii="Arial" w:cs="Arial" w:eastAsia="Arial" w:hAnsi="Arial"/>
          <w:sz w:val="20"/>
          <w:szCs w:val="20"/>
          <w:color w:val="auto"/>
        </w:rPr>
        <w:t>without consideration; gifts; pledging of shares or options; and the granting of an option to</w:t>
      </w:r>
    </w:p>
    <w:p>
      <w:pPr>
        <w:spacing w:after="0"/>
        <w:rPr>
          <w:sz w:val="20"/>
          <w:szCs w:val="20"/>
          <w:color w:val="auto"/>
        </w:rPr>
      </w:pPr>
      <w:r>
        <w:rPr>
          <w:rFonts w:ascii="Times New Roman" w:cs="Times New Roman" w:eastAsia="Times New Roman" w:hAnsi="Times New Roman"/>
          <w:sz w:val="14"/>
          <w:szCs w:val="14"/>
          <w:color w:val="auto"/>
        </w:rPr>
        <w:t>DOCPROPERTY DOCXDOCID DMS=IManage Format=&lt;&lt;NUM&gt;&gt;.&lt;&lt;VER&gt;&gt; PRESERVELOCATION \* MERGEFORMAT 199204261.8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918210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981" w:right="339" w:bottom="1440" w:gutter="0" w:footer="0" w:header="0"/>
        </w:sectPr>
      </w:pPr>
    </w:p>
    <w:bookmarkStart w:id="176" w:name="page177"/>
    <w:bookmarkEnd w:id="176"/>
    <w:p>
      <w:pPr>
        <w:ind w:left="1080"/>
        <w:spacing w:after="0"/>
        <w:rPr>
          <w:sz w:val="20"/>
          <w:szCs w:val="20"/>
          <w:color w:val="auto"/>
        </w:rPr>
      </w:pPr>
      <w:r>
        <w:rPr>
          <w:rFonts w:ascii="Arial" w:cs="Arial" w:eastAsia="Arial" w:hAnsi="Arial"/>
          <w:sz w:val="20"/>
          <w:szCs w:val="20"/>
          <w:color w:val="auto"/>
        </w:rPr>
        <w:t>acquire an Insider’s interest in the Company’s or any other company’s securities.</w:t>
      </w:r>
    </w:p>
    <w:p>
      <w:pPr>
        <w:spacing w:after="0" w:line="270" w:lineRule="exact"/>
        <w:rPr>
          <w:sz w:val="20"/>
          <w:szCs w:val="20"/>
          <w:color w:val="auto"/>
        </w:rPr>
      </w:pPr>
    </w:p>
    <w:p>
      <w:pPr>
        <w:jc w:val="both"/>
        <w:ind w:left="1080" w:hanging="363"/>
        <w:spacing w:after="0" w:line="233" w:lineRule="auto"/>
        <w:tabs>
          <w:tab w:leader="none" w:pos="10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This Policy will be delivered to all directors, officers, employees, and designated outsiders upon its adoption by the Company and to all new directors, officers, employees, and designated outsiders at the start of their employment or relationship with the Company. Upon first receiving a copy of this Policy or any revised versions, each Insider must sign an acknowledgement that he or she has received a copy and agrees to comply with this Policy’s terms. Officers, employees, directors, and certain designated Insiders, and outsiders may be required to certify compliance with this Policy on an annual basis.</w:t>
      </w:r>
    </w:p>
    <w:p>
      <w:pPr>
        <w:spacing w:after="0" w:line="172" w:lineRule="exact"/>
        <w:rPr>
          <w:rFonts w:ascii="Arial" w:cs="Arial" w:eastAsia="Arial" w:hAnsi="Arial"/>
          <w:sz w:val="20"/>
          <w:szCs w:val="20"/>
          <w:color w:val="auto"/>
        </w:rPr>
      </w:pPr>
    </w:p>
    <w:p>
      <w:pPr>
        <w:jc w:val="both"/>
        <w:ind w:left="1080" w:hanging="363"/>
        <w:spacing w:after="0"/>
        <w:tabs>
          <w:tab w:leader="none" w:pos="10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This Policy continues to apply following termination of employment or other relationship with the Company until after the second trading day that any material nonpublic information in your possession has become public or is no longer material provided, however, for equity compensation plans requiring exercise within a specific period post-termination (e.g., 90 days), such persons may seek approval from the Compliance Officer (as defined below) to sell such equity upon exercise. The Compliance Officer, in consultation with the Committee (as defined below), may grant approval if it does not violate insider trading laws and regulations.</w:t>
      </w:r>
    </w:p>
    <w:p>
      <w:pPr>
        <w:spacing w:after="0" w:line="171" w:lineRule="exact"/>
        <w:rPr>
          <w:sz w:val="20"/>
          <w:szCs w:val="20"/>
          <w:color w:val="auto"/>
        </w:rPr>
      </w:pPr>
    </w:p>
    <w:p>
      <w:pPr>
        <w:ind w:left="720" w:hanging="632"/>
        <w:spacing w:after="0"/>
        <w:tabs>
          <w:tab w:leader="none" w:pos="72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INSIDER TRADING AND COMPLIANCE COMMITTEE</w:t>
      </w:r>
    </w:p>
    <w:p>
      <w:pPr>
        <w:spacing w:after="0" w:line="202" w:lineRule="exact"/>
        <w:rPr>
          <w:sz w:val="20"/>
          <w:szCs w:val="20"/>
          <w:color w:val="auto"/>
        </w:rPr>
      </w:pPr>
    </w:p>
    <w:p>
      <w:pPr>
        <w:jc w:val="both"/>
        <w:ind w:left="340"/>
        <w:spacing w:after="0" w:line="231" w:lineRule="auto"/>
        <w:rPr>
          <w:sz w:val="20"/>
          <w:szCs w:val="20"/>
          <w:color w:val="auto"/>
        </w:rPr>
      </w:pPr>
      <w:r>
        <w:rPr>
          <w:rFonts w:ascii="Arial" w:cs="Arial" w:eastAsia="Arial" w:hAnsi="Arial"/>
          <w:sz w:val="20"/>
          <w:szCs w:val="20"/>
          <w:color w:val="auto"/>
        </w:rPr>
        <w:t>The Insider Trading Compliance Committee (the “</w:t>
      </w:r>
      <w:r>
        <w:rPr>
          <w:rFonts w:ascii="Arial" w:cs="Arial" w:eastAsia="Arial" w:hAnsi="Arial"/>
          <w:sz w:val="20"/>
          <w:szCs w:val="20"/>
          <w:b w:val="1"/>
          <w:bCs w:val="1"/>
          <w:color w:val="auto"/>
        </w:rPr>
        <w:t>Committee</w:t>
      </w:r>
      <w:r>
        <w:rPr>
          <w:rFonts w:ascii="Arial" w:cs="Arial" w:eastAsia="Arial" w:hAnsi="Arial"/>
          <w:sz w:val="20"/>
          <w:szCs w:val="20"/>
          <w:color w:val="auto"/>
        </w:rPr>
        <w:t>”) will consist of the Company’s Chief Operating Officer, Chief Financial Officer, General Counsel, and the Company’s Insider Trading Compliance Officer (the “</w:t>
      </w:r>
      <w:r>
        <w:rPr>
          <w:rFonts w:ascii="Arial" w:cs="Arial" w:eastAsia="Arial" w:hAnsi="Arial"/>
          <w:sz w:val="20"/>
          <w:szCs w:val="20"/>
          <w:b w:val="1"/>
          <w:bCs w:val="1"/>
          <w:color w:val="auto"/>
        </w:rPr>
        <w:t>Compliance</w:t>
      </w:r>
      <w:r>
        <w:rPr>
          <w:rFonts w:ascii="Arial" w:cs="Arial" w:eastAsia="Arial" w:hAnsi="Arial"/>
          <w:sz w:val="20"/>
          <w:szCs w:val="20"/>
          <w:color w:val="auto"/>
        </w:rPr>
        <w:t xml:space="preserve"> </w:t>
      </w:r>
      <w:r>
        <w:rPr>
          <w:rFonts w:ascii="Arial" w:cs="Arial" w:eastAsia="Arial" w:hAnsi="Arial"/>
          <w:sz w:val="20"/>
          <w:szCs w:val="20"/>
          <w:b w:val="1"/>
          <w:bCs w:val="1"/>
          <w:color w:val="auto"/>
        </w:rPr>
        <w:t>Officer</w:t>
      </w:r>
      <w:r>
        <w:rPr>
          <w:rFonts w:ascii="Arial" w:cs="Arial" w:eastAsia="Arial" w:hAnsi="Arial"/>
          <w:sz w:val="20"/>
          <w:szCs w:val="20"/>
          <w:color w:val="auto"/>
        </w:rPr>
        <w:t>”). The Company’s Chief Financial Officer or the Company’s General Counsel shall act as the Compliance Officer;</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however, that if either the Chief Financial Officer or the General Counsel is a party to a proposed trade, transaction or inquiry relating to this Policy, the other shall act as the Compliance Officer with respect to such proposed trade, transaction or inquiry. The Committee will review and either approve or prohibit all proposed trades by Insiders and designated outsiders in accordance with the procedures set forth in Section V(d) below. In addition to the trading approval duties described in Section V(d) below, the duties of the Compliance Officer will include the following:</w:t>
      </w:r>
    </w:p>
    <w:p>
      <w:pPr>
        <w:spacing w:after="0" w:line="175" w:lineRule="exact"/>
        <w:rPr>
          <w:sz w:val="20"/>
          <w:szCs w:val="20"/>
          <w:color w:val="auto"/>
        </w:rPr>
      </w:pPr>
    </w:p>
    <w:p>
      <w:pPr>
        <w:ind w:left="1100" w:right="20" w:hanging="369"/>
        <w:spacing w:after="0" w:line="257" w:lineRule="auto"/>
        <w:tabs>
          <w:tab w:leader="none" w:pos="1100" w:val="left"/>
        </w:tabs>
        <w:numPr>
          <w:ilvl w:val="0"/>
          <w:numId w:val="61"/>
        </w:numPr>
        <w:rPr>
          <w:rFonts w:ascii="Arial" w:cs="Arial" w:eastAsia="Arial" w:hAnsi="Arial"/>
          <w:sz w:val="20"/>
          <w:szCs w:val="20"/>
          <w:color w:val="auto"/>
        </w:rPr>
      </w:pPr>
      <w:r>
        <w:rPr>
          <w:rFonts w:ascii="Arial" w:cs="Arial" w:eastAsia="Arial" w:hAnsi="Arial"/>
          <w:sz w:val="20"/>
          <w:szCs w:val="20"/>
          <w:color w:val="auto"/>
        </w:rPr>
        <w:t>Administering this Policy and monitoring and enforcing compliance with all provisions and procedures of this Policy;</w:t>
      </w:r>
    </w:p>
    <w:p>
      <w:pPr>
        <w:spacing w:after="0" w:line="141" w:lineRule="exact"/>
        <w:rPr>
          <w:rFonts w:ascii="Arial" w:cs="Arial" w:eastAsia="Arial" w:hAnsi="Arial"/>
          <w:sz w:val="20"/>
          <w:szCs w:val="20"/>
          <w:color w:val="auto"/>
        </w:rPr>
      </w:pPr>
    </w:p>
    <w:p>
      <w:pPr>
        <w:ind w:left="1100" w:hanging="369"/>
        <w:spacing w:after="0"/>
        <w:tabs>
          <w:tab w:leader="none" w:pos="1100" w:val="left"/>
        </w:tabs>
        <w:numPr>
          <w:ilvl w:val="0"/>
          <w:numId w:val="61"/>
        </w:numPr>
        <w:rPr>
          <w:rFonts w:ascii="Arial" w:cs="Arial" w:eastAsia="Arial" w:hAnsi="Arial"/>
          <w:sz w:val="20"/>
          <w:szCs w:val="20"/>
          <w:color w:val="auto"/>
        </w:rPr>
      </w:pPr>
      <w:r>
        <w:rPr>
          <w:rFonts w:ascii="Arial" w:cs="Arial" w:eastAsia="Arial" w:hAnsi="Arial"/>
          <w:sz w:val="20"/>
          <w:szCs w:val="20"/>
          <w:color w:val="auto"/>
        </w:rPr>
        <w:t>Responding to all inquiries relating to this Policy and its procedures;</w:t>
      </w:r>
    </w:p>
    <w:p>
      <w:pPr>
        <w:spacing w:after="0" w:line="269" w:lineRule="exact"/>
        <w:rPr>
          <w:rFonts w:ascii="Arial" w:cs="Arial" w:eastAsia="Arial" w:hAnsi="Arial"/>
          <w:sz w:val="20"/>
          <w:szCs w:val="20"/>
          <w:color w:val="auto"/>
        </w:rPr>
      </w:pPr>
    </w:p>
    <w:p>
      <w:pPr>
        <w:ind w:left="1100" w:hanging="369"/>
        <w:spacing w:after="0"/>
        <w:tabs>
          <w:tab w:leader="none" w:pos="1100" w:val="left"/>
        </w:tabs>
        <w:numPr>
          <w:ilvl w:val="0"/>
          <w:numId w:val="61"/>
        </w:numPr>
        <w:rPr>
          <w:rFonts w:ascii="Arial" w:cs="Arial" w:eastAsia="Arial" w:hAnsi="Arial"/>
          <w:sz w:val="20"/>
          <w:szCs w:val="20"/>
          <w:color w:val="auto"/>
        </w:rPr>
      </w:pPr>
      <w:r>
        <w:rPr>
          <w:rFonts w:ascii="Arial" w:cs="Arial" w:eastAsia="Arial" w:hAnsi="Arial"/>
          <w:sz w:val="20"/>
          <w:szCs w:val="20"/>
          <w:color w:val="auto"/>
        </w:rPr>
        <w:t>Designating and announcing Special Blackout Periods, (as defined below);</w:t>
      </w:r>
    </w:p>
    <w:p>
      <w:pPr>
        <w:spacing w:after="0" w:line="269" w:lineRule="exact"/>
        <w:rPr>
          <w:rFonts w:ascii="Arial" w:cs="Arial" w:eastAsia="Arial" w:hAnsi="Arial"/>
          <w:sz w:val="20"/>
          <w:szCs w:val="20"/>
          <w:color w:val="auto"/>
        </w:rPr>
      </w:pPr>
    </w:p>
    <w:p>
      <w:pPr>
        <w:jc w:val="both"/>
        <w:ind w:left="1100" w:hanging="369"/>
        <w:spacing w:after="0" w:line="241" w:lineRule="auto"/>
        <w:tabs>
          <w:tab w:leader="none" w:pos="1100" w:val="left"/>
        </w:tabs>
        <w:numPr>
          <w:ilvl w:val="0"/>
          <w:numId w:val="61"/>
        </w:numPr>
        <w:rPr>
          <w:rFonts w:ascii="Arial" w:cs="Arial" w:eastAsia="Arial" w:hAnsi="Arial"/>
          <w:sz w:val="20"/>
          <w:szCs w:val="20"/>
          <w:color w:val="auto"/>
        </w:rPr>
      </w:pPr>
      <w:r>
        <w:rPr>
          <w:rFonts w:ascii="Arial" w:cs="Arial" w:eastAsia="Arial" w:hAnsi="Arial"/>
          <w:sz w:val="20"/>
          <w:szCs w:val="20"/>
          <w:color w:val="auto"/>
        </w:rPr>
        <w:t>Providing copies of this Policy and other appropriate materials to all current and new directors, officers, and employees, and such outsiders who the Compliance Officer determines have or may gain access to material nonpublic information concerning the Company;</w:t>
      </w:r>
    </w:p>
    <w:p>
      <w:pPr>
        <w:spacing w:after="0" w:line="171" w:lineRule="exact"/>
        <w:rPr>
          <w:rFonts w:ascii="Arial" w:cs="Arial" w:eastAsia="Arial" w:hAnsi="Arial"/>
          <w:sz w:val="20"/>
          <w:szCs w:val="20"/>
          <w:color w:val="auto"/>
        </w:rPr>
      </w:pPr>
    </w:p>
    <w:p>
      <w:pPr>
        <w:jc w:val="both"/>
        <w:ind w:left="1100" w:hanging="369"/>
        <w:spacing w:after="0" w:line="237" w:lineRule="auto"/>
        <w:tabs>
          <w:tab w:leader="none" w:pos="1100" w:val="left"/>
        </w:tabs>
        <w:numPr>
          <w:ilvl w:val="0"/>
          <w:numId w:val="61"/>
        </w:numPr>
        <w:rPr>
          <w:rFonts w:ascii="Arial" w:cs="Arial" w:eastAsia="Arial" w:hAnsi="Arial"/>
          <w:sz w:val="20"/>
          <w:szCs w:val="20"/>
          <w:color w:val="auto"/>
        </w:rPr>
      </w:pPr>
      <w:r>
        <w:rPr>
          <w:rFonts w:ascii="Arial" w:cs="Arial" w:eastAsia="Arial" w:hAnsi="Arial"/>
          <w:sz w:val="20"/>
          <w:szCs w:val="20"/>
          <w:color w:val="auto"/>
        </w:rPr>
        <w:t>Administering, monitoring, and enforcing compliance with all federal and state insider trading laws and regulations, including without limitation Sections 10(b), 15, 20A, and 21A of the Securities Exchange Act of 1934, as amended (the “</w:t>
      </w:r>
      <w:r>
        <w:rPr>
          <w:rFonts w:ascii="Arial" w:cs="Arial" w:eastAsia="Arial" w:hAnsi="Arial"/>
          <w:sz w:val="20"/>
          <w:szCs w:val="20"/>
          <w:b w:val="1"/>
          <w:bCs w:val="1"/>
          <w:color w:val="auto"/>
        </w:rPr>
        <w:t>Exchange Act</w:t>
      </w:r>
      <w:r>
        <w:rPr>
          <w:rFonts w:ascii="Arial" w:cs="Arial" w:eastAsia="Arial" w:hAnsi="Arial"/>
          <w:sz w:val="20"/>
          <w:szCs w:val="20"/>
          <w:color w:val="auto"/>
        </w:rPr>
        <w:t>”), and the rules and regulations promulgated thereunder, and Rule 144 under the Securities</w:t>
      </w:r>
    </w:p>
    <w:p>
      <w:pPr>
        <w:spacing w:after="0" w:line="240" w:lineRule="exact"/>
        <w:rPr>
          <w:sz w:val="20"/>
          <w:szCs w:val="20"/>
          <w:color w:val="auto"/>
        </w:rPr>
      </w:pPr>
    </w:p>
    <w:p>
      <w:pPr>
        <w:spacing w:after="0"/>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659765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60" w:top="1333" w:right="459" w:bottom="1440" w:gutter="0" w:footer="0" w:header="0"/>
        </w:sectPr>
      </w:pPr>
    </w:p>
    <w:bookmarkStart w:id="177" w:name="page178"/>
    <w:bookmarkEnd w:id="177"/>
    <w:p>
      <w:pPr>
        <w:ind w:left="1100"/>
        <w:spacing w:after="0" w:line="270" w:lineRule="auto"/>
        <w:rPr>
          <w:sz w:val="20"/>
          <w:szCs w:val="20"/>
          <w:color w:val="auto"/>
        </w:rPr>
      </w:pPr>
      <w:r>
        <w:rPr>
          <w:rFonts w:ascii="Arial" w:cs="Arial" w:eastAsia="Arial" w:hAnsi="Arial"/>
          <w:sz w:val="20"/>
          <w:szCs w:val="20"/>
          <w:color w:val="auto"/>
        </w:rPr>
        <w:t>Act of 1933, as amended (the “</w:t>
      </w:r>
      <w:r>
        <w:rPr>
          <w:rFonts w:ascii="Arial" w:cs="Arial" w:eastAsia="Arial" w:hAnsi="Arial"/>
          <w:sz w:val="20"/>
          <w:szCs w:val="20"/>
          <w:b w:val="1"/>
          <w:bCs w:val="1"/>
          <w:color w:val="auto"/>
        </w:rPr>
        <w:t>Securities Act</w:t>
      </w:r>
      <w:r>
        <w:rPr>
          <w:rFonts w:ascii="Arial" w:cs="Arial" w:eastAsia="Arial" w:hAnsi="Arial"/>
          <w:sz w:val="20"/>
          <w:szCs w:val="20"/>
          <w:color w:val="auto"/>
        </w:rPr>
        <w:t>”), and related regulations of the Financial Industry Regulatory Authority, Inc. (“</w:t>
      </w:r>
      <w:r>
        <w:rPr>
          <w:rFonts w:ascii="Arial" w:cs="Arial" w:eastAsia="Arial" w:hAnsi="Arial"/>
          <w:sz w:val="20"/>
          <w:szCs w:val="20"/>
          <w:b w:val="1"/>
          <w:bCs w:val="1"/>
          <w:color w:val="auto"/>
        </w:rPr>
        <w:t>FINRA</w:t>
      </w:r>
      <w:r>
        <w:rPr>
          <w:rFonts w:ascii="Arial" w:cs="Arial" w:eastAsia="Arial" w:hAnsi="Arial"/>
          <w:sz w:val="20"/>
          <w:szCs w:val="20"/>
          <w:color w:val="auto"/>
        </w:rPr>
        <w:t>”) or The Nasdaq Stock Market LLC (“</w:t>
      </w:r>
      <w:r>
        <w:rPr>
          <w:rFonts w:ascii="Arial" w:cs="Arial" w:eastAsia="Arial" w:hAnsi="Arial"/>
          <w:sz w:val="20"/>
          <w:szCs w:val="20"/>
          <w:b w:val="1"/>
          <w:bCs w:val="1"/>
          <w:color w:val="auto"/>
        </w:rPr>
        <w:t>Nasdaq</w:t>
      </w:r>
      <w:r>
        <w:rPr>
          <w:rFonts w:ascii="Arial" w:cs="Arial" w:eastAsia="Arial" w:hAnsi="Arial"/>
          <w:sz w:val="20"/>
          <w:szCs w:val="20"/>
          <w:color w:val="auto"/>
        </w:rPr>
        <w:t>”);</w:t>
      </w:r>
    </w:p>
    <w:p>
      <w:pPr>
        <w:spacing w:after="0" w:line="160" w:lineRule="exact"/>
        <w:rPr>
          <w:sz w:val="20"/>
          <w:szCs w:val="20"/>
          <w:color w:val="auto"/>
        </w:rPr>
      </w:pPr>
    </w:p>
    <w:p>
      <w:pPr>
        <w:jc w:val="both"/>
        <w:ind w:left="1100" w:hanging="369"/>
        <w:spacing w:after="0" w:line="246" w:lineRule="auto"/>
        <w:tabs>
          <w:tab w:leader="none" w:pos="1100" w:val="left"/>
        </w:tabs>
        <w:numPr>
          <w:ilvl w:val="0"/>
          <w:numId w:val="62"/>
        </w:numPr>
        <w:rPr>
          <w:rFonts w:ascii="Arial" w:cs="Arial" w:eastAsia="Arial" w:hAnsi="Arial"/>
          <w:sz w:val="20"/>
          <w:szCs w:val="20"/>
          <w:color w:val="auto"/>
        </w:rPr>
      </w:pPr>
      <w:r>
        <w:rPr>
          <w:rFonts w:ascii="Arial" w:cs="Arial" w:eastAsia="Arial" w:hAnsi="Arial"/>
          <w:sz w:val="20"/>
          <w:szCs w:val="20"/>
          <w:color w:val="auto"/>
        </w:rPr>
        <w:t>Assisting in the preparation and filing of all reports required to be filed by the Company under the Exchange Act relating to insider trading in the Company’s securities, including without limitation Forms 3, 4, 5, and 144 and Schedules 13D and 13G (“</w:t>
      </w:r>
      <w:r>
        <w:rPr>
          <w:rFonts w:ascii="Arial" w:cs="Arial" w:eastAsia="Arial" w:hAnsi="Arial"/>
          <w:sz w:val="20"/>
          <w:szCs w:val="20"/>
          <w:b w:val="1"/>
          <w:bCs w:val="1"/>
          <w:color w:val="auto"/>
        </w:rPr>
        <w:t>SEC Reports</w:t>
      </w:r>
      <w:r>
        <w:rPr>
          <w:rFonts w:ascii="Arial" w:cs="Arial" w:eastAsia="Arial" w:hAnsi="Arial"/>
          <w:sz w:val="20"/>
          <w:szCs w:val="20"/>
          <w:color w:val="auto"/>
        </w:rPr>
        <w:t>”);</w:t>
      </w:r>
    </w:p>
    <w:p>
      <w:pPr>
        <w:spacing w:after="0" w:line="224" w:lineRule="exact"/>
        <w:rPr>
          <w:rFonts w:ascii="Arial" w:cs="Arial" w:eastAsia="Arial" w:hAnsi="Arial"/>
          <w:sz w:val="20"/>
          <w:szCs w:val="20"/>
          <w:color w:val="auto"/>
        </w:rPr>
      </w:pPr>
    </w:p>
    <w:p>
      <w:pPr>
        <w:ind w:left="1100" w:hanging="369"/>
        <w:spacing w:after="0" w:line="257" w:lineRule="auto"/>
        <w:tabs>
          <w:tab w:leader="none" w:pos="1100" w:val="left"/>
        </w:tabs>
        <w:numPr>
          <w:ilvl w:val="0"/>
          <w:numId w:val="62"/>
        </w:numPr>
        <w:rPr>
          <w:rFonts w:ascii="Arial" w:cs="Arial" w:eastAsia="Arial" w:hAnsi="Arial"/>
          <w:sz w:val="20"/>
          <w:szCs w:val="20"/>
          <w:color w:val="auto"/>
        </w:rPr>
      </w:pPr>
      <w:r>
        <w:rPr>
          <w:rFonts w:ascii="Arial" w:cs="Arial" w:eastAsia="Arial" w:hAnsi="Arial"/>
          <w:sz w:val="20"/>
          <w:szCs w:val="20"/>
          <w:color w:val="auto"/>
        </w:rPr>
        <w:t>Revising this Policy as necessary to reflect changes in federal or state insider trading laws and regulations or the regulations of FINRA or Nasdaq;</w:t>
      </w:r>
    </w:p>
    <w:p>
      <w:pPr>
        <w:spacing w:after="0" w:line="222" w:lineRule="exact"/>
        <w:rPr>
          <w:rFonts w:ascii="Arial" w:cs="Arial" w:eastAsia="Arial" w:hAnsi="Arial"/>
          <w:sz w:val="20"/>
          <w:szCs w:val="20"/>
          <w:color w:val="auto"/>
        </w:rPr>
      </w:pPr>
    </w:p>
    <w:p>
      <w:pPr>
        <w:ind w:left="1100" w:hanging="369"/>
        <w:spacing w:after="0" w:line="257" w:lineRule="auto"/>
        <w:tabs>
          <w:tab w:leader="none" w:pos="1100" w:val="left"/>
        </w:tabs>
        <w:numPr>
          <w:ilvl w:val="0"/>
          <w:numId w:val="62"/>
        </w:numPr>
        <w:rPr>
          <w:rFonts w:ascii="Arial" w:cs="Arial" w:eastAsia="Arial" w:hAnsi="Arial"/>
          <w:sz w:val="20"/>
          <w:szCs w:val="20"/>
          <w:color w:val="auto"/>
        </w:rPr>
      </w:pPr>
      <w:r>
        <w:rPr>
          <w:rFonts w:ascii="Arial" w:cs="Arial" w:eastAsia="Arial" w:hAnsi="Arial"/>
          <w:sz w:val="20"/>
          <w:szCs w:val="20"/>
          <w:color w:val="auto"/>
        </w:rPr>
        <w:t>Maintaining as Company records, originals or copies of all documents required by the provisions of this Policy or the procedures set forth herein, as well as copies of all SEC Reports; and</w:t>
      </w:r>
    </w:p>
    <w:p>
      <w:pPr>
        <w:spacing w:after="0" w:line="182" w:lineRule="exact"/>
        <w:rPr>
          <w:rFonts w:ascii="Arial" w:cs="Arial" w:eastAsia="Arial" w:hAnsi="Arial"/>
          <w:sz w:val="20"/>
          <w:szCs w:val="20"/>
          <w:color w:val="auto"/>
        </w:rPr>
      </w:pPr>
    </w:p>
    <w:p>
      <w:pPr>
        <w:ind w:left="1100" w:hanging="369"/>
        <w:spacing w:after="0" w:line="257" w:lineRule="auto"/>
        <w:tabs>
          <w:tab w:leader="none" w:pos="1100" w:val="left"/>
        </w:tabs>
        <w:numPr>
          <w:ilvl w:val="0"/>
          <w:numId w:val="62"/>
        </w:numPr>
        <w:rPr>
          <w:rFonts w:ascii="Arial" w:cs="Arial" w:eastAsia="Arial" w:hAnsi="Arial"/>
          <w:sz w:val="20"/>
          <w:szCs w:val="20"/>
          <w:color w:val="auto"/>
        </w:rPr>
      </w:pPr>
      <w:r>
        <w:rPr>
          <w:rFonts w:ascii="Arial" w:cs="Arial" w:eastAsia="Arial" w:hAnsi="Arial"/>
          <w:sz w:val="20"/>
          <w:szCs w:val="20"/>
          <w:color w:val="auto"/>
        </w:rPr>
        <w:t>Designing and requiring training about the obligations of this Policy as the Compliance Officer considers appropriate.</w:t>
      </w:r>
    </w:p>
    <w:p>
      <w:pPr>
        <w:spacing w:after="0" w:line="223" w:lineRule="exact"/>
        <w:rPr>
          <w:sz w:val="20"/>
          <w:szCs w:val="20"/>
          <w:color w:val="auto"/>
        </w:rPr>
      </w:pPr>
    </w:p>
    <w:p>
      <w:pPr>
        <w:jc w:val="both"/>
        <w:ind w:left="360"/>
        <w:spacing w:after="0" w:line="241" w:lineRule="auto"/>
        <w:rPr>
          <w:sz w:val="20"/>
          <w:szCs w:val="20"/>
          <w:color w:val="auto"/>
        </w:rPr>
      </w:pPr>
      <w:r>
        <w:rPr>
          <w:rFonts w:ascii="Arial" w:cs="Arial" w:eastAsia="Arial" w:hAnsi="Arial"/>
          <w:sz w:val="20"/>
          <w:szCs w:val="20"/>
          <w:color w:val="auto"/>
        </w:rPr>
        <w:t>The Compliance Officer may designate one or more individuals who may perform their duties or the duties of the other member of the Committee in the event that they or the other Committee member is unable to or unavailable to perform such duties.</w:t>
      </w:r>
    </w:p>
    <w:p>
      <w:pPr>
        <w:spacing w:after="0" w:line="223" w:lineRule="exact"/>
        <w:rPr>
          <w:sz w:val="20"/>
          <w:szCs w:val="20"/>
          <w:color w:val="auto"/>
        </w:rPr>
      </w:pPr>
    </w:p>
    <w:p>
      <w:pPr>
        <w:ind w:left="80"/>
        <w:spacing w:after="0"/>
        <w:tabs>
          <w:tab w:leader="none" w:pos="720" w:val="left"/>
        </w:tabs>
        <w:rPr>
          <w:sz w:val="20"/>
          <w:szCs w:val="20"/>
          <w:color w:val="auto"/>
        </w:rPr>
      </w:pPr>
      <w:r>
        <w:rPr>
          <w:rFonts w:ascii="Arial" w:cs="Arial" w:eastAsia="Arial" w:hAnsi="Arial"/>
          <w:sz w:val="20"/>
          <w:szCs w:val="20"/>
          <w:b w:val="1"/>
          <w:bCs w:val="1"/>
          <w:color w:val="auto"/>
        </w:rPr>
        <w:t>IV.</w:t>
      </w:r>
      <w:r>
        <w:rPr>
          <w:sz w:val="20"/>
          <w:szCs w:val="20"/>
          <w:color w:val="auto"/>
        </w:rPr>
        <w:tab/>
      </w:r>
      <w:r>
        <w:rPr>
          <w:rFonts w:ascii="Arial" w:cs="Arial" w:eastAsia="Arial" w:hAnsi="Arial"/>
          <w:sz w:val="20"/>
          <w:szCs w:val="20"/>
          <w:b w:val="1"/>
          <w:bCs w:val="1"/>
          <w:color w:val="auto"/>
        </w:rPr>
        <w:t>DEFINITION OF “MATERIAL NONPUBLIC INFORMATION”</w:t>
      </w:r>
    </w:p>
    <w:p>
      <w:pPr>
        <w:spacing w:after="0" w:line="272" w:lineRule="exact"/>
        <w:rPr>
          <w:sz w:val="20"/>
          <w:szCs w:val="20"/>
          <w:color w:val="auto"/>
        </w:rPr>
      </w:pPr>
    </w:p>
    <w:p>
      <w:pPr>
        <w:ind w:left="1100" w:hanging="369"/>
        <w:spacing w:after="0"/>
        <w:tabs>
          <w:tab w:leader="none" w:pos="1100" w:val="left"/>
        </w:tabs>
        <w:numPr>
          <w:ilvl w:val="0"/>
          <w:numId w:val="63"/>
        </w:numPr>
        <w:rPr>
          <w:rFonts w:ascii="Arial" w:cs="Arial" w:eastAsia="Arial" w:hAnsi="Arial"/>
          <w:sz w:val="20"/>
          <w:szCs w:val="20"/>
          <w:color w:val="auto"/>
        </w:rPr>
      </w:pPr>
      <w:r>
        <w:rPr>
          <w:rFonts w:ascii="Arial" w:cs="Arial" w:eastAsia="Arial" w:hAnsi="Arial"/>
          <w:sz w:val="20"/>
          <w:szCs w:val="20"/>
          <w:color w:val="auto"/>
        </w:rPr>
        <w:t>“Material” Information.</w:t>
      </w:r>
    </w:p>
    <w:p>
      <w:pPr>
        <w:spacing w:after="0" w:line="269" w:lineRule="exact"/>
        <w:rPr>
          <w:rFonts w:ascii="Arial" w:cs="Arial" w:eastAsia="Arial" w:hAnsi="Arial"/>
          <w:sz w:val="20"/>
          <w:szCs w:val="20"/>
          <w:color w:val="auto"/>
        </w:rPr>
      </w:pPr>
    </w:p>
    <w:p>
      <w:pPr>
        <w:jc w:val="both"/>
        <w:ind w:left="1120"/>
        <w:spacing w:after="0" w:line="231" w:lineRule="auto"/>
        <w:rPr>
          <w:rFonts w:ascii="Arial" w:cs="Arial" w:eastAsia="Arial" w:hAnsi="Arial"/>
          <w:sz w:val="20"/>
          <w:szCs w:val="20"/>
          <w:color w:val="auto"/>
        </w:rPr>
      </w:pPr>
      <w:r>
        <w:rPr>
          <w:rFonts w:ascii="Arial" w:cs="Arial" w:eastAsia="Arial" w:hAnsi="Arial"/>
          <w:sz w:val="20"/>
          <w:szCs w:val="20"/>
          <w:color w:val="auto"/>
        </w:rPr>
        <w:t>There is no bright-line rule as to what constitutes “material” information. Generally speaking, information about a company is “material” if there is a substantial likelihood that a reasonable stockholder would consider the information important in making a decision to buy or sell such company’s securities or, stated another way, if the disclosure of the information would be expected to significantly alter the total mix of the information in the marketplace about such company. In simple terms, material information is any type of information that could reasonably be expected to affect the price of such company’s securities beyond normal daily fluctuations. While it is not possible to identify all information that would be deemed “material,” with respect to the Company, the following types of information ordinarily would be considered material:</w:t>
      </w:r>
    </w:p>
    <w:p>
      <w:pPr>
        <w:spacing w:after="0" w:line="173" w:lineRule="exact"/>
        <w:rPr>
          <w:rFonts w:ascii="Arial" w:cs="Arial" w:eastAsia="Arial" w:hAnsi="Arial"/>
          <w:sz w:val="20"/>
          <w:szCs w:val="20"/>
          <w:color w:val="auto"/>
        </w:rPr>
      </w:pPr>
    </w:p>
    <w:p>
      <w:pPr>
        <w:ind w:left="2580" w:hanging="366"/>
        <w:spacing w:after="0" w:line="257" w:lineRule="auto"/>
        <w:tabs>
          <w:tab w:leader="none" w:pos="2580" w:val="left"/>
        </w:tabs>
        <w:numPr>
          <w:ilvl w:val="1"/>
          <w:numId w:val="63"/>
        </w:numPr>
        <w:rPr>
          <w:rFonts w:ascii="Arial" w:cs="Arial" w:eastAsia="Arial" w:hAnsi="Arial"/>
          <w:sz w:val="20"/>
          <w:szCs w:val="20"/>
          <w:color w:val="auto"/>
        </w:rPr>
      </w:pPr>
      <w:r>
        <w:rPr>
          <w:rFonts w:ascii="Arial" w:cs="Arial" w:eastAsia="Arial" w:hAnsi="Arial"/>
          <w:sz w:val="20"/>
          <w:szCs w:val="20"/>
          <w:color w:val="auto"/>
        </w:rPr>
        <w:t>Financial performance, especially quarterly and year-end earnings, and significant changes in financial performance or liquidity;</w:t>
      </w:r>
    </w:p>
    <w:p>
      <w:pPr>
        <w:spacing w:after="0" w:line="155" w:lineRule="exact"/>
        <w:rPr>
          <w:rFonts w:ascii="Arial" w:cs="Arial" w:eastAsia="Arial" w:hAnsi="Arial"/>
          <w:sz w:val="20"/>
          <w:szCs w:val="20"/>
          <w:color w:val="auto"/>
        </w:rPr>
      </w:pPr>
    </w:p>
    <w:p>
      <w:pPr>
        <w:ind w:left="2580" w:hanging="366"/>
        <w:spacing w:after="0"/>
        <w:tabs>
          <w:tab w:leader="none" w:pos="2580" w:val="left"/>
        </w:tabs>
        <w:numPr>
          <w:ilvl w:val="1"/>
          <w:numId w:val="63"/>
        </w:numPr>
        <w:rPr>
          <w:rFonts w:ascii="Arial" w:cs="Arial" w:eastAsia="Arial" w:hAnsi="Arial"/>
          <w:sz w:val="20"/>
          <w:szCs w:val="20"/>
          <w:color w:val="auto"/>
        </w:rPr>
      </w:pPr>
      <w:r>
        <w:rPr>
          <w:rFonts w:ascii="Arial" w:cs="Arial" w:eastAsia="Arial" w:hAnsi="Arial"/>
          <w:sz w:val="20"/>
          <w:szCs w:val="20"/>
          <w:color w:val="auto"/>
        </w:rPr>
        <w:t>Company projections and strategic plans;</w:t>
      </w:r>
    </w:p>
    <w:p>
      <w:pPr>
        <w:spacing w:after="0" w:line="202" w:lineRule="exact"/>
        <w:rPr>
          <w:rFonts w:ascii="Arial" w:cs="Arial" w:eastAsia="Arial" w:hAnsi="Arial"/>
          <w:sz w:val="20"/>
          <w:szCs w:val="20"/>
          <w:color w:val="auto"/>
        </w:rPr>
      </w:pPr>
    </w:p>
    <w:p>
      <w:pPr>
        <w:ind w:left="2580" w:hanging="366"/>
        <w:spacing w:after="0"/>
        <w:tabs>
          <w:tab w:leader="none" w:pos="2580" w:val="left"/>
        </w:tabs>
        <w:numPr>
          <w:ilvl w:val="1"/>
          <w:numId w:val="63"/>
        </w:numPr>
        <w:rPr>
          <w:rFonts w:ascii="Arial" w:cs="Arial" w:eastAsia="Arial" w:hAnsi="Arial"/>
          <w:sz w:val="20"/>
          <w:szCs w:val="20"/>
          <w:color w:val="auto"/>
        </w:rPr>
      </w:pPr>
      <w:r>
        <w:rPr>
          <w:rFonts w:ascii="Arial" w:cs="Arial" w:eastAsia="Arial" w:hAnsi="Arial"/>
          <w:sz w:val="20"/>
          <w:szCs w:val="20"/>
          <w:color w:val="auto"/>
        </w:rPr>
        <w:t>Clinical results of the Company’s product candidates;</w:t>
      </w:r>
    </w:p>
    <w:p>
      <w:pPr>
        <w:spacing w:after="0" w:line="202" w:lineRule="exact"/>
        <w:rPr>
          <w:rFonts w:ascii="Arial" w:cs="Arial" w:eastAsia="Arial" w:hAnsi="Arial"/>
          <w:sz w:val="20"/>
          <w:szCs w:val="20"/>
          <w:color w:val="auto"/>
        </w:rPr>
      </w:pPr>
    </w:p>
    <w:p>
      <w:pPr>
        <w:ind w:left="2580" w:hanging="366"/>
        <w:spacing w:after="0"/>
        <w:tabs>
          <w:tab w:leader="none" w:pos="2580" w:val="left"/>
        </w:tabs>
        <w:numPr>
          <w:ilvl w:val="1"/>
          <w:numId w:val="63"/>
        </w:numPr>
        <w:rPr>
          <w:rFonts w:ascii="Arial" w:cs="Arial" w:eastAsia="Arial" w:hAnsi="Arial"/>
          <w:sz w:val="20"/>
          <w:szCs w:val="20"/>
          <w:color w:val="auto"/>
        </w:rPr>
      </w:pPr>
      <w:r>
        <w:rPr>
          <w:rFonts w:ascii="Arial" w:cs="Arial" w:eastAsia="Arial" w:hAnsi="Arial"/>
          <w:sz w:val="20"/>
          <w:szCs w:val="20"/>
          <w:color w:val="auto"/>
        </w:rPr>
        <w:t>Potential mergers and acquisitions or the sale of Company assets or subsidiaries;</w:t>
      </w:r>
    </w:p>
    <w:p>
      <w:pPr>
        <w:spacing w:after="0" w:line="202" w:lineRule="exact"/>
        <w:rPr>
          <w:rFonts w:ascii="Arial" w:cs="Arial" w:eastAsia="Arial" w:hAnsi="Arial"/>
          <w:sz w:val="20"/>
          <w:szCs w:val="20"/>
          <w:color w:val="auto"/>
        </w:rPr>
      </w:pPr>
    </w:p>
    <w:p>
      <w:pPr>
        <w:ind w:left="2580" w:hanging="366"/>
        <w:spacing w:after="0"/>
        <w:tabs>
          <w:tab w:leader="none" w:pos="2580" w:val="left"/>
        </w:tabs>
        <w:numPr>
          <w:ilvl w:val="1"/>
          <w:numId w:val="63"/>
        </w:numPr>
        <w:rPr>
          <w:rFonts w:ascii="Arial" w:cs="Arial" w:eastAsia="Arial" w:hAnsi="Arial"/>
          <w:sz w:val="20"/>
          <w:szCs w:val="20"/>
          <w:color w:val="auto"/>
        </w:rPr>
      </w:pPr>
      <w:r>
        <w:rPr>
          <w:rFonts w:ascii="Arial" w:cs="Arial" w:eastAsia="Arial" w:hAnsi="Arial"/>
          <w:sz w:val="20"/>
          <w:szCs w:val="20"/>
          <w:color w:val="auto"/>
        </w:rPr>
        <w:t>Partnership agreements for the Company’s product candidates;</w:t>
      </w:r>
    </w:p>
    <w:p>
      <w:pPr>
        <w:spacing w:after="0" w:line="202" w:lineRule="exact"/>
        <w:rPr>
          <w:rFonts w:ascii="Arial" w:cs="Arial" w:eastAsia="Arial" w:hAnsi="Arial"/>
          <w:sz w:val="20"/>
          <w:szCs w:val="20"/>
          <w:color w:val="auto"/>
        </w:rPr>
      </w:pPr>
    </w:p>
    <w:p>
      <w:pPr>
        <w:ind w:left="2580" w:hanging="366"/>
        <w:spacing w:after="0"/>
        <w:tabs>
          <w:tab w:leader="none" w:pos="2580" w:val="left"/>
        </w:tabs>
        <w:numPr>
          <w:ilvl w:val="1"/>
          <w:numId w:val="63"/>
        </w:numPr>
        <w:rPr>
          <w:rFonts w:ascii="Arial" w:cs="Arial" w:eastAsia="Arial" w:hAnsi="Arial"/>
          <w:sz w:val="20"/>
          <w:szCs w:val="20"/>
          <w:color w:val="auto"/>
        </w:rPr>
      </w:pPr>
      <w:r>
        <w:rPr>
          <w:rFonts w:ascii="Arial" w:cs="Arial" w:eastAsia="Arial" w:hAnsi="Arial"/>
          <w:sz w:val="20"/>
          <w:szCs w:val="20"/>
          <w:color w:val="auto"/>
        </w:rPr>
        <w:t>New major contracts, orders, suppliers, customers, or finance sources,</w:t>
      </w:r>
    </w:p>
    <w:p>
      <w:pPr>
        <w:spacing w:after="0" w:line="270" w:lineRule="exact"/>
        <w:rPr>
          <w:sz w:val="20"/>
          <w:szCs w:val="20"/>
          <w:color w:val="auto"/>
        </w:rPr>
      </w:pPr>
    </w:p>
    <w:p>
      <w:pPr>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659765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60" w:top="1331" w:right="459" w:bottom="1440" w:gutter="0" w:footer="0" w:header="0"/>
        </w:sectPr>
      </w:pPr>
    </w:p>
    <w:bookmarkStart w:id="178" w:name="page179"/>
    <w:bookmarkEnd w:id="178"/>
    <w:p>
      <w:pPr>
        <w:ind w:left="2580"/>
        <w:spacing w:after="0"/>
        <w:rPr>
          <w:sz w:val="20"/>
          <w:szCs w:val="20"/>
          <w:color w:val="auto"/>
        </w:rPr>
      </w:pPr>
      <w:r>
        <w:rPr>
          <w:rFonts w:ascii="Arial" w:cs="Arial" w:eastAsia="Arial" w:hAnsi="Arial"/>
          <w:sz w:val="20"/>
          <w:szCs w:val="20"/>
          <w:color w:val="auto"/>
        </w:rPr>
        <w:t>or the loss thereof;</w:t>
      </w:r>
    </w:p>
    <w:p>
      <w:pPr>
        <w:spacing w:after="0" w:line="202" w:lineRule="exact"/>
        <w:rPr>
          <w:sz w:val="20"/>
          <w:szCs w:val="20"/>
          <w:color w:val="auto"/>
        </w:rPr>
      </w:pPr>
    </w:p>
    <w:p>
      <w:pPr>
        <w:ind w:left="2580" w:hanging="366"/>
        <w:spacing w:after="0" w:line="257" w:lineRule="auto"/>
        <w:tabs>
          <w:tab w:leader="none" w:pos="25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Major discoveries or significant changes or developments in product candidates or product lines, clinical trial results, research or technologies;</w:t>
      </w:r>
    </w:p>
    <w:p>
      <w:pPr>
        <w:spacing w:after="0" w:line="155" w:lineRule="exact"/>
        <w:rPr>
          <w:rFonts w:ascii="Arial" w:cs="Arial" w:eastAsia="Arial" w:hAnsi="Arial"/>
          <w:sz w:val="20"/>
          <w:szCs w:val="20"/>
          <w:color w:val="auto"/>
        </w:rPr>
      </w:pPr>
    </w:p>
    <w:p>
      <w:pPr>
        <w:ind w:left="2580" w:hanging="366"/>
        <w:spacing w:after="0" w:line="257" w:lineRule="auto"/>
        <w:tabs>
          <w:tab w:leader="none" w:pos="25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Stock splits, public or private securities/debt offerings, or changes in Company dividend policies or amounts;</w:t>
      </w:r>
    </w:p>
    <w:p>
      <w:pPr>
        <w:spacing w:after="0" w:line="153" w:lineRule="exact"/>
        <w:rPr>
          <w:rFonts w:ascii="Arial" w:cs="Arial" w:eastAsia="Arial" w:hAnsi="Arial"/>
          <w:sz w:val="20"/>
          <w:szCs w:val="20"/>
          <w:color w:val="auto"/>
        </w:rPr>
      </w:pPr>
    </w:p>
    <w:p>
      <w:pPr>
        <w:jc w:val="both"/>
        <w:ind w:left="2580" w:hanging="366"/>
        <w:spacing w:after="0" w:line="237" w:lineRule="auto"/>
        <w:tabs>
          <w:tab w:leader="none" w:pos="25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Sales of the Company’s securities by the executive officers of the Company (the “</w:t>
      </w:r>
      <w:r>
        <w:rPr>
          <w:rFonts w:ascii="Arial" w:cs="Arial" w:eastAsia="Arial" w:hAnsi="Arial"/>
          <w:sz w:val="20"/>
          <w:szCs w:val="20"/>
          <w:b w:val="1"/>
          <w:bCs w:val="1"/>
          <w:color w:val="auto"/>
        </w:rPr>
        <w:t>Executive</w:t>
      </w:r>
      <w:r>
        <w:rPr>
          <w:rFonts w:ascii="Arial" w:cs="Arial" w:eastAsia="Arial" w:hAnsi="Arial"/>
          <w:sz w:val="20"/>
          <w:szCs w:val="20"/>
          <w:color w:val="auto"/>
        </w:rPr>
        <w:t xml:space="preserve"> </w:t>
      </w:r>
      <w:r>
        <w:rPr>
          <w:rFonts w:ascii="Arial" w:cs="Arial" w:eastAsia="Arial" w:hAnsi="Arial"/>
          <w:sz w:val="20"/>
          <w:szCs w:val="20"/>
          <w:b w:val="1"/>
          <w:bCs w:val="1"/>
          <w:color w:val="auto"/>
        </w:rPr>
        <w:t>Officers</w:t>
      </w:r>
      <w:r>
        <w:rPr>
          <w:rFonts w:ascii="Arial" w:cs="Arial" w:eastAsia="Arial" w:hAnsi="Arial"/>
          <w:sz w:val="20"/>
          <w:szCs w:val="20"/>
          <w:color w:val="auto"/>
        </w:rPr>
        <w:t>”) (i.e., each officer of the Company who has been designated by the Company’s Board</w:t>
      </w:r>
      <w:r>
        <w:rPr>
          <w:rFonts w:ascii="Arial" w:cs="Arial" w:eastAsia="Arial" w:hAnsi="Arial"/>
          <w:sz w:val="20"/>
          <w:szCs w:val="20"/>
          <w:b w:val="1"/>
          <w:bCs w:val="1"/>
          <w:color w:val="auto"/>
        </w:rPr>
        <w:t xml:space="preserve"> </w:t>
      </w:r>
      <w:r>
        <w:rPr>
          <w:rFonts w:ascii="Arial" w:cs="Arial" w:eastAsia="Arial" w:hAnsi="Arial"/>
          <w:sz w:val="20"/>
          <w:szCs w:val="20"/>
          <w:color w:val="auto"/>
        </w:rPr>
        <w:t>of Directors (the “</w:t>
      </w:r>
      <w:r>
        <w:rPr>
          <w:rFonts w:ascii="Arial" w:cs="Arial" w:eastAsia="Arial" w:hAnsi="Arial"/>
          <w:sz w:val="20"/>
          <w:szCs w:val="20"/>
          <w:b w:val="1"/>
          <w:bCs w:val="1"/>
          <w:color w:val="auto"/>
        </w:rPr>
        <w:t>Board</w:t>
      </w:r>
      <w:r>
        <w:rPr>
          <w:rFonts w:ascii="Arial" w:cs="Arial" w:eastAsia="Arial" w:hAnsi="Arial"/>
          <w:sz w:val="20"/>
          <w:szCs w:val="20"/>
          <w:color w:val="auto"/>
        </w:rPr>
        <w:t>”) as an Executive Officer for purposes of the reporting requirements and trading restrictions of Section 16 of the Exchange Act);</w:t>
      </w:r>
    </w:p>
    <w:p>
      <w:pPr>
        <w:spacing w:after="0" w:line="173" w:lineRule="exact"/>
        <w:rPr>
          <w:rFonts w:ascii="Arial" w:cs="Arial" w:eastAsia="Arial" w:hAnsi="Arial"/>
          <w:sz w:val="20"/>
          <w:szCs w:val="20"/>
          <w:color w:val="auto"/>
        </w:rPr>
      </w:pPr>
    </w:p>
    <w:p>
      <w:pPr>
        <w:ind w:left="2580" w:hanging="366"/>
        <w:spacing w:after="0"/>
        <w:tabs>
          <w:tab w:leader="none" w:pos="25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Significant changes in senior management;</w:t>
      </w:r>
    </w:p>
    <w:p>
      <w:pPr>
        <w:spacing w:after="0" w:line="202" w:lineRule="exact"/>
        <w:rPr>
          <w:rFonts w:ascii="Arial" w:cs="Arial" w:eastAsia="Arial" w:hAnsi="Arial"/>
          <w:sz w:val="20"/>
          <w:szCs w:val="20"/>
          <w:color w:val="auto"/>
        </w:rPr>
      </w:pPr>
    </w:p>
    <w:p>
      <w:pPr>
        <w:ind w:left="2580" w:hanging="366"/>
        <w:spacing w:after="0"/>
        <w:tabs>
          <w:tab w:leader="none" w:pos="25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Significant labor disputes or negotiations;</w:t>
      </w:r>
    </w:p>
    <w:p>
      <w:pPr>
        <w:spacing w:after="0" w:line="202" w:lineRule="exact"/>
        <w:rPr>
          <w:rFonts w:ascii="Arial" w:cs="Arial" w:eastAsia="Arial" w:hAnsi="Arial"/>
          <w:sz w:val="20"/>
          <w:szCs w:val="20"/>
          <w:color w:val="auto"/>
        </w:rPr>
      </w:pPr>
    </w:p>
    <w:p>
      <w:pPr>
        <w:ind w:left="2580" w:hanging="366"/>
        <w:spacing w:after="0"/>
        <w:tabs>
          <w:tab w:leader="none" w:pos="25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Actual or threatened major litigation or the resolution thereof;</w:t>
      </w:r>
    </w:p>
    <w:p>
      <w:pPr>
        <w:spacing w:after="0" w:line="202" w:lineRule="exact"/>
        <w:rPr>
          <w:rFonts w:ascii="Arial" w:cs="Arial" w:eastAsia="Arial" w:hAnsi="Arial"/>
          <w:sz w:val="20"/>
          <w:szCs w:val="20"/>
          <w:color w:val="auto"/>
        </w:rPr>
      </w:pPr>
    </w:p>
    <w:p>
      <w:pPr>
        <w:ind w:left="2580" w:hanging="366"/>
        <w:spacing w:after="0"/>
        <w:tabs>
          <w:tab w:leader="none" w:pos="25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Content of material formal regulatory responses to the Company; or</w:t>
      </w:r>
    </w:p>
    <w:p>
      <w:pPr>
        <w:spacing w:after="0" w:line="202" w:lineRule="exact"/>
        <w:rPr>
          <w:rFonts w:ascii="Arial" w:cs="Arial" w:eastAsia="Arial" w:hAnsi="Arial"/>
          <w:sz w:val="20"/>
          <w:szCs w:val="20"/>
          <w:color w:val="auto"/>
        </w:rPr>
      </w:pPr>
    </w:p>
    <w:p>
      <w:pPr>
        <w:ind w:left="2580" w:hanging="366"/>
        <w:spacing w:after="0"/>
        <w:tabs>
          <w:tab w:leader="none" w:pos="25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Impending bankruptcy or the existence of severe liquidity problems;</w:t>
      </w:r>
    </w:p>
    <w:p>
      <w:pPr>
        <w:spacing w:after="0" w:line="229" w:lineRule="exact"/>
        <w:rPr>
          <w:sz w:val="20"/>
          <w:szCs w:val="20"/>
          <w:color w:val="auto"/>
        </w:rPr>
      </w:pPr>
    </w:p>
    <w:p>
      <w:pPr>
        <w:ind w:left="1060" w:right="80"/>
        <w:spacing w:after="0" w:line="257" w:lineRule="auto"/>
        <w:rPr>
          <w:sz w:val="20"/>
          <w:szCs w:val="20"/>
          <w:color w:val="auto"/>
        </w:rPr>
      </w:pPr>
      <w:r>
        <w:rPr>
          <w:rFonts w:ascii="Arial" w:cs="Arial" w:eastAsia="Arial" w:hAnsi="Arial"/>
          <w:sz w:val="20"/>
          <w:szCs w:val="20"/>
          <w:color w:val="auto"/>
        </w:rPr>
        <w:t>If you are unsure whether information of which you are aware is material or nonpublic, you should consult with the Compliance Officer.</w:t>
      </w:r>
    </w:p>
    <w:p>
      <w:pPr>
        <w:spacing w:after="0" w:line="223" w:lineRule="exact"/>
        <w:rPr>
          <w:sz w:val="20"/>
          <w:szCs w:val="20"/>
          <w:color w:val="auto"/>
        </w:rPr>
      </w:pPr>
    </w:p>
    <w:p>
      <w:pPr>
        <w:ind w:left="1040" w:hanging="368"/>
        <w:spacing w:after="0"/>
        <w:tabs>
          <w:tab w:leader="none" w:pos="1040" w:val="left"/>
        </w:tabs>
        <w:numPr>
          <w:ilvl w:val="1"/>
          <w:numId w:val="65"/>
        </w:numPr>
        <w:rPr>
          <w:rFonts w:ascii="Arial" w:cs="Arial" w:eastAsia="Arial" w:hAnsi="Arial"/>
          <w:sz w:val="20"/>
          <w:szCs w:val="20"/>
          <w:color w:val="auto"/>
        </w:rPr>
      </w:pPr>
      <w:r>
        <w:rPr>
          <w:rFonts w:ascii="Arial" w:cs="Arial" w:eastAsia="Arial" w:hAnsi="Arial"/>
          <w:sz w:val="20"/>
          <w:szCs w:val="20"/>
          <w:color w:val="auto"/>
        </w:rPr>
        <w:t>“Nonpublic” Information.</w:t>
      </w:r>
    </w:p>
    <w:p>
      <w:pPr>
        <w:spacing w:after="0" w:line="269" w:lineRule="exact"/>
        <w:rPr>
          <w:rFonts w:ascii="Arial" w:cs="Arial" w:eastAsia="Arial" w:hAnsi="Arial"/>
          <w:sz w:val="20"/>
          <w:szCs w:val="20"/>
          <w:color w:val="auto"/>
        </w:rPr>
      </w:pPr>
    </w:p>
    <w:p>
      <w:pPr>
        <w:jc w:val="both"/>
        <w:ind w:left="1060"/>
        <w:spacing w:after="0" w:line="233" w:lineRule="auto"/>
        <w:rPr>
          <w:rFonts w:ascii="Arial" w:cs="Arial" w:eastAsia="Arial" w:hAnsi="Arial"/>
          <w:sz w:val="20"/>
          <w:szCs w:val="20"/>
          <w:color w:val="auto"/>
        </w:rPr>
      </w:pPr>
      <w:r>
        <w:rPr>
          <w:rFonts w:ascii="Arial" w:cs="Arial" w:eastAsia="Arial" w:hAnsi="Arial"/>
          <w:sz w:val="20"/>
          <w:szCs w:val="20"/>
          <w:color w:val="auto"/>
        </w:rPr>
        <w:t>Material information is “nonpublic” if it has not been widely disseminated to the public in a manner making it available to investors generally, including, without limitation, through major newswire services, national news services and financial news services, or the filing of public documents as required with the U.S. Securities and Exchange Commission (the “</w:t>
      </w:r>
      <w:r>
        <w:rPr>
          <w:rFonts w:ascii="Arial" w:cs="Arial" w:eastAsia="Arial" w:hAnsi="Arial"/>
          <w:sz w:val="20"/>
          <w:szCs w:val="20"/>
          <w:b w:val="1"/>
          <w:bCs w:val="1"/>
          <w:color w:val="auto"/>
        </w:rPr>
        <w:t>SEC</w:t>
      </w:r>
      <w:r>
        <w:rPr>
          <w:rFonts w:ascii="Arial" w:cs="Arial" w:eastAsia="Arial" w:hAnsi="Arial"/>
          <w:sz w:val="20"/>
          <w:szCs w:val="20"/>
          <w:color w:val="auto"/>
        </w:rPr>
        <w:t>”). For the purposes of this Policy, information will be considered public (i.e., no longer “nonpublic”) after the close of trading on the second full trading day following a company’s widespread public release of the information.</w:t>
      </w:r>
    </w:p>
    <w:p>
      <w:pPr>
        <w:spacing w:after="0" w:line="224" w:lineRule="exact"/>
        <w:rPr>
          <w:rFonts w:ascii="Arial" w:cs="Arial" w:eastAsia="Arial" w:hAnsi="Arial"/>
          <w:sz w:val="20"/>
          <w:szCs w:val="20"/>
          <w:color w:val="auto"/>
        </w:rPr>
      </w:pPr>
    </w:p>
    <w:p>
      <w:pPr>
        <w:ind w:left="740" w:right="5240" w:hanging="667"/>
        <w:spacing w:after="0" w:line="522" w:lineRule="auto"/>
        <w:tabs>
          <w:tab w:leader="none" w:pos="508"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STATEMENT OF COMPANY POLICY AND PROCEDURES </w:t>
      </w:r>
      <w:r>
        <w:rPr>
          <w:rFonts w:ascii="Arial" w:cs="Arial" w:eastAsia="Arial" w:hAnsi="Arial"/>
          <w:sz w:val="20"/>
          <w:szCs w:val="20"/>
          <w:color w:val="auto"/>
        </w:rPr>
        <w:t>a. Prohibited Activities:</w:t>
      </w:r>
    </w:p>
    <w:p>
      <w:pPr>
        <w:ind w:left="1960" w:hanging="420"/>
        <w:spacing w:after="0" w:line="257" w:lineRule="auto"/>
        <w:tabs>
          <w:tab w:leader="none" w:pos="1960" w:val="left"/>
        </w:tabs>
        <w:numPr>
          <w:ilvl w:val="3"/>
          <w:numId w:val="66"/>
        </w:numPr>
        <w:rPr>
          <w:rFonts w:ascii="Arial" w:cs="Arial" w:eastAsia="Arial" w:hAnsi="Arial"/>
          <w:sz w:val="20"/>
          <w:szCs w:val="20"/>
          <w:color w:val="auto"/>
        </w:rPr>
      </w:pPr>
      <w:r>
        <w:rPr>
          <w:rFonts w:ascii="Arial" w:cs="Arial" w:eastAsia="Arial" w:hAnsi="Arial"/>
          <w:sz w:val="20"/>
          <w:szCs w:val="20"/>
          <w:color w:val="auto"/>
        </w:rPr>
        <w:t>No Insider may trade in Company securities while possessing material nonpublic information concerning the Company.</w:t>
      </w:r>
    </w:p>
    <w:p>
      <w:pPr>
        <w:spacing w:after="0" w:line="222" w:lineRule="exact"/>
        <w:rPr>
          <w:rFonts w:ascii="Arial" w:cs="Arial" w:eastAsia="Arial" w:hAnsi="Arial"/>
          <w:sz w:val="20"/>
          <w:szCs w:val="20"/>
          <w:color w:val="auto"/>
        </w:rPr>
      </w:pPr>
    </w:p>
    <w:p>
      <w:pPr>
        <w:ind w:left="1960" w:hanging="420"/>
        <w:spacing w:after="0" w:line="257" w:lineRule="auto"/>
        <w:tabs>
          <w:tab w:leader="none" w:pos="1960" w:val="left"/>
        </w:tabs>
        <w:numPr>
          <w:ilvl w:val="3"/>
          <w:numId w:val="66"/>
        </w:numPr>
        <w:rPr>
          <w:rFonts w:ascii="Arial" w:cs="Arial" w:eastAsia="Arial" w:hAnsi="Arial"/>
          <w:sz w:val="20"/>
          <w:szCs w:val="20"/>
          <w:color w:val="auto"/>
        </w:rPr>
      </w:pPr>
      <w:r>
        <w:rPr>
          <w:rFonts w:ascii="Arial" w:cs="Arial" w:eastAsia="Arial" w:hAnsi="Arial"/>
          <w:sz w:val="20"/>
          <w:szCs w:val="20"/>
          <w:color w:val="auto"/>
        </w:rPr>
        <w:t>No Insider may trade in Company securities during any Special Blackout Periods designated by the Compliance Officer.</w:t>
      </w:r>
    </w:p>
    <w:p>
      <w:pPr>
        <w:spacing w:after="0" w:line="222" w:lineRule="exact"/>
        <w:rPr>
          <w:rFonts w:ascii="Arial" w:cs="Arial" w:eastAsia="Arial" w:hAnsi="Arial"/>
          <w:sz w:val="20"/>
          <w:szCs w:val="20"/>
          <w:color w:val="auto"/>
        </w:rPr>
      </w:pPr>
    </w:p>
    <w:p>
      <w:pPr>
        <w:ind w:left="1960" w:hanging="420"/>
        <w:spacing w:after="0"/>
        <w:tabs>
          <w:tab w:leader="none" w:pos="1960" w:val="left"/>
        </w:tabs>
        <w:numPr>
          <w:ilvl w:val="3"/>
          <w:numId w:val="66"/>
        </w:numPr>
        <w:rPr>
          <w:rFonts w:ascii="Arial" w:cs="Arial" w:eastAsia="Arial" w:hAnsi="Arial"/>
          <w:sz w:val="20"/>
          <w:szCs w:val="20"/>
          <w:color w:val="auto"/>
        </w:rPr>
      </w:pPr>
      <w:r>
        <w:rPr>
          <w:rFonts w:ascii="Arial" w:cs="Arial" w:eastAsia="Arial" w:hAnsi="Arial"/>
          <w:sz w:val="20"/>
          <w:szCs w:val="20"/>
          <w:color w:val="auto"/>
        </w:rPr>
        <w:t>No Insider may trade in Company securities unless the trade(s) have been</w:t>
      </w:r>
    </w:p>
    <w:p>
      <w:pPr>
        <w:spacing w:after="0" w:line="257" w:lineRule="exact"/>
        <w:rPr>
          <w:sz w:val="20"/>
          <w:szCs w:val="20"/>
          <w:color w:val="auto"/>
        </w:rPr>
      </w:pPr>
    </w:p>
    <w:p>
      <w:pPr>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659765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60" w:top="1333" w:right="459" w:bottom="1440" w:gutter="0" w:footer="0" w:header="0"/>
        </w:sectPr>
      </w:pPr>
    </w:p>
    <w:bookmarkStart w:id="179" w:name="page180"/>
    <w:bookmarkEnd w:id="179"/>
    <w:p>
      <w:pPr>
        <w:jc w:val="both"/>
        <w:ind w:left="1960"/>
        <w:spacing w:after="0" w:line="233" w:lineRule="auto"/>
        <w:rPr>
          <w:sz w:val="20"/>
          <w:szCs w:val="20"/>
          <w:color w:val="auto"/>
        </w:rPr>
      </w:pPr>
      <w:r>
        <w:rPr>
          <w:rFonts w:ascii="Arial" w:cs="Arial" w:eastAsia="Arial" w:hAnsi="Arial"/>
          <w:sz w:val="20"/>
          <w:szCs w:val="20"/>
          <w:color w:val="auto"/>
        </w:rPr>
        <w:t>approved by the Committee in accordance with the procedures set forth in Section V(d) below. Other than as required pursuant to Section V(a)(xi) below, Insiders who wish to sell Company securities in order to realize their profits are strongly encouraged to sell their securities pursuant to a predetermined written plan meeting the requirements of Rule 10b5-1 of the Exchange Act (“</w:t>
      </w:r>
      <w:r>
        <w:rPr>
          <w:rFonts w:ascii="Arial" w:cs="Arial" w:eastAsia="Arial" w:hAnsi="Arial"/>
          <w:sz w:val="20"/>
          <w:szCs w:val="20"/>
          <w:b w:val="1"/>
          <w:bCs w:val="1"/>
          <w:color w:val="auto"/>
        </w:rPr>
        <w:t>Rule 10b5-1</w:t>
      </w:r>
      <w:r>
        <w:rPr>
          <w:rFonts w:ascii="Arial" w:cs="Arial" w:eastAsia="Arial" w:hAnsi="Arial"/>
          <w:sz w:val="20"/>
          <w:szCs w:val="20"/>
          <w:color w:val="auto"/>
        </w:rPr>
        <w:t>”) that is approved by the Committee. To the extent possible, Insiders should retain all records and documents that support their reasons for making each trade.</w:t>
      </w:r>
    </w:p>
    <w:p>
      <w:pPr>
        <w:spacing w:after="0" w:line="240" w:lineRule="exact"/>
        <w:rPr>
          <w:sz w:val="20"/>
          <w:szCs w:val="20"/>
          <w:color w:val="auto"/>
        </w:rPr>
      </w:pPr>
    </w:p>
    <w:p>
      <w:pPr>
        <w:jc w:val="both"/>
        <w:ind w:left="1960" w:hanging="420"/>
        <w:spacing w:after="0" w:line="241" w:lineRule="auto"/>
        <w:tabs>
          <w:tab w:leader="none" w:pos="19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Neither member of the Committee may trade in Company securities unless the trade(s) have been approved by the other member of the Committee and the Company’s outside legal counsel in accordance with the procedures set forth in Section V(d) below.</w:t>
      </w:r>
    </w:p>
    <w:p>
      <w:pPr>
        <w:spacing w:after="0" w:line="238" w:lineRule="exact"/>
        <w:rPr>
          <w:rFonts w:ascii="Arial" w:cs="Arial" w:eastAsia="Arial" w:hAnsi="Arial"/>
          <w:sz w:val="20"/>
          <w:szCs w:val="20"/>
          <w:color w:val="auto"/>
        </w:rPr>
      </w:pPr>
    </w:p>
    <w:p>
      <w:pPr>
        <w:jc w:val="both"/>
        <w:ind w:left="1960" w:hanging="360"/>
        <w:spacing w:after="0" w:line="233" w:lineRule="auto"/>
        <w:tabs>
          <w:tab w:leader="none" w:pos="1960" w:val="left"/>
        </w:tabs>
        <w:numPr>
          <w:ilvl w:val="1"/>
          <w:numId w:val="67"/>
        </w:numPr>
        <w:rPr>
          <w:rFonts w:ascii="Arial" w:cs="Arial" w:eastAsia="Arial" w:hAnsi="Arial"/>
          <w:sz w:val="20"/>
          <w:szCs w:val="20"/>
          <w:color w:val="auto"/>
        </w:rPr>
      </w:pPr>
      <w:r>
        <w:rPr>
          <w:rFonts w:ascii="Arial" w:cs="Arial" w:eastAsia="Arial" w:hAnsi="Arial"/>
          <w:sz w:val="20"/>
          <w:szCs w:val="20"/>
          <w:color w:val="auto"/>
        </w:rPr>
        <w:t>No Insider may “tip” or disclose material nonpublic information concerning the Company to any person unless required as part of that Insider’s regular duties for the Company. In any instance in which such information is disclosed to outsiders, the Company shall take such steps as are necessary to preserve the confidentiality of the information, including requiring the outsider to agree in writing to comply with the terms of this Policy and/or to sign a confidentiality agreement. All inquiries from outsiders regarding material nonpublic information about the Company must be forwarded to the Compliance Officer.</w:t>
      </w:r>
    </w:p>
    <w:p>
      <w:pPr>
        <w:spacing w:after="0" w:line="240" w:lineRule="exact"/>
        <w:rPr>
          <w:sz w:val="20"/>
          <w:szCs w:val="20"/>
          <w:color w:val="auto"/>
        </w:rPr>
      </w:pPr>
    </w:p>
    <w:p>
      <w:pPr>
        <w:jc w:val="both"/>
        <w:ind w:left="1960" w:hanging="420"/>
        <w:spacing w:after="0" w:line="234" w:lineRule="auto"/>
        <w:tabs>
          <w:tab w:leader="none" w:pos="19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No Insider may give trading advice of any kind about the Company to anyone while possessing material nonpublic information about the Company, except that Insiders should advise others not to trade if they have knowledge that doing so might violate the law or this Policy. The Company strongly discourages all Insiders from giving trading advice concerning the Company to third parties even when the Insiders do not possess material nonpublic information about the Company.</w:t>
      </w:r>
    </w:p>
    <w:p>
      <w:pPr>
        <w:spacing w:after="0" w:line="242" w:lineRule="exact"/>
        <w:rPr>
          <w:rFonts w:ascii="Arial" w:cs="Arial" w:eastAsia="Arial" w:hAnsi="Arial"/>
          <w:sz w:val="20"/>
          <w:szCs w:val="20"/>
          <w:color w:val="auto"/>
        </w:rPr>
      </w:pPr>
    </w:p>
    <w:p>
      <w:pPr>
        <w:ind w:left="1960" w:hanging="464"/>
        <w:spacing w:after="0" w:line="257" w:lineRule="auto"/>
        <w:tabs>
          <w:tab w:leader="none" w:pos="19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No Insider may trade in any interest or position relating to the future price of Company securities, such as a put, call, short sale, or other derivative short position.</w:t>
      </w:r>
    </w:p>
    <w:p>
      <w:pPr>
        <w:spacing w:after="0" w:line="182" w:lineRule="exact"/>
        <w:rPr>
          <w:rFonts w:ascii="Arial" w:cs="Arial" w:eastAsia="Arial" w:hAnsi="Arial"/>
          <w:sz w:val="20"/>
          <w:szCs w:val="20"/>
          <w:color w:val="auto"/>
        </w:rPr>
      </w:pPr>
    </w:p>
    <w:p>
      <w:pPr>
        <w:jc w:val="both"/>
        <w:ind w:left="1960" w:hanging="464"/>
        <w:spacing w:after="0" w:line="234" w:lineRule="auto"/>
        <w:tabs>
          <w:tab w:leader="none" w:pos="1960" w:val="left"/>
        </w:tabs>
        <w:numPr>
          <w:ilvl w:val="1"/>
          <w:numId w:val="68"/>
        </w:numPr>
        <w:rPr>
          <w:rFonts w:ascii="Arial" w:cs="Arial" w:eastAsia="Arial" w:hAnsi="Arial"/>
          <w:sz w:val="20"/>
          <w:szCs w:val="20"/>
          <w:color w:val="auto"/>
        </w:rPr>
      </w:pPr>
      <w:r>
        <w:rPr>
          <w:rFonts w:ascii="Arial" w:cs="Arial" w:eastAsia="Arial" w:hAnsi="Arial"/>
          <w:sz w:val="20"/>
          <w:szCs w:val="20"/>
          <w:color w:val="auto"/>
        </w:rPr>
        <w:t>No Insider may engage in hedging or monetization transactions (including but not limited to zero-cost collars, prepaid variable forwards, equity swaps, puts, calls, collars, forwards and other derivative instruments) involving Company securities, as such transactions allow the holder to continue to own Company securities without the full risks and rewards of ownership, and as a result, the Insider may not have the same objectives as other stockholders.</w:t>
      </w:r>
    </w:p>
    <w:p>
      <w:pPr>
        <w:spacing w:after="0" w:line="201" w:lineRule="exact"/>
        <w:rPr>
          <w:rFonts w:ascii="Arial" w:cs="Arial" w:eastAsia="Arial" w:hAnsi="Arial"/>
          <w:sz w:val="20"/>
          <w:szCs w:val="20"/>
          <w:color w:val="auto"/>
        </w:rPr>
      </w:pPr>
    </w:p>
    <w:p>
      <w:pPr>
        <w:jc w:val="both"/>
        <w:ind w:left="1960" w:hanging="464"/>
        <w:spacing w:after="0" w:line="232" w:lineRule="auto"/>
        <w:tabs>
          <w:tab w:leader="none" w:pos="1960" w:val="left"/>
        </w:tabs>
        <w:numPr>
          <w:ilvl w:val="1"/>
          <w:numId w:val="68"/>
        </w:numPr>
        <w:rPr>
          <w:rFonts w:ascii="Arial" w:cs="Arial" w:eastAsia="Arial" w:hAnsi="Arial"/>
          <w:sz w:val="20"/>
          <w:szCs w:val="20"/>
          <w:color w:val="auto"/>
        </w:rPr>
      </w:pPr>
      <w:r>
        <w:rPr>
          <w:rFonts w:ascii="Arial" w:cs="Arial" w:eastAsia="Arial" w:hAnsi="Arial"/>
          <w:sz w:val="20"/>
          <w:szCs w:val="20"/>
          <w:color w:val="auto"/>
        </w:rPr>
        <w:t>Directors, officers, and other employees are prohibited from holding Company securities in a margin account or pledging Company securities as collateral for a loan, as such securities may be traded without that person’s consent (for failing to meet a margin call or if they default on the loan) at a time when they possess material nonpublic information or otherwise are not permitted to trade. However, in the case of a pledge to collateralize a loan unrelated to securities trading, such as a home loan, the Compliance Officer may pre-clear the proposed pledge in limited circumstances upon concluding the transaction</w:t>
      </w:r>
    </w:p>
    <w:p>
      <w:pPr>
        <w:spacing w:after="0" w:line="240" w:lineRule="exact"/>
        <w:rPr>
          <w:sz w:val="20"/>
          <w:szCs w:val="20"/>
          <w:color w:val="auto"/>
        </w:rPr>
      </w:pPr>
    </w:p>
    <w:p>
      <w:pPr>
        <w:spacing w:after="0"/>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659765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60" w:top="1333" w:right="459" w:bottom="1440" w:gutter="0" w:footer="0" w:header="0"/>
        </w:sectPr>
      </w:pPr>
    </w:p>
    <w:bookmarkStart w:id="180" w:name="page181"/>
    <w:bookmarkEnd w:id="180"/>
    <w:p>
      <w:pPr>
        <w:jc w:val="both"/>
        <w:ind w:left="1960"/>
        <w:spacing w:after="0" w:line="241" w:lineRule="auto"/>
        <w:rPr>
          <w:sz w:val="20"/>
          <w:szCs w:val="20"/>
          <w:color w:val="auto"/>
        </w:rPr>
      </w:pPr>
      <w:r>
        <w:rPr>
          <w:rFonts w:ascii="Arial" w:cs="Arial" w:eastAsia="Arial" w:hAnsi="Arial"/>
          <w:sz w:val="20"/>
          <w:szCs w:val="20"/>
          <w:color w:val="auto"/>
        </w:rPr>
        <w:t>does not misuse material nonpublic information, provided that if an Executive Officer or director of the Company is pledging to collateralize a loan unrelated to securities trading, the full Board is required to approve the proposed pledge.</w:t>
      </w:r>
    </w:p>
    <w:p>
      <w:pPr>
        <w:spacing w:after="0" w:line="198" w:lineRule="exact"/>
        <w:rPr>
          <w:sz w:val="20"/>
          <w:szCs w:val="20"/>
          <w:color w:val="auto"/>
        </w:rPr>
      </w:pPr>
    </w:p>
    <w:p>
      <w:pPr>
        <w:jc w:val="both"/>
        <w:ind w:left="1960" w:hanging="464"/>
        <w:spacing w:after="0" w:line="234" w:lineRule="auto"/>
        <w:tabs>
          <w:tab w:leader="none" w:pos="1960" w:val="left"/>
        </w:tabs>
        <w:numPr>
          <w:ilvl w:val="2"/>
          <w:numId w:val="69"/>
        </w:numPr>
        <w:rPr>
          <w:rFonts w:ascii="Arial" w:cs="Arial" w:eastAsia="Arial" w:hAnsi="Arial"/>
          <w:sz w:val="20"/>
          <w:szCs w:val="20"/>
          <w:color w:val="auto"/>
        </w:rPr>
      </w:pPr>
      <w:r>
        <w:rPr>
          <w:rFonts w:ascii="Arial" w:cs="Arial" w:eastAsia="Arial" w:hAnsi="Arial"/>
          <w:sz w:val="20"/>
          <w:szCs w:val="20"/>
          <w:color w:val="auto"/>
        </w:rPr>
        <w:t>Executive Officers and directors who purchase Company securities in the open market may not sell any Company securities of the same class during the six months following the purchase (or vice versa), as short-term trading of the Company’s securities may be distracting and may unduly focus the person on short-term stock market performance, instead of the Company’s long-term business objectives, and may result in the disgorgement of any short swing profits.</w:t>
      </w:r>
    </w:p>
    <w:p>
      <w:pPr>
        <w:spacing w:after="0" w:line="201" w:lineRule="exact"/>
        <w:rPr>
          <w:rFonts w:ascii="Arial" w:cs="Arial" w:eastAsia="Arial" w:hAnsi="Arial"/>
          <w:sz w:val="20"/>
          <w:szCs w:val="20"/>
          <w:color w:val="auto"/>
        </w:rPr>
      </w:pPr>
    </w:p>
    <w:p>
      <w:pPr>
        <w:jc w:val="both"/>
        <w:ind w:left="1960" w:hanging="464"/>
        <w:spacing w:after="0" w:line="237" w:lineRule="auto"/>
        <w:tabs>
          <w:tab w:leader="none" w:pos="1960" w:val="left"/>
        </w:tabs>
        <w:numPr>
          <w:ilvl w:val="2"/>
          <w:numId w:val="69"/>
        </w:numPr>
        <w:rPr>
          <w:rFonts w:ascii="Arial" w:cs="Arial" w:eastAsia="Arial" w:hAnsi="Arial"/>
          <w:sz w:val="20"/>
          <w:szCs w:val="20"/>
          <w:color w:val="auto"/>
        </w:rPr>
      </w:pPr>
      <w:r>
        <w:rPr>
          <w:rFonts w:ascii="Arial" w:cs="Arial" w:eastAsia="Arial" w:hAnsi="Arial"/>
          <w:sz w:val="20"/>
          <w:szCs w:val="20"/>
          <w:color w:val="auto"/>
        </w:rPr>
        <w:t>Any director or employee of the Company holding a vice president-level title or higher may only sell Company securities pursuant to a 10b5-1 Plan (as defined below) as approved pursuant to the provisions below (for purposes of clarity, such persons may execute purchases of Company securities pursuant to this Policy without a 10b5-1 Plan).</w:t>
      </w:r>
    </w:p>
    <w:p>
      <w:pPr>
        <w:spacing w:after="0" w:line="198" w:lineRule="exact"/>
        <w:rPr>
          <w:rFonts w:ascii="Arial" w:cs="Arial" w:eastAsia="Arial" w:hAnsi="Arial"/>
          <w:sz w:val="20"/>
          <w:szCs w:val="20"/>
          <w:color w:val="auto"/>
        </w:rPr>
      </w:pPr>
    </w:p>
    <w:p>
      <w:pPr>
        <w:jc w:val="both"/>
        <w:ind w:left="1960" w:hanging="464"/>
        <w:spacing w:after="0" w:line="237" w:lineRule="auto"/>
        <w:tabs>
          <w:tab w:leader="none" w:pos="1960" w:val="left"/>
        </w:tabs>
        <w:numPr>
          <w:ilvl w:val="2"/>
          <w:numId w:val="69"/>
        </w:numPr>
        <w:rPr>
          <w:rFonts w:ascii="Arial" w:cs="Arial" w:eastAsia="Arial" w:hAnsi="Arial"/>
          <w:sz w:val="20"/>
          <w:szCs w:val="20"/>
          <w:color w:val="auto"/>
        </w:rPr>
      </w:pPr>
      <w:r>
        <w:rPr>
          <w:rFonts w:ascii="Arial" w:cs="Arial" w:eastAsia="Arial" w:hAnsi="Arial"/>
          <w:sz w:val="20"/>
          <w:szCs w:val="20"/>
          <w:color w:val="auto"/>
        </w:rPr>
        <w:t>The prohibitions described in Sections V(a)(i) and (v)-(vi) also apply to trading in the securities or derivatives of any company: (1) on the basis of material nonpublic information Insiders have gained in the course of, or in connection with, employment by or service to the Company, or (2) about which Insiders have material nonpublic information.</w:t>
      </w:r>
    </w:p>
    <w:p>
      <w:pPr>
        <w:spacing w:after="0" w:line="171" w:lineRule="exact"/>
        <w:rPr>
          <w:rFonts w:ascii="Arial" w:cs="Arial" w:eastAsia="Arial" w:hAnsi="Arial"/>
          <w:sz w:val="20"/>
          <w:szCs w:val="20"/>
          <w:color w:val="auto"/>
        </w:rPr>
      </w:pPr>
    </w:p>
    <w:p>
      <w:pPr>
        <w:ind w:left="1960" w:hanging="464"/>
        <w:spacing w:after="0" w:line="257" w:lineRule="auto"/>
        <w:tabs>
          <w:tab w:leader="none" w:pos="1960" w:val="left"/>
        </w:tabs>
        <w:numPr>
          <w:ilvl w:val="2"/>
          <w:numId w:val="69"/>
        </w:numPr>
        <w:rPr>
          <w:rFonts w:ascii="Arial" w:cs="Arial" w:eastAsia="Arial" w:hAnsi="Arial"/>
          <w:sz w:val="20"/>
          <w:szCs w:val="20"/>
          <w:color w:val="auto"/>
        </w:rPr>
      </w:pPr>
      <w:r>
        <w:rPr>
          <w:rFonts w:ascii="Arial" w:cs="Arial" w:eastAsia="Arial" w:hAnsi="Arial"/>
          <w:sz w:val="20"/>
          <w:szCs w:val="20"/>
          <w:color w:val="auto"/>
        </w:rPr>
        <w:t>Any waiver of this Policy requires approval by the Board, and any other requisite approvals of this Policy by the Board as set forth herein may be secured through electronic email communication.</w:t>
      </w:r>
    </w:p>
    <w:p>
      <w:pPr>
        <w:spacing w:after="0" w:line="155" w:lineRule="exact"/>
        <w:rPr>
          <w:rFonts w:ascii="Arial" w:cs="Arial" w:eastAsia="Arial" w:hAnsi="Arial"/>
          <w:sz w:val="20"/>
          <w:szCs w:val="20"/>
          <w:color w:val="auto"/>
        </w:rPr>
      </w:pPr>
    </w:p>
    <w:p>
      <w:pPr>
        <w:ind w:left="1100" w:hanging="369"/>
        <w:spacing w:after="0"/>
        <w:tabs>
          <w:tab w:leader="none" w:pos="1100" w:val="left"/>
        </w:tabs>
        <w:numPr>
          <w:ilvl w:val="0"/>
          <w:numId w:val="70"/>
        </w:numPr>
        <w:rPr>
          <w:rFonts w:ascii="Arial" w:cs="Arial" w:eastAsia="Arial" w:hAnsi="Arial"/>
          <w:sz w:val="20"/>
          <w:szCs w:val="20"/>
          <w:color w:val="auto"/>
        </w:rPr>
      </w:pPr>
      <w:r>
        <w:rPr>
          <w:rFonts w:ascii="Arial" w:cs="Arial" w:eastAsia="Arial" w:hAnsi="Arial"/>
          <w:sz w:val="20"/>
          <w:szCs w:val="20"/>
          <w:color w:val="auto"/>
        </w:rPr>
        <w:t>Only Designated Company Spokespersons Are Authorized to Disclose Material Nonpublic Information.</w:t>
      </w:r>
    </w:p>
    <w:p>
      <w:pPr>
        <w:spacing w:after="0" w:line="202" w:lineRule="exact"/>
        <w:rPr>
          <w:rFonts w:ascii="Arial" w:cs="Arial" w:eastAsia="Arial" w:hAnsi="Arial"/>
          <w:sz w:val="20"/>
          <w:szCs w:val="20"/>
          <w:color w:val="auto"/>
        </w:rPr>
      </w:pPr>
    </w:p>
    <w:p>
      <w:pPr>
        <w:jc w:val="both"/>
        <w:ind w:left="1120"/>
        <w:spacing w:after="0" w:line="232" w:lineRule="auto"/>
        <w:rPr>
          <w:rFonts w:ascii="Arial" w:cs="Arial" w:eastAsia="Arial" w:hAnsi="Arial"/>
          <w:sz w:val="20"/>
          <w:szCs w:val="20"/>
          <w:color w:val="auto"/>
        </w:rPr>
      </w:pPr>
      <w:r>
        <w:rPr>
          <w:rFonts w:ascii="Arial" w:cs="Arial" w:eastAsia="Arial" w:hAnsi="Arial"/>
          <w:sz w:val="20"/>
          <w:szCs w:val="20"/>
          <w:color w:val="auto"/>
        </w:rPr>
        <w:t>U.S. federal securities laws prohibit the Company from selectively disclosing material nonpublic information. The Company has established a Disclosure and Regulation FD Policy (the “</w:t>
      </w:r>
      <w:r>
        <w:rPr>
          <w:rFonts w:ascii="Arial" w:cs="Arial" w:eastAsia="Arial" w:hAnsi="Arial"/>
          <w:sz w:val="20"/>
          <w:szCs w:val="20"/>
          <w:b w:val="1"/>
          <w:bCs w:val="1"/>
          <w:color w:val="auto"/>
        </w:rPr>
        <w:t>Reg FD Policy</w:t>
      </w:r>
      <w:r>
        <w:rPr>
          <w:rFonts w:ascii="Arial" w:cs="Arial" w:eastAsia="Arial" w:hAnsi="Arial"/>
          <w:sz w:val="20"/>
          <w:szCs w:val="20"/>
          <w:color w:val="auto"/>
        </w:rPr>
        <w:t>”), which includes procedures for releasing material information in a manner that is designed to achieve broad dissemination of the information immediately upon its release. Employees must follow the Reg FD Policy, which among other things prohibits employees from in any manner disclosing material nonpublic information to anyone outside the Company, including family members and friends, and including social media or electronic communications. Any inquiries about the Company should be directed to the Company’s Corporate Communications Department.</w:t>
      </w:r>
    </w:p>
    <w:p>
      <w:pPr>
        <w:spacing w:after="0" w:line="171" w:lineRule="exact"/>
        <w:rPr>
          <w:rFonts w:ascii="Arial" w:cs="Arial" w:eastAsia="Arial" w:hAnsi="Arial"/>
          <w:sz w:val="20"/>
          <w:szCs w:val="20"/>
          <w:color w:val="auto"/>
        </w:rPr>
      </w:pPr>
    </w:p>
    <w:p>
      <w:pPr>
        <w:ind w:left="1100" w:hanging="369"/>
        <w:spacing w:after="0"/>
        <w:tabs>
          <w:tab w:leader="none" w:pos="1100" w:val="left"/>
        </w:tabs>
        <w:numPr>
          <w:ilvl w:val="0"/>
          <w:numId w:val="70"/>
        </w:numPr>
        <w:rPr>
          <w:rFonts w:ascii="Arial" w:cs="Arial" w:eastAsia="Arial" w:hAnsi="Arial"/>
          <w:sz w:val="20"/>
          <w:szCs w:val="20"/>
          <w:color w:val="auto"/>
        </w:rPr>
      </w:pPr>
      <w:r>
        <w:rPr>
          <w:rFonts w:ascii="Arial" w:cs="Arial" w:eastAsia="Arial" w:hAnsi="Arial"/>
          <w:sz w:val="20"/>
          <w:szCs w:val="20"/>
          <w:color w:val="auto"/>
        </w:rPr>
        <w:t>Blackout Periods.</w:t>
      </w:r>
    </w:p>
    <w:p>
      <w:pPr>
        <w:spacing w:after="0" w:line="269" w:lineRule="exact"/>
        <w:rPr>
          <w:rFonts w:ascii="Arial" w:cs="Arial" w:eastAsia="Arial" w:hAnsi="Arial"/>
          <w:sz w:val="20"/>
          <w:szCs w:val="20"/>
          <w:color w:val="auto"/>
        </w:rPr>
      </w:pPr>
    </w:p>
    <w:p>
      <w:pPr>
        <w:jc w:val="both"/>
        <w:ind w:left="1960" w:hanging="495"/>
        <w:spacing w:after="0" w:line="234" w:lineRule="auto"/>
        <w:tabs>
          <w:tab w:leader="none" w:pos="1960" w:val="left"/>
        </w:tabs>
        <w:numPr>
          <w:ilvl w:val="1"/>
          <w:numId w:val="70"/>
        </w:numPr>
        <w:rPr>
          <w:rFonts w:ascii="Arial" w:cs="Arial" w:eastAsia="Arial" w:hAnsi="Arial"/>
          <w:sz w:val="20"/>
          <w:szCs w:val="20"/>
          <w:color w:val="auto"/>
        </w:rPr>
      </w:pPr>
      <w:r>
        <w:rPr>
          <w:rFonts w:ascii="Arial" w:cs="Arial" w:eastAsia="Arial" w:hAnsi="Arial"/>
          <w:sz w:val="20"/>
          <w:szCs w:val="20"/>
          <w:color w:val="auto"/>
        </w:rPr>
        <w:t>The period beginning fourteen (14) calendar days prior to the last day of the last calendar month of each quarter and ending two (2) trading days following the date of public disclosure of the financial results for that quarter (the “</w:t>
      </w:r>
      <w:r>
        <w:rPr>
          <w:rFonts w:ascii="Arial" w:cs="Arial" w:eastAsia="Arial" w:hAnsi="Arial"/>
          <w:sz w:val="20"/>
          <w:szCs w:val="20"/>
          <w:b w:val="1"/>
          <w:bCs w:val="1"/>
          <w:color w:val="auto"/>
        </w:rPr>
        <w:t>Quarterly Blackout Period</w:t>
      </w:r>
      <w:r>
        <w:rPr>
          <w:rFonts w:ascii="Arial" w:cs="Arial" w:eastAsia="Arial" w:hAnsi="Arial"/>
          <w:sz w:val="20"/>
          <w:szCs w:val="20"/>
          <w:color w:val="auto"/>
        </w:rPr>
        <w:t>”) is a particularly sensitive period of time for transactions in the Company’s stock from the perspective of compliance with applicable securities laws. This sensitivity is due to the fact that officers,</w:t>
      </w:r>
    </w:p>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668655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60" w:top="1333" w:right="459" w:bottom="1440" w:gutter="0" w:footer="0" w:header="0"/>
        </w:sectPr>
      </w:pPr>
    </w:p>
    <w:bookmarkStart w:id="181" w:name="page182"/>
    <w:bookmarkEnd w:id="181"/>
    <w:p>
      <w:pPr>
        <w:jc w:val="both"/>
        <w:ind w:left="1960"/>
        <w:spacing w:after="0" w:line="234" w:lineRule="auto"/>
        <w:rPr>
          <w:sz w:val="20"/>
          <w:szCs w:val="20"/>
          <w:color w:val="auto"/>
        </w:rPr>
      </w:pPr>
      <w:r>
        <w:rPr>
          <w:rFonts w:ascii="Arial" w:cs="Arial" w:eastAsia="Arial" w:hAnsi="Arial"/>
          <w:sz w:val="20"/>
          <w:szCs w:val="20"/>
          <w:color w:val="auto"/>
        </w:rPr>
        <w:t>directors, and certain other employees and consultants will, during that period, often possess material nonpublic information about the expected financial results for the quarter. Except as set forth in Section V(e) below, no Insider may trade in Company Securities during a Blackout Period (as defined below), although the Committee may waive the restriction if it determines such person does not possess material nonpublic information.</w:t>
      </w:r>
    </w:p>
    <w:p>
      <w:pPr>
        <w:spacing w:after="0" w:line="242" w:lineRule="exact"/>
        <w:rPr>
          <w:sz w:val="20"/>
          <w:szCs w:val="20"/>
          <w:color w:val="auto"/>
        </w:rPr>
      </w:pPr>
    </w:p>
    <w:p>
      <w:pPr>
        <w:jc w:val="both"/>
        <w:ind w:left="1960" w:hanging="495"/>
        <w:spacing w:after="0" w:line="246" w:lineRule="auto"/>
        <w:tabs>
          <w:tab w:leader="none" w:pos="1960" w:val="left"/>
        </w:tabs>
        <w:numPr>
          <w:ilvl w:val="1"/>
          <w:numId w:val="71"/>
        </w:numPr>
        <w:rPr>
          <w:rFonts w:ascii="Arial" w:cs="Arial" w:eastAsia="Arial" w:hAnsi="Arial"/>
          <w:sz w:val="20"/>
          <w:szCs w:val="20"/>
          <w:color w:val="auto"/>
        </w:rPr>
      </w:pPr>
      <w:r>
        <w:rPr>
          <w:rFonts w:ascii="Arial" w:cs="Arial" w:eastAsia="Arial" w:hAnsi="Arial"/>
          <w:sz w:val="20"/>
          <w:szCs w:val="20"/>
          <w:color w:val="auto"/>
        </w:rPr>
        <w:t>The Compliance Officer, in consultation with Company management, may, from time to time, designate special blackout periods (“</w:t>
      </w:r>
      <w:r>
        <w:rPr>
          <w:rFonts w:ascii="Arial" w:cs="Arial" w:eastAsia="Arial" w:hAnsi="Arial"/>
          <w:sz w:val="20"/>
          <w:szCs w:val="20"/>
          <w:b w:val="1"/>
          <w:bCs w:val="1"/>
          <w:color w:val="auto"/>
        </w:rPr>
        <w:t>Special Blackout Periods</w:t>
      </w:r>
      <w:r>
        <w:rPr>
          <w:rFonts w:ascii="Arial" w:cs="Arial" w:eastAsia="Arial" w:hAnsi="Arial"/>
          <w:sz w:val="20"/>
          <w:szCs w:val="20"/>
          <w:color w:val="auto"/>
        </w:rPr>
        <w:t>” and together with the Quarterly Blackout Period, the “</w:t>
      </w:r>
      <w:r>
        <w:rPr>
          <w:rFonts w:ascii="Arial" w:cs="Arial" w:eastAsia="Arial" w:hAnsi="Arial"/>
          <w:sz w:val="20"/>
          <w:szCs w:val="20"/>
          <w:b w:val="1"/>
          <w:bCs w:val="1"/>
          <w:color w:val="auto"/>
        </w:rPr>
        <w:t>Blackout Period</w:t>
      </w:r>
      <w:r>
        <w:rPr>
          <w:rFonts w:ascii="Arial" w:cs="Arial" w:eastAsia="Arial" w:hAnsi="Arial"/>
          <w:sz w:val="20"/>
          <w:szCs w:val="20"/>
          <w:color w:val="auto"/>
        </w:rPr>
        <w:t>”) during which trading in Company securities by all Insiders shall be prohibited.</w:t>
      </w:r>
    </w:p>
    <w:p>
      <w:pPr>
        <w:spacing w:after="0" w:line="291" w:lineRule="exact"/>
        <w:rPr>
          <w:rFonts w:ascii="Arial" w:cs="Arial" w:eastAsia="Arial" w:hAnsi="Arial"/>
          <w:sz w:val="20"/>
          <w:szCs w:val="20"/>
          <w:color w:val="auto"/>
        </w:rPr>
      </w:pPr>
    </w:p>
    <w:p>
      <w:pPr>
        <w:ind w:left="740" w:right="160" w:firstLine="725"/>
        <w:spacing w:after="0" w:line="521" w:lineRule="auto"/>
        <w:tabs>
          <w:tab w:leader="none" w:pos="1962" w:val="left"/>
        </w:tabs>
        <w:numPr>
          <w:ilvl w:val="1"/>
          <w:numId w:val="71"/>
        </w:numPr>
        <w:rPr>
          <w:rFonts w:ascii="Arial" w:cs="Arial" w:eastAsia="Arial" w:hAnsi="Arial"/>
          <w:sz w:val="20"/>
          <w:szCs w:val="20"/>
          <w:color w:val="auto"/>
        </w:rPr>
      </w:pPr>
      <w:r>
        <w:rPr>
          <w:rFonts w:ascii="Arial" w:cs="Arial" w:eastAsia="Arial" w:hAnsi="Arial"/>
          <w:sz w:val="20"/>
          <w:szCs w:val="20"/>
          <w:color w:val="auto"/>
        </w:rPr>
        <w:t>No Insider may disclose to any outside third party that a Special Blackout Period has been designated. d. Procedures for Approving Trades by Insiders.</w:t>
      </w:r>
    </w:p>
    <w:p>
      <w:pPr>
        <w:ind w:left="1960" w:hanging="495"/>
        <w:spacing w:after="0"/>
        <w:tabs>
          <w:tab w:leader="none" w:pos="1960" w:val="left"/>
        </w:tabs>
        <w:numPr>
          <w:ilvl w:val="1"/>
          <w:numId w:val="72"/>
        </w:numPr>
        <w:rPr>
          <w:rFonts w:ascii="Arial" w:cs="Arial" w:eastAsia="Arial" w:hAnsi="Arial"/>
          <w:sz w:val="20"/>
          <w:szCs w:val="20"/>
          <w:color w:val="auto"/>
        </w:rPr>
      </w:pPr>
      <w:r>
        <w:rPr>
          <w:rFonts w:ascii="Arial" w:cs="Arial" w:eastAsia="Arial" w:hAnsi="Arial"/>
          <w:sz w:val="20"/>
          <w:szCs w:val="20"/>
          <w:color w:val="auto"/>
        </w:rPr>
        <w:t>Regardless of the proposed timing or type of trade, no Insider may trade in Company securities until:</w:t>
      </w:r>
    </w:p>
    <w:p>
      <w:pPr>
        <w:spacing w:after="0" w:line="269" w:lineRule="exact"/>
        <w:rPr>
          <w:rFonts w:ascii="Arial" w:cs="Arial" w:eastAsia="Arial" w:hAnsi="Arial"/>
          <w:sz w:val="20"/>
          <w:szCs w:val="20"/>
          <w:color w:val="auto"/>
        </w:rPr>
      </w:pPr>
    </w:p>
    <w:p>
      <w:pPr>
        <w:ind w:left="2700" w:right="20" w:hanging="366"/>
        <w:spacing w:after="0" w:line="257" w:lineRule="auto"/>
        <w:tabs>
          <w:tab w:leader="none" w:pos="2700" w:val="left"/>
        </w:tabs>
        <w:numPr>
          <w:ilvl w:val="3"/>
          <w:numId w:val="72"/>
        </w:numPr>
        <w:rPr>
          <w:rFonts w:ascii="Arial" w:cs="Arial" w:eastAsia="Arial" w:hAnsi="Arial"/>
          <w:sz w:val="20"/>
          <w:szCs w:val="20"/>
          <w:color w:val="auto"/>
        </w:rPr>
      </w:pPr>
      <w:r>
        <w:rPr>
          <w:rFonts w:ascii="Arial" w:cs="Arial" w:eastAsia="Arial" w:hAnsi="Arial"/>
          <w:sz w:val="20"/>
          <w:szCs w:val="20"/>
          <w:color w:val="auto"/>
        </w:rPr>
        <w:t>The person trading has notified the Compliance Officer in writing of the amount and nature of the proposed trade(s);</w:t>
      </w:r>
    </w:p>
    <w:p>
      <w:pPr>
        <w:spacing w:after="0" w:line="209" w:lineRule="exact"/>
        <w:rPr>
          <w:rFonts w:ascii="Arial" w:cs="Arial" w:eastAsia="Arial" w:hAnsi="Arial"/>
          <w:sz w:val="20"/>
          <w:szCs w:val="20"/>
          <w:color w:val="auto"/>
        </w:rPr>
      </w:pPr>
    </w:p>
    <w:p>
      <w:pPr>
        <w:jc w:val="both"/>
        <w:ind w:left="2700" w:hanging="366"/>
        <w:spacing w:after="0" w:line="237" w:lineRule="auto"/>
        <w:tabs>
          <w:tab w:leader="none" w:pos="2700" w:val="left"/>
        </w:tabs>
        <w:numPr>
          <w:ilvl w:val="3"/>
          <w:numId w:val="72"/>
        </w:numPr>
        <w:rPr>
          <w:rFonts w:ascii="Arial" w:cs="Arial" w:eastAsia="Arial" w:hAnsi="Arial"/>
          <w:sz w:val="20"/>
          <w:szCs w:val="20"/>
          <w:color w:val="auto"/>
        </w:rPr>
      </w:pPr>
      <w:r>
        <w:rPr>
          <w:rFonts w:ascii="Arial" w:cs="Arial" w:eastAsia="Arial" w:hAnsi="Arial"/>
          <w:sz w:val="20"/>
          <w:szCs w:val="20"/>
          <w:color w:val="auto"/>
        </w:rPr>
        <w:t>The person trading has certified to the Compliance Officer in writing at the time of such proposed trade(s) that (i) he or she is not in possession of material nonpublic information concerning the Company, and (ii) the proposed trade(s) do not violate the trading restrictions of Section 16 of the Exchange Act or Rule 144 of the Securities Act;</w:t>
      </w:r>
    </w:p>
    <w:p>
      <w:pPr>
        <w:spacing w:after="0" w:line="279" w:lineRule="exact"/>
        <w:rPr>
          <w:rFonts w:ascii="Arial" w:cs="Arial" w:eastAsia="Arial" w:hAnsi="Arial"/>
          <w:sz w:val="20"/>
          <w:szCs w:val="20"/>
          <w:color w:val="auto"/>
        </w:rPr>
      </w:pPr>
    </w:p>
    <w:p>
      <w:pPr>
        <w:ind w:left="2700" w:hanging="366"/>
        <w:spacing w:after="0" w:line="257" w:lineRule="auto"/>
        <w:tabs>
          <w:tab w:leader="none" w:pos="2700" w:val="left"/>
        </w:tabs>
        <w:numPr>
          <w:ilvl w:val="3"/>
          <w:numId w:val="72"/>
        </w:numPr>
        <w:rPr>
          <w:rFonts w:ascii="Arial" w:cs="Arial" w:eastAsia="Arial" w:hAnsi="Arial"/>
          <w:sz w:val="20"/>
          <w:szCs w:val="20"/>
          <w:color w:val="auto"/>
        </w:rPr>
      </w:pPr>
      <w:r>
        <w:rPr>
          <w:rFonts w:ascii="Arial" w:cs="Arial" w:eastAsia="Arial" w:hAnsi="Arial"/>
          <w:sz w:val="20"/>
          <w:szCs w:val="20"/>
          <w:color w:val="auto"/>
        </w:rPr>
        <w:t>The person trading has notified and received approval from the Committee for the filing of a Form 144 with the SEC, if applicable; and</w:t>
      </w:r>
    </w:p>
    <w:p>
      <w:pPr>
        <w:spacing w:after="0" w:line="222" w:lineRule="exact"/>
        <w:rPr>
          <w:rFonts w:ascii="Arial" w:cs="Arial" w:eastAsia="Arial" w:hAnsi="Arial"/>
          <w:sz w:val="20"/>
          <w:szCs w:val="20"/>
          <w:color w:val="auto"/>
        </w:rPr>
      </w:pPr>
    </w:p>
    <w:p>
      <w:pPr>
        <w:ind w:left="2700" w:hanging="366"/>
        <w:spacing w:after="0" w:line="257" w:lineRule="auto"/>
        <w:tabs>
          <w:tab w:leader="none" w:pos="2700" w:val="left"/>
        </w:tabs>
        <w:numPr>
          <w:ilvl w:val="3"/>
          <w:numId w:val="72"/>
        </w:numPr>
        <w:rPr>
          <w:rFonts w:ascii="Arial" w:cs="Arial" w:eastAsia="Arial" w:hAnsi="Arial"/>
          <w:sz w:val="20"/>
          <w:szCs w:val="20"/>
          <w:color w:val="auto"/>
        </w:rPr>
      </w:pPr>
      <w:r>
        <w:rPr>
          <w:rFonts w:ascii="Arial" w:cs="Arial" w:eastAsia="Arial" w:hAnsi="Arial"/>
          <w:sz w:val="20"/>
          <w:szCs w:val="20"/>
          <w:color w:val="auto"/>
        </w:rPr>
        <w:t>The Committee has approved the trade(s), and the Compliance Officer has certified such approval in writing.</w:t>
      </w:r>
    </w:p>
    <w:p>
      <w:pPr>
        <w:spacing w:after="0" w:line="209" w:lineRule="exact"/>
        <w:rPr>
          <w:rFonts w:ascii="Arial" w:cs="Arial" w:eastAsia="Arial" w:hAnsi="Arial"/>
          <w:sz w:val="20"/>
          <w:szCs w:val="20"/>
          <w:color w:val="auto"/>
        </w:rPr>
      </w:pPr>
    </w:p>
    <w:p>
      <w:pPr>
        <w:ind w:left="1960" w:hanging="360"/>
        <w:spacing w:after="0"/>
        <w:tabs>
          <w:tab w:leader="none" w:pos="1960" w:val="left"/>
        </w:tabs>
        <w:numPr>
          <w:ilvl w:val="2"/>
          <w:numId w:val="72"/>
        </w:numPr>
        <w:rPr>
          <w:rFonts w:ascii="Arial" w:cs="Arial" w:eastAsia="Arial" w:hAnsi="Arial"/>
          <w:sz w:val="20"/>
          <w:szCs w:val="20"/>
          <w:color w:val="auto"/>
        </w:rPr>
      </w:pPr>
      <w:r>
        <w:rPr>
          <w:rFonts w:ascii="Arial" w:cs="Arial" w:eastAsia="Arial" w:hAnsi="Arial"/>
          <w:sz w:val="20"/>
          <w:szCs w:val="20"/>
          <w:color w:val="auto"/>
        </w:rPr>
        <w:t>Trades made pursuant to 10b5-1 Plans.</w:t>
      </w:r>
    </w:p>
    <w:p>
      <w:pPr>
        <w:spacing w:after="0" w:line="269" w:lineRule="exact"/>
        <w:rPr>
          <w:rFonts w:ascii="Arial" w:cs="Arial" w:eastAsia="Arial" w:hAnsi="Arial"/>
          <w:sz w:val="20"/>
          <w:szCs w:val="20"/>
          <w:color w:val="auto"/>
        </w:rPr>
      </w:pPr>
    </w:p>
    <w:p>
      <w:pPr>
        <w:jc w:val="both"/>
        <w:ind w:left="2700" w:hanging="366"/>
        <w:spacing w:after="0" w:line="246" w:lineRule="auto"/>
        <w:tabs>
          <w:tab w:leader="none" w:pos="2700" w:val="left"/>
        </w:tabs>
        <w:numPr>
          <w:ilvl w:val="3"/>
          <w:numId w:val="72"/>
        </w:numPr>
        <w:rPr>
          <w:rFonts w:ascii="Arial" w:cs="Arial" w:eastAsia="Arial" w:hAnsi="Arial"/>
          <w:sz w:val="20"/>
          <w:szCs w:val="20"/>
          <w:color w:val="auto"/>
        </w:rPr>
      </w:pPr>
      <w:r>
        <w:rPr>
          <w:rFonts w:ascii="Arial" w:cs="Arial" w:eastAsia="Arial" w:hAnsi="Arial"/>
          <w:sz w:val="20"/>
          <w:szCs w:val="20"/>
          <w:color w:val="auto"/>
        </w:rPr>
        <w:t>The Company must pre-approve any plan, arrangement, or trading instructions, etc. prepared pursuant to Rule 10b5-1 involving potential sales (or purchases) of stock, option exercises and sales, etc. (any such plan prepared in accordance with Rule 10b5-1, a “</w:t>
      </w:r>
      <w:r>
        <w:rPr>
          <w:rFonts w:ascii="Arial" w:cs="Arial" w:eastAsia="Arial" w:hAnsi="Arial"/>
          <w:sz w:val="20"/>
          <w:szCs w:val="20"/>
          <w:b w:val="1"/>
          <w:bCs w:val="1"/>
          <w:color w:val="auto"/>
        </w:rPr>
        <w:t>10b5-1 Plan</w:t>
      </w:r>
      <w:r>
        <w:rPr>
          <w:rFonts w:ascii="Arial" w:cs="Arial" w:eastAsia="Arial" w:hAnsi="Arial"/>
          <w:sz w:val="20"/>
          <w:szCs w:val="20"/>
          <w:color w:val="auto"/>
        </w:rPr>
        <w:t>”).</w:t>
      </w:r>
    </w:p>
    <w:p>
      <w:pPr>
        <w:spacing w:after="0" w:line="224" w:lineRule="exact"/>
        <w:rPr>
          <w:rFonts w:ascii="Arial" w:cs="Arial" w:eastAsia="Arial" w:hAnsi="Arial"/>
          <w:sz w:val="20"/>
          <w:szCs w:val="20"/>
          <w:color w:val="auto"/>
        </w:rPr>
      </w:pPr>
    </w:p>
    <w:p>
      <w:pPr>
        <w:ind w:left="2700" w:hanging="366"/>
        <w:spacing w:after="0"/>
        <w:tabs>
          <w:tab w:leader="none" w:pos="2700" w:val="left"/>
        </w:tabs>
        <w:numPr>
          <w:ilvl w:val="3"/>
          <w:numId w:val="72"/>
        </w:numPr>
        <w:rPr>
          <w:rFonts w:ascii="Arial" w:cs="Arial" w:eastAsia="Arial" w:hAnsi="Arial"/>
          <w:sz w:val="20"/>
          <w:szCs w:val="20"/>
          <w:color w:val="auto"/>
        </w:rPr>
      </w:pPr>
      <w:r>
        <w:rPr>
          <w:rFonts w:ascii="Arial" w:cs="Arial" w:eastAsia="Arial" w:hAnsi="Arial"/>
          <w:sz w:val="20"/>
          <w:szCs w:val="20"/>
          <w:color w:val="auto"/>
        </w:rPr>
        <w:t>In reviewing any 10b5-1 Plan, the Company shall:</w:t>
      </w:r>
    </w:p>
    <w:p>
      <w:pPr>
        <w:spacing w:after="0" w:line="269" w:lineRule="exact"/>
        <w:rPr>
          <w:rFonts w:ascii="Arial" w:cs="Arial" w:eastAsia="Arial" w:hAnsi="Arial"/>
          <w:sz w:val="20"/>
          <w:szCs w:val="20"/>
          <w:color w:val="auto"/>
        </w:rPr>
      </w:pPr>
    </w:p>
    <w:p>
      <w:pPr>
        <w:jc w:val="both"/>
        <w:ind w:left="3460" w:hanging="377"/>
        <w:spacing w:after="0" w:line="241" w:lineRule="auto"/>
        <w:tabs>
          <w:tab w:leader="none" w:pos="3460" w:val="left"/>
        </w:tabs>
        <w:numPr>
          <w:ilvl w:val="4"/>
          <w:numId w:val="72"/>
        </w:numPr>
        <w:rPr>
          <w:rFonts w:ascii="Arial" w:cs="Arial" w:eastAsia="Arial" w:hAnsi="Arial"/>
          <w:sz w:val="20"/>
          <w:szCs w:val="20"/>
          <w:color w:val="auto"/>
        </w:rPr>
      </w:pPr>
      <w:r>
        <w:rPr>
          <w:rFonts w:ascii="Arial" w:cs="Arial" w:eastAsia="Arial" w:hAnsi="Arial"/>
          <w:sz w:val="20"/>
          <w:szCs w:val="20"/>
          <w:color w:val="auto"/>
        </w:rPr>
        <w:t>Verify that at the time a 10b5-1 Plan is entered into, there is no material nonpublic information about the Company (even if the Insider proposing the 10b5-1 Plan is not aware of such information);</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668655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60" w:top="1333" w:right="459" w:bottom="1440" w:gutter="0" w:footer="0" w:header="0"/>
        </w:sectPr>
      </w:pPr>
    </w:p>
    <w:bookmarkStart w:id="182" w:name="page183"/>
    <w:bookmarkEnd w:id="182"/>
    <w:p>
      <w:pPr>
        <w:jc w:val="both"/>
        <w:ind w:left="3460" w:hanging="377"/>
        <w:spacing w:after="0" w:line="234" w:lineRule="auto"/>
        <w:tabs>
          <w:tab w:leader="none" w:pos="34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 xml:space="preserve">Ensure that the first trade authorized by any 10b5-1 Plan does not occur before the </w:t>
      </w:r>
      <w:r>
        <w:rPr>
          <w:rFonts w:ascii="Arial" w:cs="Arial" w:eastAsia="Arial" w:hAnsi="Arial"/>
          <w:sz w:val="20"/>
          <w:szCs w:val="20"/>
          <w:u w:val="single" w:color="auto"/>
          <w:color w:val="auto"/>
        </w:rPr>
        <w:t>later</w:t>
      </w:r>
      <w:r>
        <w:rPr>
          <w:rFonts w:ascii="Arial" w:cs="Arial" w:eastAsia="Arial" w:hAnsi="Arial"/>
          <w:sz w:val="20"/>
          <w:szCs w:val="20"/>
          <w:color w:val="auto"/>
        </w:rPr>
        <w:t xml:space="preserve"> of (x) 90 days after adoption (including deemed adoption) of the 10b5-1 Plan or</w:t>
      </w:r>
    </w:p>
    <w:p>
      <w:pPr>
        <w:spacing w:after="0" w:line="1" w:lineRule="exact"/>
        <w:rPr>
          <w:rFonts w:ascii="Arial" w:cs="Arial" w:eastAsia="Arial" w:hAnsi="Arial"/>
          <w:sz w:val="20"/>
          <w:szCs w:val="20"/>
          <w:color w:val="auto"/>
        </w:rPr>
      </w:pPr>
    </w:p>
    <w:p>
      <w:pPr>
        <w:jc w:val="both"/>
        <w:ind w:left="3460"/>
        <w:spacing w:after="0" w:line="234" w:lineRule="auto"/>
        <w:rPr>
          <w:rFonts w:ascii="Arial" w:cs="Arial" w:eastAsia="Arial" w:hAnsi="Arial"/>
          <w:sz w:val="20"/>
          <w:szCs w:val="20"/>
          <w:color w:val="auto"/>
        </w:rPr>
      </w:pPr>
      <w:r>
        <w:rPr>
          <w:rFonts w:ascii="Arial" w:cs="Arial" w:eastAsia="Arial" w:hAnsi="Arial"/>
          <w:sz w:val="20"/>
          <w:szCs w:val="20"/>
          <w:color w:val="auto"/>
        </w:rPr>
        <w:t>(y) two business days after disclosure of the Company’s financial results in a Form 10-Q or Form 10-K for the quarter in which the 10b5-1 Plan was adopted (subject to a maximum of 120 days after adoption of the 10b5-1 Plan);</w:t>
      </w:r>
    </w:p>
    <w:p>
      <w:pPr>
        <w:spacing w:after="0" w:line="173" w:lineRule="exact"/>
        <w:rPr>
          <w:rFonts w:ascii="Arial" w:cs="Arial" w:eastAsia="Arial" w:hAnsi="Arial"/>
          <w:sz w:val="20"/>
          <w:szCs w:val="20"/>
          <w:color w:val="auto"/>
        </w:rPr>
      </w:pPr>
    </w:p>
    <w:p>
      <w:pPr>
        <w:ind w:left="3460" w:right="20" w:hanging="377"/>
        <w:spacing w:after="0" w:line="257" w:lineRule="auto"/>
        <w:tabs>
          <w:tab w:leader="none" w:pos="34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Ensure that the 10b5-1 Plan provides, where appropriate, for compliance with the restrictions set forth in Section V(c) above;</w:t>
      </w:r>
    </w:p>
    <w:p>
      <w:pPr>
        <w:spacing w:after="0" w:line="168" w:lineRule="exact"/>
        <w:rPr>
          <w:rFonts w:ascii="Arial" w:cs="Arial" w:eastAsia="Arial" w:hAnsi="Arial"/>
          <w:sz w:val="20"/>
          <w:szCs w:val="20"/>
          <w:color w:val="auto"/>
        </w:rPr>
      </w:pPr>
    </w:p>
    <w:p>
      <w:pPr>
        <w:ind w:left="3460" w:hanging="377"/>
        <w:spacing w:after="0"/>
        <w:tabs>
          <w:tab w:leader="none" w:pos="34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Consider whether a public announcement of the 10b5-1 Plan should be made; and</w:t>
      </w:r>
    </w:p>
    <w:p>
      <w:pPr>
        <w:spacing w:after="0" w:line="202" w:lineRule="exact"/>
        <w:rPr>
          <w:rFonts w:ascii="Arial" w:cs="Arial" w:eastAsia="Arial" w:hAnsi="Arial"/>
          <w:sz w:val="20"/>
          <w:szCs w:val="20"/>
          <w:color w:val="auto"/>
        </w:rPr>
      </w:pPr>
    </w:p>
    <w:p>
      <w:pPr>
        <w:ind w:left="3460" w:right="560" w:hanging="377"/>
        <w:spacing w:after="0" w:line="257" w:lineRule="auto"/>
        <w:tabs>
          <w:tab w:leader="none" w:pos="34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Ensure that the 10b5-1 Plan includes a procedure with whomever is handling the transactions pursuant to the 10b5-1 Plan that will guarantee:</w:t>
      </w:r>
    </w:p>
    <w:p>
      <w:pPr>
        <w:spacing w:after="0" w:line="155" w:lineRule="exact"/>
        <w:rPr>
          <w:sz w:val="20"/>
          <w:szCs w:val="20"/>
          <w:color w:val="auto"/>
        </w:rPr>
      </w:pPr>
    </w:p>
    <w:p>
      <w:pPr>
        <w:ind w:left="4280" w:hanging="374"/>
        <w:spacing w:after="0"/>
        <w:tabs>
          <w:tab w:leader="none" w:pos="4280" w:val="left"/>
        </w:tabs>
        <w:numPr>
          <w:ilvl w:val="0"/>
          <w:numId w:val="74"/>
        </w:numPr>
        <w:rPr>
          <w:rFonts w:ascii="Arial" w:cs="Arial" w:eastAsia="Arial" w:hAnsi="Arial"/>
          <w:sz w:val="20"/>
          <w:szCs w:val="20"/>
          <w:color w:val="auto"/>
        </w:rPr>
      </w:pPr>
      <w:r>
        <w:rPr>
          <w:rFonts w:ascii="Arial" w:cs="Arial" w:eastAsia="Arial" w:hAnsi="Arial"/>
          <w:sz w:val="20"/>
          <w:szCs w:val="20"/>
          <w:color w:val="auto"/>
        </w:rPr>
        <w:t>Prompt filings of Forms 4 and 5 with the SEC after each transaction; and</w:t>
      </w:r>
    </w:p>
    <w:p>
      <w:pPr>
        <w:spacing w:after="0" w:line="4" w:lineRule="exact"/>
        <w:rPr>
          <w:sz w:val="20"/>
          <w:szCs w:val="20"/>
          <w:color w:val="auto"/>
        </w:rPr>
      </w:pPr>
    </w:p>
    <w:p>
      <w:pPr>
        <w:ind w:left="4280" w:right="160" w:hanging="374"/>
        <w:spacing w:after="0" w:line="239" w:lineRule="auto"/>
        <w:tabs>
          <w:tab w:leader="none" w:pos="4280" w:val="left"/>
        </w:tabs>
        <w:numPr>
          <w:ilvl w:val="3"/>
          <w:numId w:val="75"/>
        </w:numPr>
        <w:rPr>
          <w:rFonts w:ascii="Arial" w:cs="Arial" w:eastAsia="Arial" w:hAnsi="Arial"/>
          <w:sz w:val="20"/>
          <w:szCs w:val="20"/>
          <w:color w:val="auto"/>
        </w:rPr>
      </w:pPr>
      <w:r>
        <w:rPr>
          <w:rFonts w:ascii="Arial" w:cs="Arial" w:eastAsia="Arial" w:hAnsi="Arial"/>
          <w:sz w:val="20"/>
          <w:szCs w:val="20"/>
          <w:color w:val="auto"/>
        </w:rPr>
        <w:t>Compliance with Rule 144 and/or Rule 145, if appropriate, at the time of any sale.</w:t>
      </w:r>
    </w:p>
    <w:p>
      <w:pPr>
        <w:spacing w:after="0" w:line="239" w:lineRule="exact"/>
        <w:rPr>
          <w:rFonts w:ascii="Arial" w:cs="Arial" w:eastAsia="Arial" w:hAnsi="Arial"/>
          <w:sz w:val="20"/>
          <w:szCs w:val="20"/>
          <w:color w:val="auto"/>
        </w:rPr>
      </w:pPr>
    </w:p>
    <w:p>
      <w:pPr>
        <w:ind w:left="1960" w:right="60" w:hanging="360"/>
        <w:spacing w:after="0" w:line="237" w:lineRule="auto"/>
        <w:tabs>
          <w:tab w:leader="none" w:pos="1960" w:val="left"/>
        </w:tabs>
        <w:numPr>
          <w:ilvl w:val="2"/>
          <w:numId w:val="76"/>
        </w:numPr>
        <w:rPr>
          <w:rFonts w:ascii="Arial" w:cs="Arial" w:eastAsia="Arial" w:hAnsi="Arial"/>
          <w:sz w:val="20"/>
          <w:szCs w:val="20"/>
          <w:color w:val="auto"/>
        </w:rPr>
      </w:pPr>
      <w:r>
        <w:rPr>
          <w:rFonts w:ascii="Arial" w:cs="Arial" w:eastAsia="Arial" w:hAnsi="Arial"/>
          <w:sz w:val="20"/>
          <w:szCs w:val="20"/>
          <w:color w:val="auto"/>
        </w:rPr>
        <w:t>The existence of the foregoing approval processes does not in any way obligate the Compliance Officer or the Committee to approve any particular trades or 10b5-1 Plans proposed by Insiders. The Compliance Officer may reject any trading requests or 10b5-1 Plans at the Compliance Officer’s sole reasonable discretion.</w:t>
      </w:r>
    </w:p>
    <w:p>
      <w:pPr>
        <w:spacing w:after="0" w:line="171" w:lineRule="exact"/>
        <w:rPr>
          <w:rFonts w:ascii="Arial" w:cs="Arial" w:eastAsia="Arial" w:hAnsi="Arial"/>
          <w:sz w:val="20"/>
          <w:szCs w:val="20"/>
          <w:color w:val="auto"/>
        </w:rPr>
      </w:pPr>
    </w:p>
    <w:p>
      <w:pPr>
        <w:ind w:left="1960" w:right="300" w:hanging="360"/>
        <w:spacing w:after="0" w:line="234" w:lineRule="auto"/>
        <w:tabs>
          <w:tab w:leader="none" w:pos="1960" w:val="left"/>
        </w:tabs>
        <w:numPr>
          <w:ilvl w:val="2"/>
          <w:numId w:val="76"/>
        </w:numPr>
        <w:rPr>
          <w:rFonts w:ascii="Arial" w:cs="Arial" w:eastAsia="Arial" w:hAnsi="Arial"/>
          <w:sz w:val="20"/>
          <w:szCs w:val="20"/>
          <w:color w:val="auto"/>
        </w:rPr>
      </w:pPr>
      <w:r>
        <w:rPr>
          <w:rFonts w:ascii="Arial" w:cs="Arial" w:eastAsia="Arial" w:hAnsi="Arial"/>
          <w:sz w:val="20"/>
          <w:szCs w:val="20"/>
          <w:color w:val="auto"/>
        </w:rPr>
        <w:t>Regardless of whether an Executive Officer or a member of the Board has plans to trade in the Company’s securities, any Form 144 filing by such Insider with the SEC must be approved by the Committee prior to any filing. In addition, such Insider must also provide notice to the chair of the Compensation Committee of the Board of their intention to file a Form 144 with the SEC or effect any trading in the securities of the Company.</w:t>
      </w:r>
    </w:p>
    <w:p>
      <w:pPr>
        <w:spacing w:after="0" w:line="242" w:lineRule="exact"/>
        <w:rPr>
          <w:rFonts w:ascii="Arial" w:cs="Arial" w:eastAsia="Arial" w:hAnsi="Arial"/>
          <w:sz w:val="20"/>
          <w:szCs w:val="20"/>
          <w:color w:val="auto"/>
        </w:rPr>
      </w:pPr>
    </w:p>
    <w:p>
      <w:pPr>
        <w:ind w:left="1100" w:hanging="369"/>
        <w:spacing w:after="0"/>
        <w:tabs>
          <w:tab w:leader="none" w:pos="1100" w:val="left"/>
        </w:tabs>
        <w:numPr>
          <w:ilvl w:val="0"/>
          <w:numId w:val="77"/>
        </w:numPr>
        <w:rPr>
          <w:rFonts w:ascii="Arial" w:cs="Arial" w:eastAsia="Arial" w:hAnsi="Arial"/>
          <w:sz w:val="20"/>
          <w:szCs w:val="20"/>
          <w:color w:val="auto"/>
        </w:rPr>
      </w:pPr>
      <w:r>
        <w:rPr>
          <w:rFonts w:ascii="Arial" w:cs="Arial" w:eastAsia="Arial" w:hAnsi="Arial"/>
          <w:sz w:val="20"/>
          <w:szCs w:val="20"/>
          <w:color w:val="auto"/>
        </w:rPr>
        <w:t>Exceptions to Trading Prohibitions.</w:t>
      </w:r>
    </w:p>
    <w:p>
      <w:pPr>
        <w:spacing w:after="0" w:line="269" w:lineRule="exact"/>
        <w:rPr>
          <w:rFonts w:ascii="Arial" w:cs="Arial" w:eastAsia="Arial" w:hAnsi="Arial"/>
          <w:sz w:val="20"/>
          <w:szCs w:val="20"/>
          <w:color w:val="auto"/>
        </w:rPr>
      </w:pPr>
    </w:p>
    <w:p>
      <w:pPr>
        <w:ind w:left="1120"/>
        <w:spacing w:after="0" w:line="257" w:lineRule="auto"/>
        <w:rPr>
          <w:rFonts w:ascii="Arial" w:cs="Arial" w:eastAsia="Arial" w:hAnsi="Arial"/>
          <w:sz w:val="20"/>
          <w:szCs w:val="20"/>
          <w:color w:val="auto"/>
        </w:rPr>
      </w:pPr>
      <w:r>
        <w:rPr>
          <w:rFonts w:ascii="Arial" w:cs="Arial" w:eastAsia="Arial" w:hAnsi="Arial"/>
          <w:sz w:val="20"/>
          <w:szCs w:val="20"/>
          <w:color w:val="auto"/>
        </w:rPr>
        <w:t>The prohibition on trading in Company securities during Blackout Periods or while otherwise in possession of material nonpublic information does not apply to:</w:t>
      </w:r>
    </w:p>
    <w:p>
      <w:pPr>
        <w:spacing w:after="0" w:line="222" w:lineRule="exact"/>
        <w:rPr>
          <w:rFonts w:ascii="Arial" w:cs="Arial" w:eastAsia="Arial" w:hAnsi="Arial"/>
          <w:sz w:val="20"/>
          <w:szCs w:val="20"/>
          <w:color w:val="auto"/>
        </w:rPr>
      </w:pPr>
    </w:p>
    <w:p>
      <w:pPr>
        <w:ind w:left="1940" w:hanging="475"/>
        <w:spacing w:after="0" w:line="257" w:lineRule="auto"/>
        <w:tabs>
          <w:tab w:leader="none" w:pos="1940" w:val="left"/>
        </w:tabs>
        <w:numPr>
          <w:ilvl w:val="1"/>
          <w:numId w:val="77"/>
        </w:numPr>
        <w:rPr>
          <w:rFonts w:ascii="Arial" w:cs="Arial" w:eastAsia="Arial" w:hAnsi="Arial"/>
          <w:sz w:val="20"/>
          <w:szCs w:val="20"/>
          <w:color w:val="auto"/>
        </w:rPr>
      </w:pPr>
      <w:r>
        <w:rPr>
          <w:rFonts w:ascii="Arial" w:cs="Arial" w:eastAsia="Arial" w:hAnsi="Arial"/>
          <w:sz w:val="20"/>
          <w:szCs w:val="20"/>
          <w:color w:val="auto"/>
        </w:rPr>
        <w:t>purchases made under an employee stock purchase plan operated by the Company, if applicable; provided, however, that the securities so acquired may not be sold during a Blackout Period;</w:t>
      </w:r>
    </w:p>
    <w:p>
      <w:pPr>
        <w:spacing w:after="0" w:line="222" w:lineRule="exact"/>
        <w:rPr>
          <w:rFonts w:ascii="Arial" w:cs="Arial" w:eastAsia="Arial" w:hAnsi="Arial"/>
          <w:sz w:val="20"/>
          <w:szCs w:val="20"/>
          <w:color w:val="auto"/>
        </w:rPr>
      </w:pPr>
    </w:p>
    <w:p>
      <w:pPr>
        <w:jc w:val="both"/>
        <w:ind w:left="1940" w:hanging="475"/>
        <w:spacing w:after="0" w:line="237" w:lineRule="auto"/>
        <w:tabs>
          <w:tab w:leader="none" w:pos="1940" w:val="left"/>
        </w:tabs>
        <w:numPr>
          <w:ilvl w:val="1"/>
          <w:numId w:val="77"/>
        </w:numPr>
        <w:rPr>
          <w:rFonts w:ascii="Arial" w:cs="Arial" w:eastAsia="Arial" w:hAnsi="Arial"/>
          <w:sz w:val="20"/>
          <w:szCs w:val="20"/>
          <w:color w:val="auto"/>
        </w:rPr>
      </w:pPr>
      <w:r>
        <w:rPr>
          <w:rFonts w:ascii="Arial" w:cs="Arial" w:eastAsia="Arial" w:hAnsi="Arial"/>
          <w:sz w:val="20"/>
          <w:szCs w:val="20"/>
          <w:color w:val="auto"/>
        </w:rPr>
        <w:t>exercises of stock options or the surrender of shares to the Company in payment of the exercise price or in satisfaction of any tax withholding obligation, in each case in a manner permitted by the applicable stock option; provided, however, that the securities so acquired may not be sold (either outright or in connection with a “cashless” exercise transaction through a</w:t>
      </w:r>
    </w:p>
    <w:p>
      <w:pPr>
        <w:spacing w:after="0" w:line="227" w:lineRule="exact"/>
        <w:rPr>
          <w:sz w:val="20"/>
          <w:szCs w:val="20"/>
          <w:color w:val="auto"/>
        </w:rPr>
      </w:pPr>
    </w:p>
    <w:p>
      <w:pPr>
        <w:spacing w:after="0"/>
        <w:rPr>
          <w:sz w:val="20"/>
          <w:szCs w:val="20"/>
          <w:color w:val="auto"/>
        </w:rPr>
      </w:pPr>
      <w:r>
        <w:rPr>
          <w:rFonts w:ascii="Calibri" w:cs="Calibri" w:eastAsia="Calibri" w:hAnsi="Calibri"/>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659765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60" w:top="1333" w:right="459" w:bottom="1440" w:gutter="0" w:footer="0" w:header="0"/>
        </w:sectPr>
      </w:pPr>
    </w:p>
    <w:bookmarkStart w:id="183" w:name="page184"/>
    <w:bookmarkEnd w:id="183"/>
    <w:p>
      <w:pPr>
        <w:ind w:left="1940"/>
        <w:spacing w:after="0" w:line="257" w:lineRule="auto"/>
        <w:rPr>
          <w:sz w:val="20"/>
          <w:szCs w:val="20"/>
          <w:color w:val="auto"/>
        </w:rPr>
      </w:pPr>
      <w:r>
        <w:rPr>
          <w:rFonts w:ascii="Arial" w:cs="Arial" w:eastAsia="Arial" w:hAnsi="Arial"/>
          <w:sz w:val="20"/>
          <w:szCs w:val="20"/>
          <w:color w:val="auto"/>
        </w:rPr>
        <w:t>broker) during a Blackout Period or, if outside a Blackout Period, without receiving the approval of the Committee;</w:t>
      </w:r>
    </w:p>
    <w:p>
      <w:pPr>
        <w:spacing w:after="0" w:line="223" w:lineRule="exact"/>
        <w:rPr>
          <w:sz w:val="20"/>
          <w:szCs w:val="20"/>
          <w:color w:val="auto"/>
        </w:rPr>
      </w:pPr>
    </w:p>
    <w:p>
      <w:pPr>
        <w:jc w:val="both"/>
        <w:ind w:left="1940" w:hanging="475"/>
        <w:spacing w:after="0" w:line="233" w:lineRule="auto"/>
        <w:tabs>
          <w:tab w:leader="none" w:pos="1940" w:val="left"/>
        </w:tabs>
        <w:numPr>
          <w:ilvl w:val="1"/>
          <w:numId w:val="78"/>
        </w:numPr>
        <w:rPr>
          <w:rFonts w:ascii="Arial" w:cs="Arial" w:eastAsia="Arial" w:hAnsi="Arial"/>
          <w:sz w:val="20"/>
          <w:szCs w:val="20"/>
          <w:color w:val="auto"/>
        </w:rPr>
      </w:pPr>
      <w:r>
        <w:rPr>
          <w:rFonts w:ascii="Arial" w:cs="Arial" w:eastAsia="Arial" w:hAnsi="Arial"/>
          <w:sz w:val="20"/>
          <w:szCs w:val="20"/>
          <w:color w:val="auto"/>
        </w:rPr>
        <w:t>automatic sales of shares of the Company’s common stock through a Company-contracted service provider or broker to cover any taxes due as a result of the vesting of restricted stock or restricted stock units, where the amount of shares sold is based on the Insider’s taxable income, the market price of the common stock on the date that the restricted stock or restricted stock units vest (the “</w:t>
      </w:r>
      <w:r>
        <w:rPr>
          <w:rFonts w:ascii="Arial" w:cs="Arial" w:eastAsia="Arial" w:hAnsi="Arial"/>
          <w:sz w:val="20"/>
          <w:szCs w:val="20"/>
          <w:b w:val="1"/>
          <w:bCs w:val="1"/>
          <w:color w:val="auto"/>
        </w:rPr>
        <w:t>Vesting Date</w:t>
      </w:r>
      <w:r>
        <w:rPr>
          <w:rFonts w:ascii="Arial" w:cs="Arial" w:eastAsia="Arial" w:hAnsi="Arial"/>
          <w:sz w:val="20"/>
          <w:szCs w:val="20"/>
          <w:color w:val="auto"/>
        </w:rPr>
        <w:t>”), and the market price on the date of the sale, which date shall be as soon as possible after the Vesting Date;</w:t>
      </w:r>
    </w:p>
    <w:p>
      <w:pPr>
        <w:spacing w:after="0" w:line="199" w:lineRule="exact"/>
        <w:rPr>
          <w:rFonts w:ascii="Arial" w:cs="Arial" w:eastAsia="Arial" w:hAnsi="Arial"/>
          <w:sz w:val="20"/>
          <w:szCs w:val="20"/>
          <w:color w:val="auto"/>
        </w:rPr>
      </w:pPr>
    </w:p>
    <w:p>
      <w:pPr>
        <w:ind w:left="1940" w:hanging="475"/>
        <w:spacing w:after="0"/>
        <w:tabs>
          <w:tab w:leader="none" w:pos="1940" w:val="left"/>
        </w:tabs>
        <w:numPr>
          <w:ilvl w:val="1"/>
          <w:numId w:val="78"/>
        </w:numPr>
        <w:rPr>
          <w:rFonts w:ascii="Arial" w:cs="Arial" w:eastAsia="Arial" w:hAnsi="Arial"/>
          <w:sz w:val="20"/>
          <w:szCs w:val="20"/>
          <w:color w:val="auto"/>
        </w:rPr>
      </w:pPr>
      <w:r>
        <w:rPr>
          <w:rFonts w:ascii="Arial" w:cs="Arial" w:eastAsia="Arial" w:hAnsi="Arial"/>
          <w:sz w:val="20"/>
          <w:szCs w:val="20"/>
          <w:color w:val="auto"/>
        </w:rPr>
        <w:t>purchases or sales made pursuant to a 10b5-1 Plan;</w:t>
      </w:r>
    </w:p>
    <w:p>
      <w:pPr>
        <w:spacing w:after="0" w:line="229" w:lineRule="exact"/>
        <w:rPr>
          <w:rFonts w:ascii="Arial" w:cs="Arial" w:eastAsia="Arial" w:hAnsi="Arial"/>
          <w:sz w:val="20"/>
          <w:szCs w:val="20"/>
          <w:color w:val="auto"/>
        </w:rPr>
      </w:pPr>
    </w:p>
    <w:p>
      <w:pPr>
        <w:jc w:val="both"/>
        <w:ind w:left="1940" w:hanging="475"/>
        <w:spacing w:after="0" w:line="233" w:lineRule="auto"/>
        <w:tabs>
          <w:tab w:leader="none" w:pos="1940" w:val="left"/>
        </w:tabs>
        <w:numPr>
          <w:ilvl w:val="1"/>
          <w:numId w:val="78"/>
        </w:numPr>
        <w:rPr>
          <w:rFonts w:ascii="Arial" w:cs="Arial" w:eastAsia="Arial" w:hAnsi="Arial"/>
          <w:sz w:val="20"/>
          <w:szCs w:val="20"/>
          <w:color w:val="auto"/>
        </w:rPr>
      </w:pPr>
      <w:r>
        <w:rPr>
          <w:rFonts w:ascii="Arial" w:cs="Arial" w:eastAsia="Arial" w:hAnsi="Arial"/>
          <w:sz w:val="20"/>
          <w:szCs w:val="20"/>
          <w:color w:val="auto"/>
        </w:rPr>
        <w:t>bona fide gifts of securities; provided that whether a gift is truly bona fide will depend on the facts and circumstances surrounding each gift (</w:t>
      </w:r>
      <w:r>
        <w:rPr>
          <w:rFonts w:ascii="Arial" w:cs="Arial" w:eastAsia="Arial" w:hAnsi="Arial"/>
          <w:sz w:val="20"/>
          <w:szCs w:val="20"/>
          <w:i w:val="1"/>
          <w:iCs w:val="1"/>
          <w:color w:val="auto"/>
        </w:rPr>
        <w:t>i.e.</w:t>
      </w:r>
      <w:r>
        <w:rPr>
          <w:rFonts w:ascii="Arial" w:cs="Arial" w:eastAsia="Arial" w:hAnsi="Arial"/>
          <w:sz w:val="20"/>
          <w:szCs w:val="20"/>
          <w:color w:val="auto"/>
        </w:rPr>
        <w:t>, The more unrelated the donee is to the donor, the more likely the gift would be considered bona fide. For example, gifts to charities, churches, and service organizations would not be considered trading in Company securities. On the other hand, gifts to dependent children followed by a sale of the “gift” securities in close proximity to the time of the gift may imply some economic benefit to the donor and, therefore, make the gift not bona fide.); and</w:t>
      </w:r>
    </w:p>
    <w:p>
      <w:pPr>
        <w:spacing w:after="0" w:line="172" w:lineRule="exact"/>
        <w:rPr>
          <w:rFonts w:ascii="Arial" w:cs="Arial" w:eastAsia="Arial" w:hAnsi="Arial"/>
          <w:sz w:val="20"/>
          <w:szCs w:val="20"/>
          <w:color w:val="auto"/>
        </w:rPr>
      </w:pPr>
    </w:p>
    <w:p>
      <w:pPr>
        <w:ind w:left="1940" w:hanging="475"/>
        <w:spacing w:after="0"/>
        <w:tabs>
          <w:tab w:leader="none" w:pos="1940" w:val="left"/>
        </w:tabs>
        <w:numPr>
          <w:ilvl w:val="1"/>
          <w:numId w:val="78"/>
        </w:numPr>
        <w:rPr>
          <w:rFonts w:ascii="Arial" w:cs="Arial" w:eastAsia="Arial" w:hAnsi="Arial"/>
          <w:sz w:val="20"/>
          <w:szCs w:val="20"/>
          <w:color w:val="auto"/>
        </w:rPr>
      </w:pPr>
      <w:r>
        <w:rPr>
          <w:rFonts w:ascii="Arial" w:cs="Arial" w:eastAsia="Arial" w:hAnsi="Arial"/>
          <w:sz w:val="20"/>
          <w:szCs w:val="20"/>
          <w:color w:val="auto"/>
        </w:rPr>
        <w:t>any surrender of vested shares by pursuant to a final divorce decree and/or settlement agreement.</w:t>
      </w:r>
    </w:p>
    <w:p>
      <w:pPr>
        <w:spacing w:after="0" w:line="202" w:lineRule="exact"/>
        <w:rPr>
          <w:rFonts w:ascii="Arial" w:cs="Arial" w:eastAsia="Arial" w:hAnsi="Arial"/>
          <w:sz w:val="20"/>
          <w:szCs w:val="20"/>
          <w:color w:val="auto"/>
        </w:rPr>
      </w:pPr>
    </w:p>
    <w:p>
      <w:pPr>
        <w:ind w:left="1040" w:hanging="384"/>
        <w:spacing w:after="0"/>
        <w:tabs>
          <w:tab w:leader="none" w:pos="1040" w:val="left"/>
        </w:tabs>
        <w:numPr>
          <w:ilvl w:val="0"/>
          <w:numId w:val="79"/>
        </w:numPr>
        <w:rPr>
          <w:rFonts w:ascii="Arial" w:cs="Arial" w:eastAsia="Arial" w:hAnsi="Arial"/>
          <w:sz w:val="20"/>
          <w:szCs w:val="20"/>
          <w:color w:val="auto"/>
        </w:rPr>
      </w:pPr>
      <w:r>
        <w:rPr>
          <w:rFonts w:ascii="Arial" w:cs="Arial" w:eastAsia="Arial" w:hAnsi="Arial"/>
          <w:sz w:val="20"/>
          <w:szCs w:val="20"/>
          <w:color w:val="auto"/>
        </w:rPr>
        <w:t>Priority of Statutory or Regulatory Trading Restrictions.</w:t>
      </w:r>
    </w:p>
    <w:p>
      <w:pPr>
        <w:spacing w:after="0" w:line="269" w:lineRule="exact"/>
        <w:rPr>
          <w:rFonts w:ascii="Arial" w:cs="Arial" w:eastAsia="Arial" w:hAnsi="Arial"/>
          <w:sz w:val="20"/>
          <w:szCs w:val="20"/>
          <w:color w:val="auto"/>
        </w:rPr>
      </w:pPr>
    </w:p>
    <w:p>
      <w:pPr>
        <w:jc w:val="both"/>
        <w:ind w:left="1020" w:right="20"/>
        <w:spacing w:after="0" w:line="241" w:lineRule="auto"/>
        <w:rPr>
          <w:rFonts w:ascii="Arial" w:cs="Arial" w:eastAsia="Arial" w:hAnsi="Arial"/>
          <w:sz w:val="20"/>
          <w:szCs w:val="20"/>
          <w:color w:val="auto"/>
        </w:rPr>
      </w:pPr>
      <w:r>
        <w:rPr>
          <w:rFonts w:ascii="Arial" w:cs="Arial" w:eastAsia="Arial" w:hAnsi="Arial"/>
          <w:sz w:val="20"/>
          <w:szCs w:val="20"/>
          <w:color w:val="auto"/>
        </w:rPr>
        <w:t>The trading prohibitions and restrictions set forth in this Policy will be superseded by any more expansive prohibitions or restrictions prescribed by federal or state securities laws and regulations. Any Insider who is uncertain whether other prohibitions or restrictions apply should ask the Compliance Officer.</w:t>
      </w:r>
    </w:p>
    <w:p>
      <w:pPr>
        <w:spacing w:after="0" w:line="238" w:lineRule="exact"/>
        <w:rPr>
          <w:rFonts w:ascii="Arial" w:cs="Arial" w:eastAsia="Arial" w:hAnsi="Arial"/>
          <w:sz w:val="20"/>
          <w:szCs w:val="20"/>
          <w:color w:val="auto"/>
        </w:rPr>
      </w:pPr>
    </w:p>
    <w:p>
      <w:pPr>
        <w:ind w:left="1040" w:hanging="384"/>
        <w:spacing w:after="0"/>
        <w:tabs>
          <w:tab w:leader="none" w:pos="1040" w:val="left"/>
        </w:tabs>
        <w:numPr>
          <w:ilvl w:val="0"/>
          <w:numId w:val="79"/>
        </w:numPr>
        <w:rPr>
          <w:rFonts w:ascii="Arial" w:cs="Arial" w:eastAsia="Arial" w:hAnsi="Arial"/>
          <w:sz w:val="20"/>
          <w:szCs w:val="20"/>
          <w:color w:val="auto"/>
        </w:rPr>
      </w:pPr>
      <w:r>
        <w:rPr>
          <w:rFonts w:ascii="Arial" w:cs="Arial" w:eastAsia="Arial" w:hAnsi="Arial"/>
          <w:sz w:val="20"/>
          <w:szCs w:val="20"/>
          <w:color w:val="auto"/>
        </w:rPr>
        <w:t>Notification of Approved Trades After Execution.</w:t>
      </w:r>
    </w:p>
    <w:p>
      <w:pPr>
        <w:spacing w:after="0" w:line="269" w:lineRule="exact"/>
        <w:rPr>
          <w:rFonts w:ascii="Arial" w:cs="Arial" w:eastAsia="Arial" w:hAnsi="Arial"/>
          <w:sz w:val="20"/>
          <w:szCs w:val="20"/>
          <w:color w:val="auto"/>
        </w:rPr>
      </w:pPr>
    </w:p>
    <w:p>
      <w:pPr>
        <w:jc w:val="both"/>
        <w:ind w:left="1040"/>
        <w:spacing w:after="0" w:line="237" w:lineRule="auto"/>
        <w:rPr>
          <w:rFonts w:ascii="Arial" w:cs="Arial" w:eastAsia="Arial" w:hAnsi="Arial"/>
          <w:sz w:val="20"/>
          <w:szCs w:val="20"/>
          <w:color w:val="auto"/>
        </w:rPr>
      </w:pPr>
      <w:r>
        <w:rPr>
          <w:rFonts w:ascii="Arial" w:cs="Arial" w:eastAsia="Arial" w:hAnsi="Arial"/>
          <w:sz w:val="20"/>
          <w:szCs w:val="20"/>
          <w:color w:val="auto"/>
        </w:rPr>
        <w:t>Any Insider who is permitted to trade Company securities pursuant to any provision of this Section V must notify the Compliance Officer, by email and/or facsimile transmission, promptly upon the execution of such trade, but in no event later than the next business day after the execution of such trade. Such notice shall include all relevant details of such trade, including, but not limited to:</w:t>
      </w:r>
    </w:p>
    <w:p>
      <w:pPr>
        <w:spacing w:after="0" w:line="225" w:lineRule="exact"/>
        <w:rPr>
          <w:rFonts w:ascii="Arial" w:cs="Arial" w:eastAsia="Arial" w:hAnsi="Arial"/>
          <w:sz w:val="20"/>
          <w:szCs w:val="20"/>
          <w:color w:val="auto"/>
        </w:rPr>
      </w:pPr>
    </w:p>
    <w:p>
      <w:pPr>
        <w:ind w:left="1920" w:hanging="455"/>
        <w:spacing w:after="0"/>
        <w:tabs>
          <w:tab w:leader="none" w:pos="1920" w:val="left"/>
        </w:tabs>
        <w:numPr>
          <w:ilvl w:val="1"/>
          <w:numId w:val="79"/>
        </w:numPr>
        <w:rPr>
          <w:rFonts w:ascii="Arial" w:cs="Arial" w:eastAsia="Arial" w:hAnsi="Arial"/>
          <w:sz w:val="20"/>
          <w:szCs w:val="20"/>
          <w:color w:val="auto"/>
        </w:rPr>
      </w:pPr>
      <w:r>
        <w:rPr>
          <w:rFonts w:ascii="Arial" w:cs="Arial" w:eastAsia="Arial" w:hAnsi="Arial"/>
          <w:sz w:val="20"/>
          <w:szCs w:val="20"/>
          <w:color w:val="auto"/>
        </w:rPr>
        <w:t>the name of the entity in whose name the trade was made;</w:t>
      </w:r>
    </w:p>
    <w:p>
      <w:pPr>
        <w:spacing w:after="0" w:line="202" w:lineRule="exact"/>
        <w:rPr>
          <w:rFonts w:ascii="Arial" w:cs="Arial" w:eastAsia="Arial" w:hAnsi="Arial"/>
          <w:sz w:val="20"/>
          <w:szCs w:val="20"/>
          <w:color w:val="auto"/>
        </w:rPr>
      </w:pPr>
    </w:p>
    <w:p>
      <w:pPr>
        <w:ind w:left="1920" w:hanging="455"/>
        <w:spacing w:after="0"/>
        <w:tabs>
          <w:tab w:leader="none" w:pos="1920" w:val="left"/>
        </w:tabs>
        <w:numPr>
          <w:ilvl w:val="1"/>
          <w:numId w:val="79"/>
        </w:numPr>
        <w:rPr>
          <w:rFonts w:ascii="Arial" w:cs="Arial" w:eastAsia="Arial" w:hAnsi="Arial"/>
          <w:sz w:val="20"/>
          <w:szCs w:val="20"/>
          <w:color w:val="auto"/>
        </w:rPr>
      </w:pPr>
      <w:r>
        <w:rPr>
          <w:rFonts w:ascii="Arial" w:cs="Arial" w:eastAsia="Arial" w:hAnsi="Arial"/>
          <w:sz w:val="20"/>
          <w:szCs w:val="20"/>
          <w:color w:val="auto"/>
        </w:rPr>
        <w:t>the type and amount of securities subject to the trade;</w:t>
      </w:r>
    </w:p>
    <w:p>
      <w:pPr>
        <w:spacing w:after="0" w:line="202" w:lineRule="exact"/>
        <w:rPr>
          <w:rFonts w:ascii="Arial" w:cs="Arial" w:eastAsia="Arial" w:hAnsi="Arial"/>
          <w:sz w:val="20"/>
          <w:szCs w:val="20"/>
          <w:color w:val="auto"/>
        </w:rPr>
      </w:pPr>
    </w:p>
    <w:p>
      <w:pPr>
        <w:ind w:left="1920" w:hanging="455"/>
        <w:spacing w:after="0"/>
        <w:tabs>
          <w:tab w:leader="none" w:pos="1920" w:val="left"/>
        </w:tabs>
        <w:numPr>
          <w:ilvl w:val="1"/>
          <w:numId w:val="79"/>
        </w:numPr>
        <w:rPr>
          <w:rFonts w:ascii="Arial" w:cs="Arial" w:eastAsia="Arial" w:hAnsi="Arial"/>
          <w:sz w:val="20"/>
          <w:szCs w:val="20"/>
          <w:color w:val="auto"/>
        </w:rPr>
      </w:pPr>
      <w:r>
        <w:rPr>
          <w:rFonts w:ascii="Arial" w:cs="Arial" w:eastAsia="Arial" w:hAnsi="Arial"/>
          <w:sz w:val="20"/>
          <w:szCs w:val="20"/>
          <w:color w:val="auto"/>
        </w:rPr>
        <w:t>the price at which the securities were traded; and</w:t>
      </w:r>
    </w:p>
    <w:p>
      <w:pPr>
        <w:spacing w:after="0" w:line="202" w:lineRule="exact"/>
        <w:rPr>
          <w:rFonts w:ascii="Arial" w:cs="Arial" w:eastAsia="Arial" w:hAnsi="Arial"/>
          <w:sz w:val="20"/>
          <w:szCs w:val="20"/>
          <w:color w:val="auto"/>
        </w:rPr>
      </w:pPr>
    </w:p>
    <w:p>
      <w:pPr>
        <w:ind w:left="1920" w:hanging="455"/>
        <w:spacing w:after="0" w:line="257" w:lineRule="auto"/>
        <w:tabs>
          <w:tab w:leader="none" w:pos="1920" w:val="left"/>
        </w:tabs>
        <w:numPr>
          <w:ilvl w:val="1"/>
          <w:numId w:val="79"/>
        </w:numPr>
        <w:rPr>
          <w:rFonts w:ascii="Arial" w:cs="Arial" w:eastAsia="Arial" w:hAnsi="Arial"/>
          <w:sz w:val="20"/>
          <w:szCs w:val="20"/>
          <w:color w:val="auto"/>
        </w:rPr>
      </w:pPr>
      <w:r>
        <w:rPr>
          <w:rFonts w:ascii="Arial" w:cs="Arial" w:eastAsia="Arial" w:hAnsi="Arial"/>
          <w:sz w:val="20"/>
          <w:szCs w:val="20"/>
          <w:color w:val="auto"/>
        </w:rPr>
        <w:t>the new number of securities owned, directly or indirectly, by the Insider subsequent to the execution of the trade.</w:t>
      </w:r>
    </w:p>
    <w:p>
      <w:pPr>
        <w:spacing w:after="0" w:line="221"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20"/>
          <w:szCs w:val="20"/>
          <w:b w:val="1"/>
          <w:bCs w:val="1"/>
          <w:color w:val="auto"/>
        </w:rPr>
        <w:t>VI.</w:t>
      </w:r>
      <w:r>
        <w:rPr>
          <w:sz w:val="20"/>
          <w:szCs w:val="20"/>
          <w:color w:val="auto"/>
        </w:rPr>
        <w:tab/>
      </w:r>
      <w:r>
        <w:rPr>
          <w:rFonts w:ascii="Arial" w:cs="Arial" w:eastAsia="Arial" w:hAnsi="Arial"/>
          <w:sz w:val="20"/>
          <w:szCs w:val="20"/>
          <w:b w:val="1"/>
          <w:bCs w:val="1"/>
          <w:color w:val="auto"/>
        </w:rPr>
        <w:t>POTENTIAL CIVIL, CRIMINAL, AND DISCIPLINARY SANCTIONS</w:t>
      </w:r>
    </w:p>
    <w:p>
      <w:pPr>
        <w:spacing w:after="0" w:line="272" w:lineRule="exact"/>
        <w:rPr>
          <w:sz w:val="20"/>
          <w:szCs w:val="20"/>
          <w:color w:val="auto"/>
        </w:rPr>
      </w:pPr>
    </w:p>
    <w:p>
      <w:pPr>
        <w:spacing w:after="0"/>
        <w:rPr>
          <w:sz w:val="20"/>
          <w:szCs w:val="20"/>
          <w:color w:val="auto"/>
        </w:rPr>
      </w:pPr>
      <w:r>
        <w:rPr>
          <w:rFonts w:ascii="Calibri" w:cs="Calibri" w:eastAsia="Calibri" w:hAnsi="Calibri"/>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659765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60" w:top="1333" w:right="459" w:bottom="1440" w:gutter="0" w:footer="0" w:header="0"/>
        </w:sectPr>
      </w:pPr>
    </w:p>
    <w:bookmarkStart w:id="184" w:name="page185"/>
    <w:bookmarkEnd w:id="184"/>
    <w:p>
      <w:pPr>
        <w:spacing w:after="0" w:line="177" w:lineRule="exact"/>
        <w:rPr>
          <w:sz w:val="20"/>
          <w:szCs w:val="20"/>
          <w:color w:val="auto"/>
        </w:rPr>
      </w:pPr>
    </w:p>
    <w:p>
      <w:pPr>
        <w:ind w:left="1040" w:hanging="384"/>
        <w:spacing w:after="0"/>
        <w:tabs>
          <w:tab w:leader="none" w:pos="1040" w:val="left"/>
        </w:tabs>
        <w:numPr>
          <w:ilvl w:val="0"/>
          <w:numId w:val="80"/>
        </w:numPr>
        <w:rPr>
          <w:rFonts w:ascii="Arial" w:cs="Arial" w:eastAsia="Arial" w:hAnsi="Arial"/>
          <w:sz w:val="20"/>
          <w:szCs w:val="20"/>
          <w:color w:val="auto"/>
        </w:rPr>
      </w:pPr>
      <w:r>
        <w:rPr>
          <w:rFonts w:ascii="Arial" w:cs="Arial" w:eastAsia="Arial" w:hAnsi="Arial"/>
          <w:sz w:val="20"/>
          <w:szCs w:val="20"/>
          <w:color w:val="auto"/>
        </w:rPr>
        <w:t>Civil and Criminal Penalties.</w:t>
      </w:r>
    </w:p>
    <w:p>
      <w:pPr>
        <w:spacing w:after="0" w:line="269" w:lineRule="exact"/>
        <w:rPr>
          <w:rFonts w:ascii="Arial" w:cs="Arial" w:eastAsia="Arial" w:hAnsi="Arial"/>
          <w:sz w:val="20"/>
          <w:szCs w:val="20"/>
          <w:color w:val="auto"/>
        </w:rPr>
      </w:pPr>
    </w:p>
    <w:p>
      <w:pPr>
        <w:jc w:val="both"/>
        <w:ind w:left="1020" w:right="140"/>
        <w:spacing w:after="0" w:line="241" w:lineRule="auto"/>
        <w:rPr>
          <w:rFonts w:ascii="Arial" w:cs="Arial" w:eastAsia="Arial" w:hAnsi="Arial"/>
          <w:sz w:val="20"/>
          <w:szCs w:val="20"/>
          <w:color w:val="auto"/>
        </w:rPr>
      </w:pPr>
      <w:r>
        <w:rPr>
          <w:rFonts w:ascii="Arial" w:cs="Arial" w:eastAsia="Arial" w:hAnsi="Arial"/>
          <w:sz w:val="20"/>
          <w:szCs w:val="20"/>
          <w:color w:val="auto"/>
        </w:rPr>
        <w:t>The consequences of prohibited insider trading or tipping can be severe and can include significant fines and imprisonment. The Company and/or the supervisors of the person violating the rules may also face major civil and/or criminal penalties.</w:t>
      </w:r>
    </w:p>
    <w:p>
      <w:pPr>
        <w:spacing w:after="0" w:line="238" w:lineRule="exact"/>
        <w:rPr>
          <w:rFonts w:ascii="Arial" w:cs="Arial" w:eastAsia="Arial" w:hAnsi="Arial"/>
          <w:sz w:val="20"/>
          <w:szCs w:val="20"/>
          <w:color w:val="auto"/>
        </w:rPr>
      </w:pPr>
    </w:p>
    <w:p>
      <w:pPr>
        <w:ind w:left="1040" w:hanging="384"/>
        <w:spacing w:after="0"/>
        <w:tabs>
          <w:tab w:leader="none" w:pos="1040" w:val="left"/>
        </w:tabs>
        <w:numPr>
          <w:ilvl w:val="0"/>
          <w:numId w:val="80"/>
        </w:numPr>
        <w:rPr>
          <w:rFonts w:ascii="Arial" w:cs="Arial" w:eastAsia="Arial" w:hAnsi="Arial"/>
          <w:sz w:val="20"/>
          <w:szCs w:val="20"/>
          <w:color w:val="auto"/>
        </w:rPr>
      </w:pPr>
      <w:r>
        <w:rPr>
          <w:rFonts w:ascii="Arial" w:cs="Arial" w:eastAsia="Arial" w:hAnsi="Arial"/>
          <w:sz w:val="20"/>
          <w:szCs w:val="20"/>
          <w:color w:val="auto"/>
        </w:rPr>
        <w:t>Company Discipline.</w:t>
      </w:r>
    </w:p>
    <w:p>
      <w:pPr>
        <w:spacing w:after="0" w:line="269" w:lineRule="exact"/>
        <w:rPr>
          <w:rFonts w:ascii="Arial" w:cs="Arial" w:eastAsia="Arial" w:hAnsi="Arial"/>
          <w:sz w:val="20"/>
          <w:szCs w:val="20"/>
          <w:color w:val="auto"/>
        </w:rPr>
      </w:pPr>
    </w:p>
    <w:p>
      <w:pPr>
        <w:jc w:val="both"/>
        <w:ind w:left="1020" w:right="120"/>
        <w:spacing w:after="0" w:line="234" w:lineRule="auto"/>
        <w:rPr>
          <w:rFonts w:ascii="Arial" w:cs="Arial" w:eastAsia="Arial" w:hAnsi="Arial"/>
          <w:sz w:val="20"/>
          <w:szCs w:val="20"/>
          <w:color w:val="auto"/>
        </w:rPr>
      </w:pPr>
      <w:r>
        <w:rPr>
          <w:rFonts w:ascii="Arial" w:cs="Arial" w:eastAsia="Arial" w:hAnsi="Arial"/>
          <w:sz w:val="20"/>
          <w:szCs w:val="20"/>
          <w:color w:val="auto"/>
        </w:rPr>
        <w:t>Violation of this Policy or federal or state insider trading or tipping laws by any director, officer, or employee, or their family members, or by any corporation, partnerships, trust, or other entity owned or controlled by any of the foregoing persons, or any Applicable Trust or Applicable Corporation, may subject the director to dismissal proceedings and the officer or employee to disciplinary action by the Company up to and including termination for cause.</w:t>
      </w:r>
    </w:p>
    <w:p>
      <w:pPr>
        <w:spacing w:after="0" w:line="242" w:lineRule="exact"/>
        <w:rPr>
          <w:rFonts w:ascii="Arial" w:cs="Arial" w:eastAsia="Arial" w:hAnsi="Arial"/>
          <w:sz w:val="20"/>
          <w:szCs w:val="20"/>
          <w:color w:val="auto"/>
        </w:rPr>
      </w:pPr>
    </w:p>
    <w:p>
      <w:pPr>
        <w:ind w:left="1100" w:hanging="444"/>
        <w:spacing w:after="0"/>
        <w:tabs>
          <w:tab w:leader="none" w:pos="1100" w:val="left"/>
        </w:tabs>
        <w:numPr>
          <w:ilvl w:val="0"/>
          <w:numId w:val="80"/>
        </w:numPr>
        <w:rPr>
          <w:rFonts w:ascii="Arial" w:cs="Arial" w:eastAsia="Arial" w:hAnsi="Arial"/>
          <w:sz w:val="20"/>
          <w:szCs w:val="20"/>
          <w:color w:val="auto"/>
        </w:rPr>
      </w:pPr>
      <w:r>
        <w:rPr>
          <w:rFonts w:ascii="Arial" w:cs="Arial" w:eastAsia="Arial" w:hAnsi="Arial"/>
          <w:sz w:val="20"/>
          <w:szCs w:val="20"/>
          <w:color w:val="auto"/>
        </w:rPr>
        <w:t>Reporting of Violations.</w:t>
      </w:r>
    </w:p>
    <w:p>
      <w:pPr>
        <w:spacing w:after="0" w:line="202" w:lineRule="exact"/>
        <w:rPr>
          <w:sz w:val="20"/>
          <w:szCs w:val="20"/>
          <w:color w:val="auto"/>
        </w:rPr>
      </w:pPr>
    </w:p>
    <w:p>
      <w:pPr>
        <w:jc w:val="both"/>
        <w:ind w:left="1120" w:right="120"/>
        <w:spacing w:after="0" w:line="233" w:lineRule="auto"/>
        <w:rPr>
          <w:sz w:val="20"/>
          <w:szCs w:val="20"/>
          <w:color w:val="auto"/>
        </w:rPr>
      </w:pPr>
      <w:r>
        <w:rPr>
          <w:rFonts w:ascii="Arial" w:cs="Arial" w:eastAsia="Arial" w:hAnsi="Arial"/>
          <w:sz w:val="20"/>
          <w:szCs w:val="20"/>
          <w:color w:val="auto"/>
        </w:rPr>
        <w:t>Any Insider who violates this Policy, the Reg FD Policy, or any federal or state laws governing insider trading or tipping, or knows of such violation by any other Insiders, must report the violation immediately to the Compliance Officer. Upon learning of any such violation, the Compliance Officer, in consultation with the other Committee member and the Company’s outside legal counsel, will determine whether the Company should release any material nonpublic information or whether the Company should report the violation to the SEC, Nasdaq, or other appropriate regulatory authority.</w:t>
      </w:r>
    </w:p>
    <w:p>
      <w:pPr>
        <w:spacing w:after="0" w:line="157" w:lineRule="exact"/>
        <w:rPr>
          <w:sz w:val="20"/>
          <w:szCs w:val="20"/>
          <w:color w:val="auto"/>
        </w:rPr>
      </w:pPr>
    </w:p>
    <w:p>
      <w:pPr>
        <w:ind w:left="80"/>
        <w:spacing w:after="0"/>
        <w:tabs>
          <w:tab w:leader="none" w:pos="780" w:val="left"/>
        </w:tabs>
        <w:rPr>
          <w:sz w:val="20"/>
          <w:szCs w:val="20"/>
          <w:color w:val="auto"/>
        </w:rPr>
      </w:pPr>
      <w:r>
        <w:rPr>
          <w:rFonts w:ascii="Arial" w:cs="Arial" w:eastAsia="Arial" w:hAnsi="Arial"/>
          <w:sz w:val="20"/>
          <w:szCs w:val="20"/>
          <w:b w:val="1"/>
          <w:bCs w:val="1"/>
          <w:color w:val="auto"/>
        </w:rPr>
        <w:t>VII.</w:t>
      </w:r>
      <w:r>
        <w:rPr>
          <w:sz w:val="20"/>
          <w:szCs w:val="20"/>
          <w:color w:val="auto"/>
        </w:rPr>
        <w:tab/>
      </w:r>
      <w:r>
        <w:rPr>
          <w:rFonts w:ascii="Arial" w:cs="Arial" w:eastAsia="Arial" w:hAnsi="Arial"/>
          <w:sz w:val="20"/>
          <w:szCs w:val="20"/>
          <w:b w:val="1"/>
          <w:bCs w:val="1"/>
          <w:color w:val="auto"/>
        </w:rPr>
        <w:t>INQUIRIES.</w:t>
      </w:r>
    </w:p>
    <w:p>
      <w:pPr>
        <w:spacing w:after="0" w:line="272" w:lineRule="exact"/>
        <w:rPr>
          <w:sz w:val="20"/>
          <w:szCs w:val="20"/>
          <w:color w:val="auto"/>
        </w:rPr>
      </w:pPr>
    </w:p>
    <w:p>
      <w:pPr>
        <w:ind w:left="720"/>
        <w:spacing w:after="0" w:line="257" w:lineRule="auto"/>
        <w:rPr>
          <w:sz w:val="20"/>
          <w:szCs w:val="20"/>
          <w:color w:val="auto"/>
        </w:rPr>
      </w:pPr>
      <w:r>
        <w:rPr>
          <w:rFonts w:ascii="Arial" w:cs="Arial" w:eastAsia="Arial" w:hAnsi="Arial"/>
          <w:sz w:val="20"/>
          <w:szCs w:val="20"/>
          <w:color w:val="auto"/>
        </w:rPr>
        <w:t>Please direct all inquiries regarding this Policy to Nick Pizzie, Chief Financial Officer of the Company, or Hunter Murdock, General Counsel of the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alibri" w:cs="Calibri" w:eastAsia="Calibri" w:hAnsi="Calibri"/>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659765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440"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21.1</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Subsidiaries of the Company</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2280" w:type="dxa"/>
            <w:vAlign w:val="bottom"/>
            <w:tcBorders>
              <w:top w:val="single" w:sz="8" w:color="auto"/>
              <w:left w:val="single" w:sz="8" w:color="auto"/>
              <w:right w:val="single" w:sz="8" w:color="auto"/>
            </w:tcBorders>
            <w:gridSpan w:val="3"/>
          </w:tcPr>
          <w:p>
            <w:pPr>
              <w:ind w:left="120"/>
              <w:spacing w:after="0" w:line="192" w:lineRule="exact"/>
              <w:rPr>
                <w:sz w:val="20"/>
                <w:szCs w:val="20"/>
                <w:color w:val="auto"/>
              </w:rPr>
            </w:pPr>
            <w:r>
              <w:rPr>
                <w:rFonts w:ascii="Times New Roman" w:cs="Times New Roman" w:eastAsia="Times New Roman" w:hAnsi="Times New Roman"/>
                <w:sz w:val="18"/>
                <w:szCs w:val="18"/>
                <w:b w:val="1"/>
                <w:bCs w:val="1"/>
                <w:color w:val="auto"/>
              </w:rPr>
              <w:t>Name</w:t>
            </w:r>
          </w:p>
        </w:tc>
        <w:tc>
          <w:tcPr>
            <w:tcW w:w="2220" w:type="dxa"/>
            <w:vAlign w:val="bottom"/>
            <w:tcBorders>
              <w:top w:val="single" w:sz="8" w:color="auto"/>
              <w:right w:val="single" w:sz="8" w:color="auto"/>
            </w:tcBorders>
            <w:gridSpan w:val="3"/>
          </w:tcPr>
          <w:p>
            <w:pPr>
              <w:ind w:left="80"/>
              <w:spacing w:after="0" w:line="192" w:lineRule="exact"/>
              <w:rPr>
                <w:sz w:val="20"/>
                <w:szCs w:val="20"/>
                <w:color w:val="auto"/>
              </w:rPr>
            </w:pPr>
            <w:r>
              <w:rPr>
                <w:rFonts w:ascii="Times New Roman" w:cs="Times New Roman" w:eastAsia="Times New Roman" w:hAnsi="Times New Roman"/>
                <w:sz w:val="18"/>
                <w:szCs w:val="18"/>
                <w:b w:val="1"/>
                <w:bCs w:val="1"/>
                <w:color w:val="auto"/>
              </w:rPr>
              <w:t>Jurisdiction</w:t>
            </w:r>
          </w:p>
        </w:tc>
        <w:tc>
          <w:tcPr>
            <w:tcW w:w="6740" w:type="dxa"/>
            <w:vAlign w:val="bottom"/>
          </w:tcPr>
          <w:p>
            <w:pPr>
              <w:spacing w:after="0"/>
              <w:rPr>
                <w:sz w:val="16"/>
                <w:szCs w:val="16"/>
                <w:color w:val="auto"/>
              </w:rPr>
            </w:pPr>
          </w:p>
        </w:tc>
      </w:tr>
      <w:tr>
        <w:trPr>
          <w:trHeight w:val="71"/>
        </w:trPr>
        <w:tc>
          <w:tcPr>
            <w:tcW w:w="12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20" w:type="dxa"/>
            <w:vAlign w:val="bottom"/>
            <w:tcBorders>
              <w:top w:val="single" w:sz="8" w:color="auto"/>
              <w:bottom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6740" w:type="dxa"/>
            <w:vAlign w:val="bottom"/>
          </w:tcPr>
          <w:p>
            <w:pPr>
              <w:spacing w:after="0"/>
              <w:rPr>
                <w:sz w:val="6"/>
                <w:szCs w:val="6"/>
                <w:color w:val="auto"/>
              </w:rPr>
            </w:pPr>
          </w:p>
        </w:tc>
      </w:tr>
      <w:tr>
        <w:trPr>
          <w:trHeight w:val="154"/>
        </w:trPr>
        <w:tc>
          <w:tcPr>
            <w:tcW w:w="2280" w:type="dxa"/>
            <w:vAlign w:val="bottom"/>
            <w:tcBorders>
              <w:left w:val="single" w:sz="8" w:color="auto"/>
              <w:right w:val="single" w:sz="8" w:color="auto"/>
            </w:tcBorders>
            <w:gridSpan w:val="3"/>
          </w:tcPr>
          <w:p>
            <w:pPr>
              <w:ind w:left="120"/>
              <w:spacing w:after="0" w:line="154" w:lineRule="exact"/>
              <w:rPr>
                <w:sz w:val="20"/>
                <w:szCs w:val="20"/>
                <w:color w:val="auto"/>
              </w:rPr>
            </w:pPr>
            <w:r>
              <w:rPr>
                <w:rFonts w:ascii="Times New Roman" w:cs="Times New Roman" w:eastAsia="Times New Roman" w:hAnsi="Times New Roman"/>
                <w:sz w:val="17"/>
                <w:szCs w:val="17"/>
                <w:color w:val="auto"/>
              </w:rPr>
              <w:t>Axsome Therapeutics</w:t>
            </w:r>
          </w:p>
        </w:tc>
        <w:tc>
          <w:tcPr>
            <w:tcW w:w="2220" w:type="dxa"/>
            <w:vAlign w:val="bottom"/>
            <w:tcBorders>
              <w:right w:val="single" w:sz="8" w:color="auto"/>
            </w:tcBorders>
            <w:gridSpan w:val="3"/>
          </w:tcPr>
          <w:p>
            <w:pPr>
              <w:ind w:left="80"/>
              <w:spacing w:after="0" w:line="154" w:lineRule="exact"/>
              <w:rPr>
                <w:sz w:val="20"/>
                <w:szCs w:val="20"/>
                <w:color w:val="auto"/>
              </w:rPr>
            </w:pPr>
            <w:r>
              <w:rPr>
                <w:rFonts w:ascii="Times New Roman" w:cs="Times New Roman" w:eastAsia="Times New Roman" w:hAnsi="Times New Roman"/>
                <w:sz w:val="17"/>
                <w:szCs w:val="17"/>
                <w:color w:val="auto"/>
              </w:rPr>
              <w:t>Australia</w:t>
            </w:r>
          </w:p>
        </w:tc>
        <w:tc>
          <w:tcPr>
            <w:tcW w:w="6740" w:type="dxa"/>
            <w:vAlign w:val="bottom"/>
          </w:tcPr>
          <w:p>
            <w:pPr>
              <w:spacing w:after="0"/>
              <w:rPr>
                <w:sz w:val="13"/>
                <w:szCs w:val="13"/>
                <w:color w:val="auto"/>
              </w:rPr>
            </w:pPr>
          </w:p>
        </w:tc>
      </w:tr>
      <w:tr>
        <w:trPr>
          <w:trHeight w:val="234"/>
        </w:trPr>
        <w:tc>
          <w:tcPr>
            <w:tcW w:w="228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Australia Pty Ltd</w:t>
            </w: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6740" w:type="dxa"/>
            <w:vAlign w:val="bottom"/>
          </w:tcPr>
          <w:p>
            <w:pPr>
              <w:spacing w:after="0"/>
              <w:rPr>
                <w:sz w:val="20"/>
                <w:szCs w:val="20"/>
                <w:color w:val="auto"/>
              </w:rPr>
            </w:pPr>
          </w:p>
        </w:tc>
      </w:tr>
      <w:tr>
        <w:trPr>
          <w:trHeight w:val="191"/>
        </w:trPr>
        <w:tc>
          <w:tcPr>
            <w:tcW w:w="2280" w:type="dxa"/>
            <w:vAlign w:val="bottom"/>
            <w:tcBorders>
              <w:left w:val="single" w:sz="8" w:color="auto"/>
              <w:right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Axsome Therapeutics,</w:t>
            </w:r>
          </w:p>
        </w:tc>
        <w:tc>
          <w:tcPr>
            <w:tcW w:w="222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Ireland</w:t>
            </w:r>
          </w:p>
        </w:tc>
        <w:tc>
          <w:tcPr>
            <w:tcW w:w="6740" w:type="dxa"/>
            <w:vAlign w:val="bottom"/>
          </w:tcPr>
          <w:p>
            <w:pPr>
              <w:spacing w:after="0"/>
              <w:rPr>
                <w:sz w:val="16"/>
                <w:szCs w:val="16"/>
                <w:color w:val="auto"/>
              </w:rPr>
            </w:pPr>
          </w:p>
        </w:tc>
      </w:tr>
      <w:tr>
        <w:trPr>
          <w:trHeight w:val="234"/>
        </w:trPr>
        <w:tc>
          <w:tcPr>
            <w:tcW w:w="228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Limited</w:t>
            </w: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6740" w:type="dxa"/>
            <w:vAlign w:val="bottom"/>
          </w:tcPr>
          <w:p>
            <w:pPr>
              <w:spacing w:after="0"/>
              <w:rPr>
                <w:sz w:val="20"/>
                <w:szCs w:val="20"/>
                <w:color w:val="auto"/>
              </w:rPr>
            </w:pPr>
          </w:p>
        </w:tc>
      </w:tr>
      <w:tr>
        <w:trPr>
          <w:trHeight w:val="191"/>
        </w:trPr>
        <w:tc>
          <w:tcPr>
            <w:tcW w:w="2280" w:type="dxa"/>
            <w:vAlign w:val="bottom"/>
            <w:tcBorders>
              <w:left w:val="single" w:sz="8" w:color="auto"/>
              <w:right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Axsome International</w:t>
            </w:r>
          </w:p>
        </w:tc>
        <w:tc>
          <w:tcPr>
            <w:tcW w:w="222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Delaware</w:t>
            </w:r>
          </w:p>
        </w:tc>
        <w:tc>
          <w:tcPr>
            <w:tcW w:w="6740" w:type="dxa"/>
            <w:vAlign w:val="bottom"/>
          </w:tcPr>
          <w:p>
            <w:pPr>
              <w:spacing w:after="0"/>
              <w:rPr>
                <w:sz w:val="16"/>
                <w:szCs w:val="16"/>
                <w:color w:val="auto"/>
              </w:rPr>
            </w:pPr>
          </w:p>
        </w:tc>
      </w:tr>
      <w:tr>
        <w:trPr>
          <w:trHeight w:val="234"/>
        </w:trPr>
        <w:tc>
          <w:tcPr>
            <w:tcW w:w="228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Holdings LLC</w:t>
            </w: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6740" w:type="dxa"/>
            <w:vAlign w:val="bottom"/>
          </w:tcPr>
          <w:p>
            <w:pPr>
              <w:spacing w:after="0"/>
              <w:rPr>
                <w:sz w:val="20"/>
                <w:szCs w:val="20"/>
                <w:color w:val="auto"/>
              </w:rPr>
            </w:pPr>
          </w:p>
        </w:tc>
      </w:tr>
      <w:tr>
        <w:trPr>
          <w:trHeight w:val="191"/>
        </w:trPr>
        <w:tc>
          <w:tcPr>
            <w:tcW w:w="2280" w:type="dxa"/>
            <w:vAlign w:val="bottom"/>
            <w:tcBorders>
              <w:left w:val="single" w:sz="8" w:color="auto"/>
              <w:right w:val="single" w:sz="8" w:color="auto"/>
            </w:tcBorders>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Axsome Malta Holdings</w:t>
            </w:r>
          </w:p>
        </w:tc>
        <w:tc>
          <w:tcPr>
            <w:tcW w:w="222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Malta</w:t>
            </w:r>
          </w:p>
        </w:tc>
        <w:tc>
          <w:tcPr>
            <w:tcW w:w="6740" w:type="dxa"/>
            <w:vAlign w:val="bottom"/>
          </w:tcPr>
          <w:p>
            <w:pPr>
              <w:spacing w:after="0"/>
              <w:rPr>
                <w:sz w:val="16"/>
                <w:szCs w:val="16"/>
                <w:color w:val="auto"/>
              </w:rPr>
            </w:pPr>
          </w:p>
        </w:tc>
      </w:tr>
      <w:tr>
        <w:trPr>
          <w:trHeight w:val="234"/>
        </w:trPr>
        <w:tc>
          <w:tcPr>
            <w:tcW w:w="228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Ltd.</w:t>
            </w: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6740" w:type="dxa"/>
            <w:vAlign w:val="bottom"/>
          </w:tcPr>
          <w:p>
            <w:pPr>
              <w:spacing w:after="0"/>
              <w:rPr>
                <w:sz w:val="20"/>
                <w:szCs w:val="20"/>
                <w:color w:val="auto"/>
              </w:rPr>
            </w:pPr>
          </w:p>
        </w:tc>
      </w:tr>
      <w:tr>
        <w:trPr>
          <w:trHeight w:val="209"/>
        </w:trPr>
        <w:tc>
          <w:tcPr>
            <w:tcW w:w="228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Axsome Malta Ltd.</w:t>
            </w:r>
          </w:p>
        </w:tc>
        <w:tc>
          <w:tcPr>
            <w:tcW w:w="222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Malta</w:t>
            </w:r>
          </w:p>
        </w:tc>
        <w:tc>
          <w:tcPr>
            <w:tcW w:w="6740" w:type="dxa"/>
            <w:vAlign w:val="bottom"/>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Axsome Canada, Inc.</w:t>
            </w:r>
          </w:p>
        </w:tc>
        <w:tc>
          <w:tcPr>
            <w:tcW w:w="222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Canada</w:t>
            </w:r>
          </w:p>
        </w:tc>
        <w:tc>
          <w:tcPr>
            <w:tcW w:w="6740" w:type="dxa"/>
            <w:vAlign w:val="bottom"/>
          </w:tcPr>
          <w:p>
            <w:pPr>
              <w:spacing w:after="0"/>
              <w:rPr>
                <w:sz w:val="18"/>
                <w:szCs w:val="18"/>
                <w:color w:val="auto"/>
              </w:rPr>
            </w:pPr>
          </w:p>
        </w:tc>
      </w:tr>
      <w:tr>
        <w:trPr>
          <w:trHeight w:val="973"/>
        </w:trPr>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6" w:name="page187"/>
    <w:bookmarkEnd w:id="186"/>
    <w:p>
      <w:pPr>
        <w:spacing w:after="0" w:line="289"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3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We consent to the incorporation by reference in Registration Statement No. 333-268664 on Form S-3 and Registration Statement Nos. 333-217002, 333-208579, 333-230296, 333-226824, 333-238174, 333-256019, 333-264621, 333-271741, 333-272891, and 333-281249 on Form S-8 of our reports dated February 18, 2025, relating to the financial statements of Axsome Therapeutics, Inc. and the effectiveness of Axsome Therapeutics, Inc.'s internal control over financial reporting appearing in this Annual Report on Form 10-K for the year ended December 31,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Deloitte &amp; Touche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Morristown, New Jersey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289"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consent to the incorporation by reference in the Registration Statements on:</w:t>
      </w:r>
    </w:p>
    <w:p>
      <w:pPr>
        <w:spacing w:after="0" w:line="233" w:lineRule="exact"/>
        <w:rPr>
          <w:sz w:val="20"/>
          <w:szCs w:val="20"/>
          <w:color w:val="auto"/>
        </w:rPr>
      </w:pPr>
    </w:p>
    <w:p>
      <w:pPr>
        <w:ind w:left="760" w:hanging="378"/>
        <w:spacing w:after="0"/>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S-8 (No. 333-217002);</w:t>
      </w:r>
    </w:p>
    <w:p>
      <w:pPr>
        <w:spacing w:after="0" w:line="14"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S-8 (No. 333-208579);</w:t>
      </w:r>
    </w:p>
    <w:p>
      <w:pPr>
        <w:ind w:left="760" w:hanging="378"/>
        <w:spacing w:after="0" w:line="230" w:lineRule="auto"/>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S-8 (No. 333-230296);</w:t>
      </w:r>
    </w:p>
    <w:p>
      <w:pPr>
        <w:ind w:left="760" w:hanging="378"/>
        <w:spacing w:after="0" w:line="230" w:lineRule="auto"/>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S-8 (No. 333-226824);</w:t>
      </w:r>
    </w:p>
    <w:p>
      <w:pPr>
        <w:ind w:left="760" w:hanging="378"/>
        <w:spacing w:after="0" w:line="230" w:lineRule="auto"/>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S-8 (No. 333-238174);</w:t>
      </w:r>
    </w:p>
    <w:p>
      <w:pPr>
        <w:ind w:left="760" w:hanging="378"/>
        <w:spacing w:after="0" w:line="230" w:lineRule="auto"/>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S-8 (No. 333-256019);</w:t>
      </w:r>
    </w:p>
    <w:p>
      <w:pPr>
        <w:ind w:left="760" w:hanging="378"/>
        <w:spacing w:after="0" w:line="230" w:lineRule="auto"/>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S-8 (No. 333-264621);</w:t>
      </w:r>
    </w:p>
    <w:p>
      <w:pPr>
        <w:ind w:left="760" w:hanging="378"/>
        <w:spacing w:after="0" w:line="230" w:lineRule="auto"/>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S-8 (No. 333-271741);</w:t>
      </w:r>
    </w:p>
    <w:p>
      <w:pPr>
        <w:ind w:left="760" w:hanging="378"/>
        <w:spacing w:after="0" w:line="230" w:lineRule="auto"/>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S-8 (No. 333-272891);</w:t>
      </w:r>
    </w:p>
    <w:p>
      <w:pPr>
        <w:ind w:left="760" w:hanging="378"/>
        <w:spacing w:after="0" w:line="230" w:lineRule="auto"/>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S-8 (No. 333-281249); and</w:t>
      </w:r>
    </w:p>
    <w:p>
      <w:pPr>
        <w:ind w:left="760" w:hanging="378"/>
        <w:spacing w:after="0"/>
        <w:tabs>
          <w:tab w:leader="none" w:pos="7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S-3 (No. 333-268664).</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of our report dated February 27, 2023, with respect to the consolidated financial statements of Axsome Therapeutics, Inc., included in this Annual Report (Form 10-K) of Axsome Therapeutics, Inc. for the year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18,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1285875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Herriot Tabuteau, certify that:</w:t>
      </w:r>
    </w:p>
    <w:p>
      <w:pPr>
        <w:spacing w:after="0" w:line="225" w:lineRule="exact"/>
        <w:rPr>
          <w:sz w:val="20"/>
          <w:szCs w:val="20"/>
          <w:color w:val="auto"/>
        </w:rPr>
      </w:pPr>
    </w:p>
    <w:p>
      <w:pPr>
        <w:ind w:left="220" w:hanging="212"/>
        <w:spacing w:after="0"/>
        <w:tabs>
          <w:tab w:leader="none" w:pos="2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Axsome Therapeutics, Inc.;</w:t>
      </w:r>
    </w:p>
    <w:p>
      <w:pPr>
        <w:spacing w:after="0" w:line="225" w:lineRule="exact"/>
        <w:rPr>
          <w:rFonts w:ascii="Times New Roman" w:cs="Times New Roman" w:eastAsia="Times New Roman" w:hAnsi="Times New Roman"/>
          <w:sz w:val="18"/>
          <w:szCs w:val="18"/>
          <w:color w:val="auto"/>
        </w:rPr>
      </w:pPr>
    </w:p>
    <w:p>
      <w:pPr>
        <w:ind w:left="320" w:right="480" w:hanging="312"/>
        <w:spacing w:after="0" w:line="266" w:lineRule="auto"/>
        <w:tabs>
          <w:tab w:leader="none" w:pos="22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20" w:right="520" w:hanging="312"/>
        <w:spacing w:after="0" w:line="282" w:lineRule="auto"/>
        <w:tabs>
          <w:tab w:leader="none" w:pos="22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20" w:right="20" w:hanging="312"/>
        <w:spacing w:after="0" w:line="266" w:lineRule="auto"/>
        <w:tabs>
          <w:tab w:leader="none" w:pos="22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80" w:right="260" w:hanging="458"/>
        <w:spacing w:after="0" w:line="266" w:lineRule="auto"/>
        <w:tabs>
          <w:tab w:leader="none" w:pos="7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80" w:right="580" w:hanging="458"/>
        <w:spacing w:after="0" w:line="266" w:lineRule="auto"/>
        <w:tabs>
          <w:tab w:leader="none" w:pos="78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80" w:hanging="458"/>
        <w:spacing w:after="0" w:line="282" w:lineRule="auto"/>
        <w:tabs>
          <w:tab w:leader="none" w:pos="54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780" w:right="40" w:hanging="458"/>
        <w:spacing w:after="0" w:line="266" w:lineRule="auto"/>
        <w:tabs>
          <w:tab w:leader="none" w:pos="54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20" w:right="420" w:hanging="312"/>
        <w:spacing w:after="0" w:line="282" w:lineRule="auto"/>
        <w:tabs>
          <w:tab w:leader="none" w:pos="22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80" w:right="400" w:hanging="458"/>
        <w:spacing w:after="0" w:line="282" w:lineRule="auto"/>
        <w:tabs>
          <w:tab w:leader="none" w:pos="54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80" w:right="340" w:hanging="458"/>
        <w:spacing w:after="0" w:line="282" w:lineRule="auto"/>
        <w:tabs>
          <w:tab w:leader="none" w:pos="54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18, 2025</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1"/>
        </w:trPr>
        <w:tc>
          <w:tcPr>
            <w:tcW w:w="5620" w:type="dxa"/>
            <w:vAlign w:val="bottom"/>
          </w:tcPr>
          <w:p>
            <w:pPr>
              <w:spacing w:after="0"/>
              <w:rPr>
                <w:sz w:val="16"/>
                <w:szCs w:val="16"/>
                <w:color w:val="auto"/>
              </w:rPr>
            </w:pPr>
          </w:p>
        </w:tc>
        <w:tc>
          <w:tcPr>
            <w:tcW w:w="56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16"/>
        </w:trPr>
        <w:tc>
          <w:tcPr>
            <w:tcW w:w="562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479"/>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Nick Pizzie, certify that:</w:t>
      </w:r>
    </w:p>
    <w:p>
      <w:pPr>
        <w:spacing w:after="0" w:line="225" w:lineRule="exact"/>
        <w:rPr>
          <w:sz w:val="20"/>
          <w:szCs w:val="20"/>
          <w:color w:val="auto"/>
        </w:rPr>
      </w:pPr>
    </w:p>
    <w:p>
      <w:pPr>
        <w:ind w:left="220" w:hanging="212"/>
        <w:spacing w:after="0"/>
        <w:tabs>
          <w:tab w:leader="none" w:pos="2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Axsome Therapeutics, Inc.;</w:t>
      </w:r>
    </w:p>
    <w:p>
      <w:pPr>
        <w:spacing w:after="0" w:line="225" w:lineRule="exact"/>
        <w:rPr>
          <w:rFonts w:ascii="Times New Roman" w:cs="Times New Roman" w:eastAsia="Times New Roman" w:hAnsi="Times New Roman"/>
          <w:sz w:val="18"/>
          <w:szCs w:val="18"/>
          <w:color w:val="auto"/>
        </w:rPr>
      </w:pPr>
    </w:p>
    <w:p>
      <w:pPr>
        <w:ind w:left="320" w:right="480" w:hanging="312"/>
        <w:spacing w:after="0" w:line="266" w:lineRule="auto"/>
        <w:tabs>
          <w:tab w:leader="none" w:pos="22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20" w:right="520" w:hanging="312"/>
        <w:spacing w:after="0" w:line="282" w:lineRule="auto"/>
        <w:tabs>
          <w:tab w:leader="none" w:pos="22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20" w:right="20" w:hanging="312"/>
        <w:spacing w:after="0" w:line="266" w:lineRule="auto"/>
        <w:tabs>
          <w:tab w:leader="none" w:pos="22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80" w:right="260" w:hanging="458"/>
        <w:spacing w:after="0" w:line="266" w:lineRule="auto"/>
        <w:tabs>
          <w:tab w:leader="none" w:pos="7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80" w:right="580" w:hanging="458"/>
        <w:spacing w:after="0" w:line="266" w:lineRule="auto"/>
        <w:tabs>
          <w:tab w:leader="none" w:pos="7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80" w:hanging="458"/>
        <w:spacing w:after="0" w:line="282" w:lineRule="auto"/>
        <w:tabs>
          <w:tab w:leader="none" w:pos="54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780" w:right="40" w:hanging="458"/>
        <w:spacing w:after="0" w:line="266" w:lineRule="auto"/>
        <w:tabs>
          <w:tab w:leader="none" w:pos="54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20" w:right="420" w:hanging="312"/>
        <w:spacing w:after="0" w:line="282" w:lineRule="auto"/>
        <w:tabs>
          <w:tab w:leader="none" w:pos="22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80" w:right="400" w:hanging="458"/>
        <w:spacing w:after="0" w:line="282" w:lineRule="auto"/>
        <w:tabs>
          <w:tab w:leader="none" w:pos="54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80" w:right="340" w:hanging="458"/>
        <w:spacing w:after="0" w:line="282" w:lineRule="auto"/>
        <w:tabs>
          <w:tab w:leader="none" w:pos="54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18, 2025</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Nick Pizzie</w:t>
            </w:r>
          </w:p>
        </w:tc>
      </w:tr>
      <w:tr>
        <w:trPr>
          <w:trHeight w:val="191"/>
        </w:trPr>
        <w:tc>
          <w:tcPr>
            <w:tcW w:w="5620" w:type="dxa"/>
            <w:vAlign w:val="bottom"/>
          </w:tcPr>
          <w:p>
            <w:pPr>
              <w:spacing w:after="0"/>
              <w:rPr>
                <w:sz w:val="16"/>
                <w:szCs w:val="16"/>
                <w:color w:val="auto"/>
              </w:rPr>
            </w:pPr>
          </w:p>
        </w:tc>
        <w:tc>
          <w:tcPr>
            <w:tcW w:w="56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Nick Pizzie</w:t>
            </w:r>
          </w:p>
        </w:tc>
      </w:tr>
      <w:tr>
        <w:trPr>
          <w:trHeight w:val="216"/>
        </w:trPr>
        <w:tc>
          <w:tcPr>
            <w:tcW w:w="562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479"/>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STATEMENT OF PRINCIPAL EXECUTIVE OFFICER OF</w:t>
      </w:r>
    </w:p>
    <w:p>
      <w:pPr>
        <w:spacing w:after="0" w:line="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60" w:firstLine="49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Axsome Therapeutics, Inc. (the “Company”) on Form 10-K for the year ended December 31, 2023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176" w:lineRule="exact"/>
        <w:rPr>
          <w:sz w:val="20"/>
          <w:szCs w:val="20"/>
          <w:color w:val="auto"/>
        </w:rPr>
      </w:pPr>
    </w:p>
    <w:p>
      <w:pPr>
        <w:ind w:left="840" w:hanging="338"/>
        <w:spacing w:after="0"/>
        <w:tabs>
          <w:tab w:leader="none" w:pos="8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500" w:right="740" w:firstLine="2"/>
        <w:spacing w:after="0" w:line="282" w:lineRule="auto"/>
        <w:tabs>
          <w:tab w:leader="none" w:pos="83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18, 2025</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1"/>
        </w:trPr>
        <w:tc>
          <w:tcPr>
            <w:tcW w:w="5620" w:type="dxa"/>
            <w:vAlign w:val="bottom"/>
          </w:tcPr>
          <w:p>
            <w:pPr>
              <w:spacing w:after="0"/>
              <w:rPr>
                <w:sz w:val="16"/>
                <w:szCs w:val="16"/>
                <w:color w:val="auto"/>
              </w:rPr>
            </w:pPr>
          </w:p>
        </w:tc>
        <w:tc>
          <w:tcPr>
            <w:tcW w:w="56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16"/>
        </w:trPr>
        <w:tc>
          <w:tcPr>
            <w:tcW w:w="562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95"/>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 OF PRINCIPAL FINANCIAL OFFICER OF</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49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Axsome Therapeutics, Inc. (the “Company”) on Form 10-K for the year ended December 31, 2023 as filed with the Securities and Exchange Commission (the “Report”), I, Nick Pizzie, Chief Financial Officer of the Company, certify, pursuant to 18 U.S.C. §1350, as adopted pursuant to §906 of the Sarbanes-Oxley Act of 2002, that, based on my knowledge:</w:t>
      </w:r>
    </w:p>
    <w:p>
      <w:pPr>
        <w:spacing w:after="0" w:line="176" w:lineRule="exact"/>
        <w:rPr>
          <w:sz w:val="20"/>
          <w:szCs w:val="20"/>
          <w:color w:val="auto"/>
        </w:rPr>
      </w:pPr>
    </w:p>
    <w:p>
      <w:pPr>
        <w:ind w:left="840" w:hanging="338"/>
        <w:spacing w:after="0"/>
        <w:tabs>
          <w:tab w:leader="none" w:pos="8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500" w:right="740" w:firstLine="2"/>
        <w:spacing w:after="0" w:line="282" w:lineRule="auto"/>
        <w:tabs>
          <w:tab w:leader="none" w:pos="83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18, 2025</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Nick Pizzie</w:t>
            </w:r>
          </w:p>
        </w:tc>
      </w:tr>
      <w:tr>
        <w:trPr>
          <w:trHeight w:val="191"/>
        </w:trPr>
        <w:tc>
          <w:tcPr>
            <w:tcW w:w="5620" w:type="dxa"/>
            <w:vAlign w:val="bottom"/>
          </w:tcPr>
          <w:p>
            <w:pPr>
              <w:spacing w:after="0"/>
              <w:rPr>
                <w:sz w:val="16"/>
                <w:szCs w:val="16"/>
                <w:color w:val="auto"/>
              </w:rPr>
            </w:pPr>
          </w:p>
        </w:tc>
        <w:tc>
          <w:tcPr>
            <w:tcW w:w="56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Nick Pizzie</w:t>
            </w:r>
          </w:p>
        </w:tc>
      </w:tr>
      <w:tr>
        <w:trPr>
          <w:trHeight w:val="216"/>
        </w:trPr>
        <w:tc>
          <w:tcPr>
            <w:tcW w:w="562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695"/>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92" w:name="page193"/>
    <w:bookmarkEnd w:id="1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1."/>
      <w:numFmt w:val="decimal"/>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1)"/>
      <w:numFmt w:val="decimal"/>
      <w:start w:val="2"/>
    </w:lvl>
  </w:abstractNum>
  <w:abstractNum w:abstractNumId="8">
    <w:nsid w:val="6DE91B18"/>
    <w:multiLevelType w:val="hybridMultilevel"/>
    <w:lvl w:ilvl="0">
      <w:lvlJc w:val="left"/>
      <w:lvlText w:val="(%1)"/>
      <w:numFmt w:val="decimal"/>
      <w:start w:val="2"/>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1."/>
      <w:numFmt w:val="decimal"/>
      <w:start w:val="3"/>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1)"/>
      <w:numFmt w:val="decimal"/>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1."/>
      <w:numFmt w:val="decimal"/>
      <w:start w:val="14"/>
    </w:lvl>
  </w:abstractNum>
  <w:abstractNum w:abstractNumId="53">
    <w:nsid w:val="15014ACB"/>
    <w:multiLevelType w:val="hybridMultilevel"/>
    <w:lvl w:ilvl="0">
      <w:lvlJc w:val="left"/>
      <w:lvlText w:val="(%1)"/>
      <w:numFmt w:val="lowerLetter"/>
      <w:start w:val="1"/>
    </w:lvl>
  </w:abstractNum>
  <w:abstractNum w:abstractNumId="54">
    <w:nsid w:val="5F5E7FD0"/>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1."/>
      <w:numFmt w:val="upperLetter"/>
      <w:start w:val="9"/>
    </w:lvl>
  </w:abstractNum>
  <w:abstractNum w:abstractNumId="57">
    <w:nsid w:val="6B94764"/>
    <w:multiLevelType w:val="hybridMultilevel"/>
    <w:lvl w:ilvl="0">
      <w:lvlJc w:val="left"/>
      <w:lvlText w:val="%1."/>
      <w:numFmt w:val="upperLetter"/>
      <w:start w:val="35"/>
    </w:lvl>
    <w:lvl w:ilvl="1">
      <w:lvlJc w:val="left"/>
      <w:lvlText w:val="%2."/>
      <w:numFmt w:val="lowerLetter"/>
      <w:start w:val="1"/>
    </w:lvl>
  </w:abstractNum>
  <w:abstractNum w:abstractNumId="58">
    <w:nsid w:val="42C296BD"/>
    <w:multiLevelType w:val="hybridMultilevel"/>
    <w:lvl w:ilvl="0">
      <w:lvlJc w:val="left"/>
      <w:lvlText w:val="%1."/>
      <w:numFmt w:val="lowerLetter"/>
      <w:start w:val="3"/>
    </w:lvl>
  </w:abstractNum>
  <w:abstractNum w:abstractNumId="59">
    <w:nsid w:val="168E121F"/>
    <w:multiLevelType w:val="hybridMultilevel"/>
    <w:lvl w:ilvl="0">
      <w:lvlJc w:val="left"/>
      <w:lvlText w:val="%1."/>
      <w:numFmt w:val="upperLetter"/>
      <w:start w:val="61"/>
    </w:lvl>
  </w:abstractNum>
  <w:abstractNum w:abstractNumId="60">
    <w:nsid w:val="1EBA5D23"/>
    <w:multiLevelType w:val="hybridMultilevel"/>
    <w:lvl w:ilvl="0">
      <w:lvlJc w:val="left"/>
      <w:lvlText w:val="%1."/>
      <w:numFmt w:val="lowerLetter"/>
      <w:start w:val="1"/>
    </w:lvl>
  </w:abstractNum>
  <w:abstractNum w:abstractNumId="61">
    <w:nsid w:val="661E3F1E"/>
    <w:multiLevelType w:val="hybridMultilevel"/>
    <w:lvl w:ilvl="0">
      <w:lvlJc w:val="left"/>
      <w:lvlText w:val="%1."/>
      <w:numFmt w:val="lowerLetter"/>
      <w:start w:val="6"/>
    </w:lvl>
  </w:abstractNum>
  <w:abstractNum w:abstractNumId="62">
    <w:nsid w:val="5DC79EA8"/>
    <w:multiLevelType w:val="hybridMultilevel"/>
    <w:lvl w:ilvl="0">
      <w:lvlJc w:val="left"/>
      <w:lvlText w:val="%1."/>
      <w:numFmt w:val="lowerLetter"/>
      <w:start w:val="1"/>
    </w:lvl>
    <w:lvl w:ilvl="1">
      <w:lvlJc w:val="left"/>
      <w:lvlText w:val="%2."/>
      <w:numFmt w:val="lowerRoman"/>
      <w:start w:val="1"/>
    </w:lvl>
  </w:abstractNum>
  <w:abstractNum w:abstractNumId="63">
    <w:nsid w:val="540A471C"/>
    <w:multiLevelType w:val="hybridMultilevel"/>
    <w:lvl w:ilvl="0">
      <w:lvlJc w:val="left"/>
      <w:lvlText w:val="%1."/>
      <w:numFmt w:val="lowerRoman"/>
      <w:start w:val="7"/>
    </w:lvl>
  </w:abstractNum>
  <w:abstractNum w:abstractNumId="64">
    <w:nsid w:val="7BD3EE7B"/>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lvl w:ilvl="3">
      <w:lvlJc w:val="left"/>
      <w:lvlText w:val="%4"/>
      <w:numFmt w:val="lowerRoman"/>
      <w:start w:val="1"/>
    </w:lvl>
  </w:abstractNum>
  <w:abstractNum w:abstractNumId="65">
    <w:nsid w:val="51D9C564"/>
    <w:multiLevelType w:val="hybridMultilevel"/>
    <w:lvl w:ilvl="0">
      <w:lvlJc w:val="left"/>
      <w:lvlText w:val="%1."/>
      <w:numFmt w:val="upperLetter"/>
      <w:start w:val="22"/>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66">
    <w:nsid w:val="613EFDC5"/>
    <w:multiLevelType w:val="hybridMultilevel"/>
    <w:lvl w:ilvl="0">
      <w:lvlJc w:val="left"/>
      <w:lvlText w:val="%1."/>
      <w:numFmt w:val="lowerRoman"/>
      <w:start w:val="4"/>
    </w:lvl>
    <w:lvl w:ilvl="1">
      <w:lvlJc w:val="left"/>
      <w:lvlText w:val="%2."/>
      <w:numFmt w:val="lowerRoman"/>
      <w:start w:val="5"/>
    </w:lvl>
  </w:abstractNum>
  <w:abstractNum w:abstractNumId="67">
    <w:nsid w:val="BF72B14"/>
    <w:multiLevelType w:val="hybridMultilevel"/>
    <w:lvl w:ilvl="0">
      <w:lvlJc w:val="left"/>
      <w:lvlText w:val="%1."/>
      <w:numFmt w:val="lowerRoman"/>
      <w:start w:val="6"/>
    </w:lvl>
    <w:lvl w:ilvl="1">
      <w:lvlJc w:val="left"/>
      <w:lvlText w:val="%2."/>
      <w:numFmt w:val="lowerRoman"/>
      <w:start w:val="8"/>
    </w:lvl>
  </w:abstractNum>
  <w:abstractNum w:abstractNumId="68">
    <w:nsid w:val="11447B7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0"/>
    </w:lvl>
  </w:abstractNum>
  <w:abstractNum w:abstractNumId="69">
    <w:nsid w:val="42963E5A"/>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70">
    <w:nsid w:val="A0382C5"/>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lvl w:ilvl="3">
      <w:lvlJc w:val="left"/>
      <w:lvlText w:val="%4"/>
      <w:numFmt w:val="decimal"/>
      <w:start w:val="1"/>
    </w:lvl>
    <w:lvl w:ilvl="4">
      <w:lvlJc w:val="left"/>
      <w:lvlText w:val="%5"/>
      <w:numFmt w:val="upperLetter"/>
      <w:start w:val="1"/>
    </w:lvl>
  </w:abstractNum>
  <w:abstractNum w:abstractNumId="71">
    <w:nsid w:val="8F2B15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decimal"/>
      <w:start w:val="1"/>
    </w:lvl>
    <w:lvl w:ilvl="4">
      <w:lvlJc w:val="left"/>
      <w:lvlText w:val="%5."/>
      <w:numFmt w:val="upperLetter"/>
      <w:start w:val="1"/>
    </w:lvl>
  </w:abstractNum>
  <w:abstractNum w:abstractNumId="72">
    <w:nsid w:val="1A32234B"/>
    <w:multiLevelType w:val="hybridMultilevel"/>
    <w:lvl w:ilvl="0">
      <w:lvlJc w:val="left"/>
      <w:lvlText w:val="%1."/>
      <w:numFmt w:val="upperLetter"/>
      <w:start w:val="2"/>
    </w:lvl>
  </w:abstractNum>
  <w:abstractNum w:abstractNumId="73">
    <w:nsid w:val="3B0FD379"/>
    <w:multiLevelType w:val="hybridMultilevel"/>
    <w:lvl w:ilvl="0">
      <w:lvlJc w:val="left"/>
      <w:lvlText w:val="%1."/>
      <w:numFmt w:val="upperLetter"/>
      <w:start w:val="9"/>
    </w:lvl>
  </w:abstractNum>
  <w:abstractNum w:abstractNumId="74">
    <w:nsid w:val="68EB2F6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35"/>
    </w:lvl>
  </w:abstractNum>
  <w:abstractNum w:abstractNumId="75">
    <w:nsid w:val="4962813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lvl w:ilvl="3">
      <w:lvlJc w:val="left"/>
      <w:lvlText w:val="%4"/>
      <w:numFmt w:val="upperLetter"/>
      <w:start w:val="1"/>
    </w:lvl>
  </w:abstractNum>
  <w:abstractNum w:abstractNumId="76">
    <w:nsid w:val="60B6DF70"/>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77">
    <w:nsid w:val="6A5EE64"/>
    <w:multiLevelType w:val="hybridMultilevel"/>
    <w:lvl w:ilvl="0">
      <w:lvlJc w:val="left"/>
      <w:lvlText w:val="%1"/>
      <w:numFmt w:val="lowerLetter"/>
      <w:start w:val="1"/>
    </w:lvl>
    <w:lvl w:ilvl="1">
      <w:lvlJc w:val="left"/>
      <w:lvlText w:val="%2."/>
      <w:numFmt w:val="lowerRoman"/>
      <w:start w:val="3"/>
    </w:lvl>
  </w:abstractNum>
  <w:abstractNum w:abstractNumId="78">
    <w:nsid w:val="14330624"/>
    <w:multiLevelType w:val="hybridMultilevel"/>
    <w:lvl w:ilvl="0">
      <w:lvlJc w:val="left"/>
      <w:lvlText w:val="%1."/>
      <w:numFmt w:val="lowerLetter"/>
      <w:start w:val="6"/>
    </w:lvl>
    <w:lvl w:ilvl="1">
      <w:lvlJc w:val="left"/>
      <w:lvlText w:val="%2."/>
      <w:numFmt w:val="lowerRoman"/>
      <w:start w:val="1"/>
    </w:lvl>
  </w:abstractNum>
  <w:abstractNum w:abstractNumId="79">
    <w:nsid w:val="7FFFCA11"/>
    <w:multiLevelType w:val="hybridMultilevel"/>
    <w:lvl w:ilvl="0">
      <w:lvlJc w:val="left"/>
      <w:lvlText w:val="%1."/>
      <w:numFmt w:val="lowerLetter"/>
      <w:start w:val="1"/>
    </w:lvl>
  </w:abstractNum>
  <w:abstractNum w:abstractNumId="80">
    <w:nsid w:val="1A27709E"/>
    <w:multiLevelType w:val="hybridMultilevel"/>
    <w:lvl w:ilvl="0">
      <w:lvlJc w:val="left"/>
      <w:lvlText w:val="•"/>
      <w:numFmt w:val="bullet"/>
      <w:start w:val="1"/>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59" Type="http://schemas.openxmlformats.org/officeDocument/2006/relationships/image" Target="media/image337.png"/><Relationship Id="rId360" Type="http://schemas.openxmlformats.org/officeDocument/2006/relationships/image" Target="media/image338.png"/><Relationship Id="rId376" Type="http://schemas.openxmlformats.org/officeDocument/2006/relationships/image" Target="media/image339.png"/><Relationship Id="rId377" Type="http://schemas.openxmlformats.org/officeDocument/2006/relationships/image" Target="media/image340.png"/><Relationship Id="rId385" Type="http://schemas.openxmlformats.org/officeDocument/2006/relationships/image" Target="media/image341.png"/><Relationship Id="rId386" Type="http://schemas.openxmlformats.org/officeDocument/2006/relationships/image" Target="media/image342.png"/><Relationship Id="rId387" Type="http://schemas.openxmlformats.org/officeDocument/2006/relationships/image" Target="media/image343.png"/><Relationship Id="rId388" Type="http://schemas.openxmlformats.org/officeDocument/2006/relationships/image" Target="media/image344.png"/><Relationship Id="rId389" Type="http://schemas.openxmlformats.org/officeDocument/2006/relationships/image" Target="media/image345.png"/><Relationship Id="rId390" Type="http://schemas.openxmlformats.org/officeDocument/2006/relationships/image" Target="media/image346.png"/><Relationship Id="rId391" Type="http://schemas.openxmlformats.org/officeDocument/2006/relationships/image" Target="media/image347.png"/><Relationship Id="rId392" Type="http://schemas.openxmlformats.org/officeDocument/2006/relationships/image" Target="media/image348.png"/><Relationship Id="rId393" Type="http://schemas.openxmlformats.org/officeDocument/2006/relationships/image" Target="media/image349.png"/><Relationship Id="rId394" Type="http://schemas.openxmlformats.org/officeDocument/2006/relationships/image" Target="media/image350.png"/><Relationship Id="rId395" Type="http://schemas.openxmlformats.org/officeDocument/2006/relationships/image" Target="media/image351.png"/><Relationship Id="rId396" Type="http://schemas.openxmlformats.org/officeDocument/2006/relationships/image" Target="media/image352.png"/><Relationship Id="rId397" Type="http://schemas.openxmlformats.org/officeDocument/2006/relationships/image" Target="media/image353.png"/><Relationship Id="rId398" Type="http://schemas.openxmlformats.org/officeDocument/2006/relationships/image" Target="media/image354.png"/><Relationship Id="rId399" Type="http://schemas.openxmlformats.org/officeDocument/2006/relationships/image" Target="media/image355.png"/><Relationship Id="rId400" Type="http://schemas.openxmlformats.org/officeDocument/2006/relationships/image" Target="media/image356.png"/><Relationship Id="rId401" Type="http://schemas.openxmlformats.org/officeDocument/2006/relationships/image" Target="media/image357.png"/><Relationship Id="rId402" Type="http://schemas.openxmlformats.org/officeDocument/2006/relationships/image" Target="media/image358.png"/><Relationship Id="rId403" Type="http://schemas.openxmlformats.org/officeDocument/2006/relationships/image" Target="media/image359.png"/><Relationship Id="rId404" Type="http://schemas.openxmlformats.org/officeDocument/2006/relationships/image" Target="media/image360.png"/><Relationship Id="rId405" Type="http://schemas.openxmlformats.org/officeDocument/2006/relationships/image" Target="media/image361.png"/><Relationship Id="rId406" Type="http://schemas.openxmlformats.org/officeDocument/2006/relationships/image" Target="media/image362.png"/><Relationship Id="rId407" Type="http://schemas.openxmlformats.org/officeDocument/2006/relationships/image" Target="media/image363.png"/><Relationship Id="rId408" Type="http://schemas.openxmlformats.org/officeDocument/2006/relationships/image" Target="media/image364.png"/><Relationship Id="rId409" Type="http://schemas.openxmlformats.org/officeDocument/2006/relationships/image" Target="media/image365.png"/><Relationship Id="rId410" Type="http://schemas.openxmlformats.org/officeDocument/2006/relationships/image" Target="media/image366.png"/><Relationship Id="rId411" Type="http://schemas.openxmlformats.org/officeDocument/2006/relationships/image" Target="media/image367.png"/><Relationship Id="rId412" Type="http://schemas.openxmlformats.org/officeDocument/2006/relationships/image" Target="media/image368.png"/><Relationship Id="rId413" Type="http://schemas.openxmlformats.org/officeDocument/2006/relationships/image" Target="media/image369.png"/><Relationship Id="rId414" Type="http://schemas.openxmlformats.org/officeDocument/2006/relationships/image" Target="media/image370.png"/><Relationship Id="rId415" Type="http://schemas.openxmlformats.org/officeDocument/2006/relationships/image" Target="media/image371.png"/><Relationship Id="rId416" Type="http://schemas.openxmlformats.org/officeDocument/2006/relationships/image" Target="media/image372.png"/><Relationship Id="rId417" Type="http://schemas.openxmlformats.org/officeDocument/2006/relationships/image" Target="media/image373.png"/><Relationship Id="rId344" Type="http://schemas.openxmlformats.org/officeDocument/2006/relationships/hyperlink" Target="https://www.sec.gov/Archives/edgar/data/1579428/000110465915081125/a15-24048_1ex3d1.htm" TargetMode="External"/><Relationship Id="rId345" Type="http://schemas.openxmlformats.org/officeDocument/2006/relationships/hyperlink" Target="https://www.sec.gov/Archives/edgar/data/1579428/000110465915081125/a15-24048_1ex3d2.htm" TargetMode="External"/><Relationship Id="rId346" Type="http://schemas.openxmlformats.org/officeDocument/2006/relationships/hyperlink" Target="https://www.sec.gov/Archives/edgar/data/1579428/000104746915008199/a2226320zex-4_1.htm" TargetMode="External"/><Relationship Id="rId347" Type="http://schemas.openxmlformats.org/officeDocument/2006/relationships/hyperlink" Target="https://www.sec.gov/Archives/edgar/data/1579428/000104746915007821/a2226220zex-4_2.htm" TargetMode="External"/><Relationship Id="rId348" Type="http://schemas.openxmlformats.org/officeDocument/2006/relationships/hyperlink" Target="https://www.sec.gov/Archives/edgar/data/1579428/000104746915007821/a2226220zex-4_3.htm" TargetMode="External"/><Relationship Id="rId349" Type="http://schemas.openxmlformats.org/officeDocument/2006/relationships/hyperlink" Target="https://www.sec.gov/Archives/edgar/data/1579428/000110465917071533/a17-27901_1ex4d1.htm#Exhibit4_1_053031" TargetMode="External"/><Relationship Id="rId350" Type="http://schemas.openxmlformats.org/officeDocument/2006/relationships/hyperlink" Target="https://www.sec.gov/Archives/edgar/data/1579428/000155837020012949/axsm-20200930xex10d4.htm" TargetMode="External"/><Relationship Id="rId351" Type="http://schemas.openxmlformats.org/officeDocument/2006/relationships/hyperlink" Target="https://www.sec.gov/Archives/edgar/data/1579428/000155837020002573/axsm-20191231ex4132a1d5e.htm" TargetMode="External"/><Relationship Id="rId352" Type="http://schemas.openxmlformats.org/officeDocument/2006/relationships/hyperlink" Target="https://www.sec.gov/Archives/edgar/data/1579428/000104746915007821/a2226220zex-10_1.htm" TargetMode="External"/><Relationship Id="rId353" Type="http://schemas.openxmlformats.org/officeDocument/2006/relationships/hyperlink" Target="https://www.sec.gov/Archives/edgar/data/1579428/000095017024019118/axsm-ex10_2.htm" TargetMode="External"/><Relationship Id="rId354" Type="http://schemas.openxmlformats.org/officeDocument/2006/relationships/hyperlink" Target="https://www.sec.gov/Archives/edgar/data/1579428/000110465915085196/a15-24973_1ex99d2.htm" TargetMode="External"/><Relationship Id="rId355" Type="http://schemas.openxmlformats.org/officeDocument/2006/relationships/hyperlink" Target="https://www.sec.gov/Archives/edgar/data/1579428/000155837020006307/axsm-20200508xex99d3.htm" TargetMode="External"/><Relationship Id="rId356" Type="http://schemas.openxmlformats.org/officeDocument/2006/relationships/hyperlink" Target="https://www.sec.gov/Archives/edgar/data/1579428/000155837020006307/axsm-20200508xex99d4.htm" TargetMode="External"/><Relationship Id="rId357" Type="http://schemas.openxmlformats.org/officeDocument/2006/relationships/hyperlink" Target="https://www.sec.gov/Archives/edgar/data/1579428/000095017023027059/axsm-ex10_1.htm" TargetMode="External"/><Relationship Id="rId358" Type="http://schemas.openxmlformats.org/officeDocument/2006/relationships/hyperlink" Target="https://www.sec.gov/Archives/edgar/data/1579428/000104746915007821/a2226220zex-10_2.htm" TargetMode="External"/><Relationship Id="rId361" Type="http://schemas.openxmlformats.org/officeDocument/2006/relationships/hyperlink" Target="https://www.sec.gov/Archives/edgar/data/1579428/000104746915007821/a2226220zex-10_4.htm" TargetMode="External"/><Relationship Id="rId362" Type="http://schemas.openxmlformats.org/officeDocument/2006/relationships/hyperlink" Target="https://www.sec.gov/Archives/edgar/data/1579428/000104746915007821/a2226220zex-10_5.htm" TargetMode="External"/><Relationship Id="rId363" Type="http://schemas.openxmlformats.org/officeDocument/2006/relationships/hyperlink" Target="https://www.sec.gov/Archives/edgar/data/1579428/000110465917071533/a17-27901_1ex10d1.htm" TargetMode="External"/><Relationship Id="rId364" Type="http://schemas.openxmlformats.org/officeDocument/2006/relationships/hyperlink" Target="https://www.sec.gov/Archives/edgar/data/1579428/000155837018004333/axsm-20180331ex101d19ec4.htm" TargetMode="External"/><Relationship Id="rId365" Type="http://schemas.openxmlformats.org/officeDocument/2006/relationships/hyperlink" Target="https://www.sec.gov/Archives/edgar/data/1579428/000110465918059225/a18-36094_1ex10d1.htm" TargetMode="External"/><Relationship Id="rId366" Type="http://schemas.openxmlformats.org/officeDocument/2006/relationships/hyperlink" Target="https://www.sec.gov/Archives/edgar/data/1579428/000155837020002573/axsm-20191231ex1015f938b.htm" TargetMode="External"/><Relationship Id="rId367" Type="http://schemas.openxmlformats.org/officeDocument/2006/relationships/hyperlink" Target="https://www.sec.gov/Archives/edgar/data/1579428/000110465920003255/tm203196d1_ex10-1.htm" TargetMode="External"/><Relationship Id="rId368" Type="http://schemas.openxmlformats.org/officeDocument/2006/relationships/hyperlink" Target="https://www.sec.gov/Archives/edgar/data/1579428/000155837020010231/axsm-20200630xex10d1.htm" TargetMode="External"/><Relationship Id="rId369" Type="http://schemas.openxmlformats.org/officeDocument/2006/relationships/hyperlink" Target="https://www.sec.gov/Archives/edgar/data/1579428/000155837020013181/axsm-20200930xex10d2.htm" TargetMode="External"/><Relationship Id="rId370" Type="http://schemas.openxmlformats.org/officeDocument/2006/relationships/hyperlink" Target="https://www.sec.gov/Archives/edgar/data/1579428/000155837020012949/axsm-20200930xex10d3.htm" TargetMode="External"/><Relationship Id="rId371" Type="http://schemas.openxmlformats.org/officeDocument/2006/relationships/hyperlink" Target="https://www.sec.gov/Archives/edgar/data/0001579428/000095017021003466/axsm-ex10_1.htm" TargetMode="External"/><Relationship Id="rId372" Type="http://schemas.openxmlformats.org/officeDocument/2006/relationships/hyperlink" Target="https://www.sec.gov/Archives/edgar/data/1579428/000095017022006901/axsm-ex10_1.htm" TargetMode="External"/><Relationship Id="rId373" Type="http://schemas.openxmlformats.org/officeDocument/2006/relationships/hyperlink" Target="https://www.sec.gov/Archives/edgar/data/1579428/000095017023018976/axsm-ex10_2.htm" TargetMode="External"/><Relationship Id="rId374" Type="http://schemas.openxmlformats.org/officeDocument/2006/relationships/hyperlink" Target="https://www.sec.gov/Archives/edgar/data/1579428/000095017023039178/axsm-ex10_1.htm" TargetMode="External"/><Relationship Id="rId375" Type="http://schemas.openxmlformats.org/officeDocument/2006/relationships/hyperlink" Target="https://www.sec.gov/Archives/edgar/data/1579428/000095017024124758/axsm-ex10_1.htm" TargetMode="External"/><Relationship Id="rId378" Type="http://schemas.openxmlformats.org/officeDocument/2006/relationships/hyperlink" Target="https://www.sec.gov/Archives/edgar/data/1579428/000155837020012949/axsm-20200930xex10d5.htm" TargetMode="External"/><Relationship Id="rId379" Type="http://schemas.openxmlformats.org/officeDocument/2006/relationships/hyperlink" Target="https://www.sec.gov/Archives/edgar/data/1579428/000095017022005231/axsm-ex99_1.htm" TargetMode="External"/><Relationship Id="rId380" Type="http://schemas.openxmlformats.org/officeDocument/2006/relationships/hyperlink" Target="https://www.sec.gov/Archives/edgar/data/1579428/000095017022016143/axsm-ex10_1.htm" TargetMode="External"/><Relationship Id="rId381" Type="http://schemas.openxmlformats.org/officeDocument/2006/relationships/hyperlink" Target="https://www.sec.gov/Archives/edgar/data/1579428/000095017022016143/axsm-ex10_2.htm" TargetMode="External"/><Relationship Id="rId382" Type="http://schemas.openxmlformats.org/officeDocument/2006/relationships/hyperlink" Target="https://www.sec.gov/Archives/edgar/data/1579428/000095017023018976/axsm-ex10_1.htm" TargetMode="External"/><Relationship Id="rId383" Type="http://schemas.openxmlformats.org/officeDocument/2006/relationships/hyperlink" Target="https://www.sec.gov/Archives/edgar/data/1579428/000095017023018976/axsm-ex10_3.htm" TargetMode="External"/><Relationship Id="rId384" Type="http://schemas.openxmlformats.org/officeDocument/2006/relationships/hyperlink" Target="https://www.sec.gov/Archives/edgar/data/1579428/000095017024019118/axsm-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2025-02-18T16:24:04Z</dcterms:created>
  <dcterms:modified xsi:type="dcterms:W3CDTF">2025-02-18T16:24:04Z</dcterms:modified>
</cp:coreProperties>
</file>