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01,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80" w:type="dxa"/>
        <w:tblCellMar>
          <w:top w:w="0" w:type="dxa"/>
          <w:left w:w="0" w:type="dxa"/>
          <w:bottom w:w="0" w:type="dxa"/>
          <w:right w:w="0" w:type="dxa"/>
        </w:tblCellMar>
      </w:tblPr>
      <w:tr>
        <w:trPr>
          <w:trHeight w:val="222"/>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8"/>
                <w:szCs w:val="18"/>
                <w:b w:val="1"/>
                <w:bCs w:val="1"/>
                <w:color w:val="auto"/>
                <w:w w:val="99"/>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2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20" w:type="dxa"/>
            <w:vAlign w:val="bottom"/>
          </w:tcPr>
          <w:p>
            <w:pPr>
              <w:jc w:val="center"/>
              <w:ind w:right="4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On April 1, 2025, Axsome Therapeutics, Inc. (the “Company”) issued a press release announcing the results of its PARADIGM proof-of-concept Phase 3 trial of solriamfetol in major depressive disorder with and without severe excessive daytime sleepiness.</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8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20" w:type="dxa"/>
            <w:vAlign w:val="bottom"/>
            <w:tcBorders>
              <w:bottom w:val="single" w:sz="8" w:color="0000EE"/>
            </w:tcBorders>
          </w:tcPr>
          <w:p>
            <w:pPr>
              <w:spacing w:after="0"/>
              <w:rPr>
                <w:sz w:val="18"/>
                <w:szCs w:val="18"/>
                <w:color w:val="auto"/>
              </w:rPr>
            </w:pPr>
          </w:p>
        </w:tc>
        <w:tc>
          <w:tcPr>
            <w:tcW w:w="2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April 1, 2025.</w:t>
            </w:r>
          </w:p>
        </w:tc>
        <w:tc>
          <w:tcPr>
            <w:tcW w:w="20" w:type="dxa"/>
            <w:vAlign w:val="bottom"/>
            <w:tcBorders>
              <w:bottom w:val="single" w:sz="8" w:color="0000EE"/>
            </w:tcBorders>
          </w:tcPr>
          <w:p>
            <w:pPr>
              <w:spacing w:after="0"/>
              <w:rPr>
                <w:sz w:val="18"/>
                <w:szCs w:val="18"/>
                <w:color w:val="auto"/>
              </w:rPr>
            </w:pPr>
          </w:p>
        </w:tc>
        <w:tc>
          <w:tcPr>
            <w:tcW w:w="7480" w:type="dxa"/>
            <w:vAlign w:val="bottom"/>
          </w:tcPr>
          <w:p>
            <w:pPr>
              <w:spacing w:after="0"/>
              <w:rPr>
                <w:sz w:val="18"/>
                <w:szCs w:val="18"/>
                <w:color w:val="auto"/>
              </w:rPr>
            </w:pPr>
          </w:p>
        </w:tc>
      </w:tr>
      <w:tr>
        <w:trPr>
          <w:trHeight w:val="237"/>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April 1, 2025</w:t>
            </w: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600" w:type="dxa"/>
            <w:vAlign w:val="bottom"/>
          </w:tcPr>
          <w:p>
            <w:pPr>
              <w:spacing w:after="0"/>
              <w:rPr>
                <w:sz w:val="16"/>
                <w:szCs w:val="16"/>
                <w:color w:val="auto"/>
              </w:rPr>
            </w:pPr>
          </w:p>
        </w:tc>
        <w:tc>
          <w:tcPr>
            <w:tcW w:w="2820" w:type="dxa"/>
            <w:vAlign w:val="bottom"/>
          </w:tcPr>
          <w:p>
            <w:pPr>
              <w:ind w:left="20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600" w:type="dxa"/>
            <w:vAlign w:val="bottom"/>
          </w:tcPr>
          <w:p>
            <w:pPr>
              <w:spacing w:after="0"/>
              <w:rPr>
                <w:sz w:val="21"/>
                <w:szCs w:val="21"/>
                <w:color w:val="auto"/>
              </w:rPr>
            </w:pPr>
          </w:p>
        </w:tc>
        <w:tc>
          <w:tcPr>
            <w:tcW w:w="28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6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08685"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908685" cy="514350"/>
                    </a:xfrm>
                    <a:prstGeom prst="rect">
                      <a:avLst/>
                    </a:prstGeom>
                    <a:noFill/>
                  </pic:spPr>
                </pic:pic>
              </a:graphicData>
            </a:graphic>
          </wp:anchor>
        </w:drawing>
      </w:r>
    </w:p>
    <w:p>
      <w:pPr>
        <w:ind w:left="10240"/>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440" w:right="339" w:bottom="1440" w:gutter="0" w:footer="0" w:header="0"/>
        </w:sectPr>
      </w:pPr>
    </w:p>
    <w:p>
      <w:pPr>
        <w:spacing w:after="0" w:line="385"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Axsome Therapeutics Announces Topline Results of PARADIGM Phase 3 Proof-of-Concept Trial of Solriamfetol in Major Depressive Disorder (MDD) with and without Excessive Daytime Sleepiness (EDS)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Results support continued development in MDD with concomitant EDS; Phase 3 trial planned in 2025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Approximately 50 percent of MDD patients experience EDS</w:t>
      </w:r>
      <w:r>
        <w:rPr>
          <w:rFonts w:ascii="Arial" w:cs="Arial" w:eastAsia="Arial" w:hAnsi="Arial"/>
          <w:sz w:val="24"/>
          <w:szCs w:val="24"/>
          <w:i w:val="1"/>
          <w:iCs w:val="1"/>
          <w:color w:val="auto"/>
          <w:vertAlign w:val="superscript"/>
        </w:rPr>
        <w:t>1</w:t>
      </w:r>
      <w:r>
        <w:rPr>
          <w:rFonts w:ascii="Arial" w:cs="Arial" w:eastAsia="Arial" w:hAnsi="Arial"/>
          <w:sz w:val="18"/>
          <w:szCs w:val="18"/>
          <w:i w:val="1"/>
          <w:iCs w:val="1"/>
          <w:color w:val="auto"/>
        </w:rPr>
        <w:t>, highlighting high unmet need</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NEW YORK, April 01, 2025 (Globe Newswire) – Axsome Therapeutics, Inc. (NASDAQ: AXSM), a biopharmaceutical company leading a new era in the treatment of central nervous system (CNS) disorders, today announced results of the PARADIGM Phase 3 proof-of-concept trial of solriamfetol in major depressive disorder (MDD) with and without severe excessive daytime sleepiness (EDS). In the overall patient population, the study did not demonstrate a statistically significant change on the Montgomery-Åsberg Depression Rating Scale (MADRS) total score compared to placebo, the study’s primary endpoint. In the prespecified subgroup of patients with severe EDS, treatment with solriamfetol resulted in greater improvements in depressive symptoms compared to placebo. The study was not powered to demonstrate statistical significance in the prespecified subgroups. Based on the results in the EDS subgroup, Axsome plans to initiate a Phase 3 trial in MDD patients with EDS in 2025.</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PARADIGM study was a 6-week, randomized, double-blind, placebo-controlled, multicenter, U.S. trial, in which MDD patients with severe EDS (n=51) and without severe EDS (n=295) were randomized to treatment with solriamfetol 300 mg or placebo. EDS was assessed using the Epworth Sleepiness Scale (ESS). In MDD patients with severe EDS (ESS score ≥16), solriamfetol treatment resulted in clinically meaningful and numerically greater improvements compared to placebo on multiple efficacy measures including MADRS total score, MADRS anhedonia subscale, MADRS remission (total score ≤10), Clinical Global Impression of Severity (CGI-S), Clinical Global Impression of Improvement (CGI-I), and Patient Global Impression of Improvement (PGI-I), at Week 6. In patients without severe EDS, there was no meaningful difference as compared to placebo on the study endpoints.</w:t>
      </w:r>
    </w:p>
    <w:p>
      <w:pPr>
        <w:spacing w:after="0" w:line="15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EDS is a common symptom in patients with MDD and has a reported prevalence of approximately 50% in this patient population.</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With EDS, patients have difficulty maintaining wakefulness, and have an increased propensity to fall asleep throughout the day, even in inappropriate circumstances, resulting in impairment of activities of daily living and increased safety risks. Currently, no therapies are approved to treat MDD with EDS.</w:t>
      </w:r>
    </w:p>
    <w:p>
      <w:pPr>
        <w:spacing w:after="0" w:line="14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Herriot Tabuteau, MD, Chief Executive Officer of Axsome Therapeutics, said, “We are pleased to have completed the PARADIGM trial which provides data on the potential utility of solriamfetol in patients with MDD. The promising results with solriamfetol in MDD patients with severe EDS align with its known pharmacology and support its further evaluation in this potentially new indication. We plan to initiate a Phase 3 trial in MDD with EDS this year.”</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Solriamfetol was safe and well tolerated in the trial, with a side effect profile that was consistent with the established safety profile of solriamfetol.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Full results will be presented at future scientific conferences.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Major Depressive Disorder</w:t>
      </w:r>
    </w:p>
    <w:p>
      <w:pPr>
        <w:spacing w:after="0" w:line="17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Major Depressive Disorder (MDD) is a serious, common, biologically based disorder characterized by depressed mood and loss of interest or pleasure, as well as disturbed sleep or appetite, impaired cognitive function, feelings of guilt and worthlessness, and low energy, among other symptoms. MDD can result in severe functional impairments that interfere with all aspects of life, and in severe cases, can lead to suicide.</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According to the World Health Organization (WHO), depression is the leading cause of disability worldwide, and one of the leading contributors to the global burden of disease. Approximately 21 million adults in the U.S. are affected by MDD each year,</w:t>
      </w:r>
      <w:r>
        <w:rPr>
          <w:rFonts w:ascii="Arial" w:cs="Arial" w:eastAsia="Arial" w:hAnsi="Arial"/>
          <w:sz w:val="24"/>
          <w:szCs w:val="24"/>
          <w:color w:val="auto"/>
          <w:vertAlign w:val="superscript"/>
        </w:rPr>
        <w:t>3</w:t>
      </w:r>
      <w:r>
        <w:rPr>
          <w:rFonts w:ascii="Arial" w:cs="Arial" w:eastAsia="Arial" w:hAnsi="Arial"/>
          <w:sz w:val="18"/>
          <w:szCs w:val="18"/>
          <w:color w:val="auto"/>
        </w:rPr>
        <w:t xml:space="preserve"> and approximately two-thirds of patients experience inadequate response with first-line treatment.</w:t>
      </w:r>
      <w:r>
        <w:rPr>
          <w:rFonts w:ascii="Arial" w:cs="Arial" w:eastAsia="Arial" w:hAnsi="Arial"/>
          <w:sz w:val="24"/>
          <w:szCs w:val="24"/>
          <w:color w:val="auto"/>
          <w:vertAlign w:val="superscript"/>
        </w:rPr>
        <w:t>4</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Solriamfetol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Solriamfetol is a dopamine and norepinephrine reuptake inhibitor (DNRI), TAAR1 agonist, and 5-HT</w:t>
      </w:r>
      <w:r>
        <w:rPr>
          <w:rFonts w:ascii="Arial" w:cs="Arial" w:eastAsia="Arial" w:hAnsi="Arial"/>
          <w:sz w:val="24"/>
          <w:szCs w:val="24"/>
          <w:color w:val="auto"/>
          <w:vertAlign w:val="subscript"/>
        </w:rPr>
        <w:t>1A</w:t>
      </w:r>
      <w:r>
        <w:rPr>
          <w:rFonts w:ascii="Arial" w:cs="Arial" w:eastAsia="Arial" w:hAnsi="Arial"/>
          <w:sz w:val="18"/>
          <w:szCs w:val="18"/>
          <w:color w:val="auto"/>
        </w:rPr>
        <w:t xml:space="preserve">  agonist being developed for the</w:t>
      </w:r>
    </w:p>
    <w:p>
      <w:pPr>
        <w:spacing w:after="0" w:line="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treatment of attention deficit hyperactivity disorder (ADHD), major depressive disorder (MDD), binge eating disorder (BED), and excessive sleepiness associated with shift work disorder (SWD).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4"/>
          <w:szCs w:val="24"/>
          <w:color w:val="auto"/>
          <w:vertAlign w:val="superscript"/>
        </w:rPr>
        <w:t>®</w:t>
      </w:r>
      <w:r>
        <w:rPr>
          <w:rFonts w:ascii="Arial" w:cs="Arial" w:eastAsia="Arial" w:hAnsi="Arial"/>
          <w:sz w:val="18"/>
          <w:szCs w:val="18"/>
          <w:color w:val="auto"/>
        </w:rPr>
        <w:t>, Auvelity</w:t>
      </w:r>
      <w:r>
        <w:rPr>
          <w:rFonts w:ascii="Arial" w:cs="Arial" w:eastAsia="Arial" w:hAnsi="Arial"/>
          <w:sz w:val="24"/>
          <w:szCs w:val="24"/>
          <w:color w:val="auto"/>
          <w:vertAlign w:val="superscript"/>
        </w:rPr>
        <w:t>®</w:t>
      </w:r>
      <w:r>
        <w:rPr>
          <w:rFonts w:ascii="Arial" w:cs="Arial" w:eastAsia="Arial" w:hAnsi="Arial"/>
          <w:sz w:val="18"/>
          <w:szCs w:val="18"/>
          <w:color w:val="auto"/>
        </w:rPr>
        <w:t>, and Symbravo</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1" w:lineRule="exact"/>
        <w:rPr>
          <w:sz w:val="20"/>
          <w:szCs w:val="20"/>
          <w:color w:val="auto"/>
        </w:rPr>
      </w:pPr>
    </w:p>
    <w:p>
      <w:pPr>
        <w:ind w:right="9160" w:firstLine="8"/>
        <w:spacing w:after="0" w:line="250" w:lineRule="auto"/>
        <w:tabs>
          <w:tab w:leader="none" w:pos="47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332-3243 </w:t>
      </w:r>
      <w:r>
        <w:rPr>
          <w:rFonts w:ascii="Arial" w:cs="Arial" w:eastAsia="Arial" w:hAnsi="Arial"/>
          <w:sz w:val="18"/>
          <w:szCs w:val="18"/>
          <w:color w:val="467886"/>
        </w:rPr>
        <w:t>mjacobson@axsome.com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1" w:lineRule="exact"/>
        <w:rPr>
          <w:sz w:val="20"/>
          <w:szCs w:val="20"/>
          <w:color w:val="auto"/>
        </w:rPr>
      </w:pPr>
    </w:p>
    <w:p>
      <w:pPr>
        <w:ind w:right="9380" w:firstLine="8"/>
        <w:spacing w:after="0" w:line="250"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837-1065 </w:t>
      </w:r>
      <w:r>
        <w:rPr>
          <w:rFonts w:ascii="Arial" w:cs="Arial" w:eastAsia="Arial" w:hAnsi="Arial"/>
          <w:sz w:val="18"/>
          <w:szCs w:val="18"/>
          <w:color w:val="467886"/>
        </w:rPr>
        <w:t>dopland@axsome.com</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References</w:t>
      </w:r>
    </w:p>
    <w:p>
      <w:pPr>
        <w:spacing w:after="0" w:line="171" w:lineRule="exact"/>
        <w:rPr>
          <w:sz w:val="20"/>
          <w:szCs w:val="20"/>
          <w:color w:val="auto"/>
        </w:rPr>
      </w:pPr>
    </w:p>
    <w:p>
      <w:pPr>
        <w:ind w:left="380" w:hanging="372"/>
        <w:spacing w:after="0" w:line="271"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Hein M, Lanquart JP, Loas G, Hubain P, Linkowski P. Prevalence and risk factors of excessive daytime sleepiness in major depression: A study with 703 individuals referred for polysomnography. J Affect Disord. 2019 Jan 15;243:23-32.</w:t>
      </w:r>
    </w:p>
    <w:p>
      <w:pPr>
        <w:spacing w:after="0" w:line="126"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World Health Organization. Depressive disorder (depression). Accessed March 2025.</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National Institute of Mental Health. Major Depression. Accessed March 2025.</w:t>
      </w:r>
    </w:p>
    <w:p>
      <w:pPr>
        <w:spacing w:after="0" w:line="171" w:lineRule="exact"/>
        <w:rPr>
          <w:rFonts w:ascii="Arial" w:cs="Arial" w:eastAsia="Arial" w:hAnsi="Arial"/>
          <w:sz w:val="18"/>
          <w:szCs w:val="18"/>
          <w:color w:val="auto"/>
        </w:rPr>
      </w:pPr>
    </w:p>
    <w:p>
      <w:pPr>
        <w:ind w:left="380" w:hanging="372"/>
        <w:spacing w:after="0" w:line="287"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Rush AJ et al. Acute and longer-term outcomes in depressed outpatients requiring one or several treatment steps: a STAR*D report. Am J Psychiatry. 2006 Nov;163(11):1905-17.</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212"/>
    </w:lvl>
  </w:abstractNum>
  <w:abstractNum w:abstractNumId="2">
    <w:nsid w:val="2AE8944A"/>
    <w:multiLevelType w:val="hybridMultilevel"/>
    <w:lvl w:ilvl="0">
      <w:lvlJc w:val="left"/>
      <w:lvlText w:val="(%1)"/>
      <w:numFmt w:val="decimal"/>
      <w:start w:val="929"/>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2025-04-01T06:13:41Z</dcterms:created>
  <dcterms:modified xsi:type="dcterms:W3CDTF">2025-04-01T06:13:41Z</dcterms:modified>
</cp:coreProperties>
</file>