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6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4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PROSPECTUS SUPPLEMENT</w:t>
            </w:r>
          </w:p>
        </w:tc>
        <w:tc>
          <w:tcPr>
            <w:tcW w:w="766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424(b)(5)</w:t>
            </w:r>
          </w:p>
        </w:tc>
      </w:t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(To Prospectus dated December 16, 2016)</w:t>
            </w:r>
          </w:p>
        </w:tc>
        <w:tc>
          <w:tcPr>
            <w:tcW w:w="766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333-214859</w:t>
            </w:r>
          </w:p>
        </w:tc>
      </w:tr>
      <w:tr>
        <w:trPr>
          <w:trHeight w:val="432"/>
        </w:trPr>
        <w:tc>
          <w:tcPr>
            <w:tcW w:w="1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60" w:type="dxa"/>
            <w:vAlign w:val="bottom"/>
          </w:tcPr>
          <w:p>
            <w:pPr>
              <w:jc w:val="right"/>
              <w:ind w:right="4270"/>
              <w:spacing w:after="0"/>
              <w:rPr>
                <w:sz w:val="20"/>
                <w:szCs w:val="20"/>
                <w:color w:val="auto"/>
              </w:rPr>
            </w:pPr>
            <w:r>
              <w:rPr>
                <w:rFonts w:ascii="Arial" w:cs="Arial" w:eastAsia="Arial" w:hAnsi="Arial"/>
                <w:sz w:val="18"/>
                <w:szCs w:val="18"/>
                <w:b w:val="1"/>
                <w:bCs w:val="1"/>
                <w:color w:val="auto"/>
              </w:rPr>
              <w:t>2,966,667 Shares of Common Stock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934720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137160</wp:posOffset>
            </wp:positionV>
            <wp:extent cx="190373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73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We are offering an aggregate of 2,966,667 shares of common stock, or the Purchase Shares, at a price of $3.00 per share, directly to certain investors pursuant to a purchase agreement between us and such investors dated September 27, 2018, or the Purchase Agreement.</w:t>
      </w:r>
    </w:p>
    <w:p>
      <w:pPr>
        <w:spacing w:after="0" w:line="17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The Purchase Shares are being offered and sold by us directly to the investors without a placement agent, underwriter, broker or dealer. We are not paying underwriting discounts or commissions in connection with this offering. The gross proceeds to us before expenses will be $8,900,000. We estimate the total expenses of this offering will be approximately $100,000.</w:t>
      </w:r>
    </w:p>
    <w:p>
      <w:pPr>
        <w:spacing w:after="0" w:line="18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“AXSM.” The last reported sale price of our common stock on The Nasdaq Global Market on September 27, 2018 was $3.38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186055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right="900"/>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S-5 and in the documents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189230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Delivery of the Purchase Shares is expected to be made on or about October 1, 2018, or the Closing Date, subject to the satisfaction of certain conditions set forth in the Purchase Agreement.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September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80" w:type="dxa"/>
            <w:vAlign w:val="bottom"/>
          </w:tcPr>
          <w:p>
            <w:pPr>
              <w:jc w:val="center"/>
              <w:ind w:right="327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80" w:type="dxa"/>
            <w:vAlign w:val="bottom"/>
            <w:vMerge w:val="restart"/>
          </w:tcPr>
          <w:p>
            <w:pPr>
              <w:jc w:val="center"/>
              <w:ind w:right="3270"/>
              <w:spacing w:after="0"/>
              <w:rPr>
                <w:sz w:val="20"/>
                <w:szCs w:val="20"/>
                <w:color w:val="auto"/>
              </w:rPr>
            </w:pPr>
            <w:r>
              <w:rPr>
                <w:rFonts w:ascii="Arial" w:cs="Arial" w:eastAsia="Arial" w:hAnsi="Arial"/>
                <w:sz w:val="18"/>
                <w:szCs w:val="18"/>
                <w:b w:val="1"/>
                <w:bCs w:val="1"/>
                <w:color w:val="auto"/>
                <w:w w:val="87"/>
              </w:rPr>
              <w:t>Prospectus Supplement</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0000EE"/>
            </w:tcBorders>
            <w:gridSpan w:val="8"/>
          </w:tcPr>
          <w:p>
            <w:pPr>
              <w:spacing w:after="0" w:line="190"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About this Prospectus Supplement</w:t>
              </w:r>
            </w:hyperlink>
          </w:p>
        </w:tc>
        <w:tc>
          <w:tcPr>
            <w:tcW w:w="8140" w:type="dxa"/>
            <w:vAlign w:val="bottom"/>
            <w:gridSpan w:val="4"/>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
              <w:r>
                <w:rPr>
                  <w:rFonts w:ascii="Arial" w:cs="Arial" w:eastAsia="Arial" w:hAnsi="Arial"/>
                  <w:sz w:val="18"/>
                  <w:szCs w:val="18"/>
                  <w:color w:val="0000EE"/>
                  <w:w w:val="91"/>
                </w:rPr>
                <w:t>Cautionary Note Regarding Forward-Looking Statements</w:t>
              </w:r>
            </w:hyperlink>
          </w:p>
        </w:tc>
        <w:tc>
          <w:tcPr>
            <w:tcW w:w="64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Prospectus Supplement Summary</w:t>
              </w:r>
            </w:hyperlink>
          </w:p>
        </w:tc>
        <w:tc>
          <w:tcPr>
            <w:tcW w:w="82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Risk Factors</w:t>
              </w:r>
            </w:hyperlink>
          </w:p>
        </w:tc>
        <w:tc>
          <w:tcPr>
            <w:tcW w:w="972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Use of Proceeds</w:t>
              </w:r>
            </w:hyperlink>
          </w:p>
        </w:tc>
        <w:tc>
          <w:tcPr>
            <w:tcW w:w="94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64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Dividend Policy</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Dilution</w:t>
              </w:r>
            </w:hyperlink>
          </w:p>
        </w:tc>
        <w:tc>
          <w:tcPr>
            <w:tcW w:w="94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Description of Securities</w:t>
              </w:r>
            </w:hyperlink>
          </w:p>
        </w:tc>
        <w:tc>
          <w:tcPr>
            <w:tcW w:w="884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Plan of Distribution</w:t>
              </w:r>
            </w:hyperlink>
          </w:p>
        </w:tc>
        <w:tc>
          <w:tcPr>
            <w:tcW w:w="92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Legal Matters</w:t>
              </w:r>
            </w:hyperlink>
          </w:p>
        </w:tc>
        <w:tc>
          <w:tcPr>
            <w:tcW w:w="962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Experts</w:t>
              </w:r>
            </w:hyperlink>
          </w:p>
        </w:tc>
        <w:tc>
          <w:tcPr>
            <w:tcW w:w="100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Where You Can Find More Information</w:t>
              </w:r>
            </w:hyperlink>
          </w:p>
        </w:tc>
        <w:tc>
          <w:tcPr>
            <w:tcW w:w="77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064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Information Incorporated by Reference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438"/>
        </w:trPr>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80" w:type="dxa"/>
            <w:vAlign w:val="bottom"/>
          </w:tcPr>
          <w:p>
            <w:pPr>
              <w:jc w:val="center"/>
              <w:ind w:right="3270"/>
              <w:spacing w:after="0"/>
              <w:rPr>
                <w:sz w:val="20"/>
                <w:szCs w:val="20"/>
                <w:color w:val="auto"/>
              </w:rPr>
            </w:pPr>
            <w:r>
              <w:rPr>
                <w:rFonts w:ascii="Arial" w:cs="Arial" w:eastAsia="Arial" w:hAnsi="Arial"/>
                <w:sz w:val="18"/>
                <w:szCs w:val="18"/>
                <w:b w:val="1"/>
                <w:bCs w:val="1"/>
                <w:color w:val="auto"/>
                <w:w w:val="85"/>
              </w:rPr>
              <w:t>Prospectus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About This Prospectus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Axsome Therapeutics, Inc.</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Forward-Looking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Ratio of Earnings to Fixed Charges and Preferred Stock Dividend Requirements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Description of Capital Stock</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Description of 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Description of Debt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Description of Rights</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Description Of Units</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40" w:type="dxa"/>
            <w:vAlign w:val="bottom"/>
            <w:gridSpan w:val="12"/>
          </w:tcPr>
          <w:p>
            <w:pPr>
              <w:spacing w:after="0"/>
              <w:rPr>
                <w:sz w:val="20"/>
                <w:szCs w:val="20"/>
                <w:color w:val="auto"/>
              </w:rPr>
            </w:pPr>
            <w:r>
              <w:rPr>
                <w:rFonts w:ascii="Arial" w:cs="Arial" w:eastAsia="Arial" w:hAnsi="Arial"/>
                <w:sz w:val="18"/>
                <w:szCs w:val="18"/>
                <w:color w:val="auto"/>
              </w:rPr>
              <w:t>Plan of Distribution</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0640" w:type="dxa"/>
            <w:vAlign w:val="bottom"/>
            <w:gridSpan w:val="12"/>
          </w:tcPr>
          <w:p>
            <w:pPr>
              <w:spacing w:after="0"/>
              <w:rPr>
                <w:sz w:val="20"/>
                <w:szCs w:val="20"/>
                <w:color w:val="auto"/>
              </w:rPr>
            </w:pPr>
            <w:r>
              <w:rPr>
                <w:rFonts w:ascii="Arial" w:cs="Arial" w:eastAsia="Arial" w:hAnsi="Arial"/>
                <w:sz w:val="18"/>
                <w:szCs w:val="18"/>
                <w:color w:val="auto"/>
              </w:rPr>
              <w:t>Legal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Experts</w:t>
            </w:r>
          </w:p>
        </w:tc>
        <w:tc>
          <w:tcPr>
            <w:tcW w:w="4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Information Incorporated by Reference</w:t>
            </w:r>
          </w:p>
        </w:tc>
        <w:tc>
          <w:tcPr>
            <w:tcW w:w="4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8"/>
        </w:trPr>
        <w:tc>
          <w:tcPr>
            <w:tcW w:w="706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6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You should rely only on the information that we have included or incorporated by reference in this prospectus supplement, the accompanying prospectus, and any related free writing prospectus that we may authorize to be provided to you. We have not authorized any dealer, salesman, or other person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accompanying prospectus, or any related free writing prospectus is delivered, or securities are sold, on a later date.</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Certain matters discussed in this prospectus supplement and the accompanying prospectus, including matters discussed under the heading “Management’s Discussion and Analysis of Financial Condition and Results of Operations,” incorporated by reference herein,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where such forward-looking statements appear. All written or oral forward-looking statements attributable to us are expressly qualified in their entirety by these cautionary statements.</w:t>
      </w:r>
    </w:p>
    <w:p>
      <w:pPr>
        <w:spacing w:after="0" w:line="18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particular, our statements regarding trends and potential future results are examples of such forward-looking statements. The forward-looking statements include risks and uncertainties, including, but not limited to, 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U.S. Food and Drug Administration or other regulatory authority approval of, or other action with respect to, our product candidates; our ability to successfully defend our intellectual property or obtain the necessary licenses at a cost acceptable to us, if at all; the successful implementation of our research and development programs and collaborations; the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8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ectPr>
          <w:pgSz w:w="11900" w:h="16838" w:orient="portrait"/>
          <w:cols w:equalWidth="0" w:num="1">
            <w:col w:w="11460"/>
          </w:cols>
          <w:pgMar w:left="240" w:top="125" w:right="199" w:bottom="0" w:gutter="0" w:footer="0" w:header="0"/>
        </w:sectPr>
      </w:pPr>
    </w:p>
    <w:bookmarkStart w:id="2" w:name="page3"/>
    <w:bookmarkEnd w:id="2"/>
    <w:p>
      <w:pPr>
        <w:ind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7169150" cy="7152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71520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20" w:right="160" w:firstLine="648"/>
        <w:spacing w:after="0" w:line="255"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supplement. Because it is only a summary, it does not contain all of the information that you should consider before investing in our securities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You should read all such documents carefully, especially the risk factors and our consolidated financial statements and the related notes included or incorporated by reference herein or therein, before deciding to buy shares of our common stock. Unless the context requires otherwise, references in this prospectus to “Axsome,” “we,” “us,” and “our” refer to Axsome Therapeutics,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220" w:right="180" w:firstLine="648"/>
        <w:spacing w:after="0" w:line="268" w:lineRule="auto"/>
        <w:rPr>
          <w:sz w:val="20"/>
          <w:szCs w:val="20"/>
          <w:color w:val="auto"/>
        </w:rPr>
      </w:pPr>
      <w:r>
        <w:rPr>
          <w:rFonts w:ascii="Arial" w:cs="Arial" w:eastAsia="Arial" w:hAnsi="Arial"/>
          <w:sz w:val="17"/>
          <w:szCs w:val="17"/>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five CNS product candidates, AXS-05, AXS-07, AXS-09, AXS-02, and AXS-06 which we are developing for multiple indications. We are conducting a Phase 3 trial with AXS-05 in treatment resistant depression, or TRD, which we refer to as the STRIDE-1 study, a Phase 2/3 trial in agitation associated with Alzheimer’s disease, or AD, which we refer to as the ADVANCE-1 study, and a Phase 2 trial in Major Depressive Disorder, or MDD, which we refer to as the ASCEND study. Additionally, AXS-05 is currently in a Phase 2 trial in smoking cessation. AXS-07 is being developed for the acute treatment of migraine. AXS-09 is being developed for CNS disorders. We are also conducting a Phase 3 trial with AXS-02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Lastly, AXS-06 is being developed for the treatment of osteoarthritis and rheumatoid arthritis and for the reduction of the risk of nonsteroidal anti-inflammatory drug, or NSAID, associated gastric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85" w:lineRule="exact"/>
        <w:rPr>
          <w:sz w:val="20"/>
          <w:szCs w:val="20"/>
          <w:color w:val="auto"/>
        </w:rPr>
      </w:pPr>
    </w:p>
    <w:p>
      <w:pPr>
        <w:ind w:left="220" w:right="140" w:firstLine="648"/>
        <w:spacing w:after="0" w:line="284" w:lineRule="auto"/>
        <w:rPr>
          <w:sz w:val="20"/>
          <w:szCs w:val="20"/>
          <w:color w:val="auto"/>
        </w:rPr>
      </w:pPr>
      <w:r>
        <w:rPr>
          <w:rFonts w:ascii="Arial" w:cs="Arial" w:eastAsia="Arial" w:hAnsi="Arial"/>
          <w:sz w:val="16"/>
          <w:szCs w:val="16"/>
          <w:color w:val="auto"/>
        </w:rPr>
        <w:t>AXS-05 is a novel, oral, investigational medicine under development for the treatment of CNS disorders. AXS-05 consists of bupropion and dextromethorphan and utilizes Axsome’s metabolic inhibition technology. We are developing AXS-05 initially for the following four indications: TRD, agitation associated with AD, MDD, and as an aid to smoking cessation. DM is active at multiple CNS receptors but is rapidly and extensively metabolized in humans. As a result, it is difficult to attain potential therapeutic plasma levels of DM when it is dosed as a single agent. AXS-05 uses bupropion as a novel drug delivery method to inhibit DM metabolism and increase its bioavailability. We have demonstrated in three Phase 1 trials that DM plasma levels are substantially increased into a potentially therapeutic range with the co-administration of bupropion. Bupropion is itself active at distinct CNS receptors providing the potential for an additive or synergistic effect. We intend to seek FDA approval for AXS-05 utilizing the 505(b)</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 regulatory development pathway.</w:t>
      </w:r>
    </w:p>
    <w:p>
      <w:pPr>
        <w:spacing w:after="0" w:line="211" w:lineRule="exact"/>
        <w:rPr>
          <w:sz w:val="20"/>
          <w:szCs w:val="20"/>
          <w:color w:val="auto"/>
        </w:rPr>
      </w:pPr>
    </w:p>
    <w:p>
      <w:pPr>
        <w:ind w:left="220" w:right="140" w:firstLine="648"/>
        <w:spacing w:after="0" w:line="270" w:lineRule="auto"/>
        <w:rPr>
          <w:sz w:val="20"/>
          <w:szCs w:val="20"/>
          <w:color w:val="auto"/>
        </w:rPr>
      </w:pPr>
      <w:r>
        <w:rPr>
          <w:rFonts w:ascii="Arial" w:cs="Arial" w:eastAsia="Arial" w:hAnsi="Arial"/>
          <w:sz w:val="17"/>
          <w:szCs w:val="17"/>
          <w:color w:val="auto"/>
        </w:rPr>
        <w:t>AXS-07 is a novel, oral, investigational medicine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82" w:lineRule="exact"/>
        <w:rPr>
          <w:sz w:val="20"/>
          <w:szCs w:val="20"/>
          <w:color w:val="auto"/>
        </w:rPr>
      </w:pPr>
    </w:p>
    <w:p>
      <w:pPr>
        <w:ind w:left="220" w:right="160" w:firstLine="648"/>
        <w:spacing w:after="0" w:line="259" w:lineRule="auto"/>
        <w:rPr>
          <w:sz w:val="20"/>
          <w:szCs w:val="20"/>
          <w:color w:val="auto"/>
        </w:rPr>
      </w:pPr>
      <w:r>
        <w:rPr>
          <w:rFonts w:ascii="Arial" w:cs="Arial" w:eastAsia="Arial" w:hAnsi="Arial"/>
          <w:sz w:val="18"/>
          <w:szCs w:val="18"/>
          <w:color w:val="auto"/>
        </w:rPr>
        <w:t xml:space="preserve">AXS-09 is an oral, investigational medicine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 and </w:t>
      </w:r>
      <w:r>
        <w:rPr>
          <w:rFonts w:ascii="Arial" w:cs="Arial" w:eastAsia="Arial" w:hAnsi="Arial"/>
          <w:sz w:val="18"/>
          <w:szCs w:val="18"/>
          <w:i w:val="1"/>
          <w:iCs w:val="1"/>
          <w:color w:val="auto"/>
        </w:rPr>
        <w:t>R</w:t>
      </w:r>
      <w:r>
        <w:rPr>
          <w:rFonts w:ascii="Arial" w:cs="Arial" w:eastAsia="Arial" w:hAnsi="Arial"/>
          <w:sz w:val="18"/>
          <w:szCs w:val="18"/>
          <w:color w:val="auto"/>
        </w:rPr>
        <w:t>-enantiomers. We have demonstrated in a Phase 1 trial that DM plasma levels are substantially increased into a potentially</w:t>
      </w: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7169150" cy="1356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13563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20" w:right="500"/>
        <w:spacing w:after="0" w:line="277" w:lineRule="auto"/>
        <w:rPr>
          <w:sz w:val="20"/>
          <w:szCs w:val="20"/>
          <w:color w:val="auto"/>
        </w:rPr>
      </w:pPr>
      <w:r>
        <w:rPr>
          <w:rFonts w:ascii="Arial" w:cs="Arial" w:eastAsia="Arial" w:hAnsi="Arial"/>
          <w:sz w:val="18"/>
          <w:szCs w:val="18"/>
          <w:color w:val="auto"/>
        </w:rPr>
        <w:t xml:space="preserve">therapeutic range with repeated administration of AXS-09. Results of this Phase 1 trial coupled with preclinical data also indicate the potential for enhanced absorption and therapeutic effect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-enantiomer as compared to the </w:t>
      </w:r>
      <w:r>
        <w:rPr>
          <w:rFonts w:ascii="Arial" w:cs="Arial" w:eastAsia="Arial" w:hAnsi="Arial"/>
          <w:sz w:val="18"/>
          <w:szCs w:val="18"/>
          <w:i w:val="1"/>
          <w:iCs w:val="1"/>
          <w:color w:val="auto"/>
        </w:rPr>
        <w:t>R</w:t>
      </w:r>
      <w:r>
        <w:rPr>
          <w:rFonts w:ascii="Arial" w:cs="Arial" w:eastAsia="Arial" w:hAnsi="Arial"/>
          <w:sz w:val="18"/>
          <w:szCs w:val="18"/>
          <w:color w:val="auto"/>
        </w:rPr>
        <w:t>-enantiomer.</w:t>
      </w:r>
    </w:p>
    <w:p>
      <w:pPr>
        <w:spacing w:after="0" w:line="170" w:lineRule="exact"/>
        <w:rPr>
          <w:sz w:val="20"/>
          <w:szCs w:val="20"/>
          <w:color w:val="auto"/>
        </w:rPr>
      </w:pPr>
    </w:p>
    <w:p>
      <w:pPr>
        <w:ind w:left="220" w:right="180" w:firstLine="648"/>
        <w:spacing w:after="0" w:line="297" w:lineRule="auto"/>
        <w:rPr>
          <w:sz w:val="20"/>
          <w:szCs w:val="20"/>
          <w:color w:val="auto"/>
        </w:rPr>
      </w:pPr>
      <w:r>
        <w:rPr>
          <w:rFonts w:ascii="Arial" w:cs="Arial" w:eastAsia="Arial" w:hAnsi="Arial"/>
          <w:sz w:val="16"/>
          <w:szCs w:val="16"/>
          <w:color w:val="auto"/>
        </w:rPr>
        <w:t>AXS-02, disodium zoledronate tetrahydrate, is a potentially first-in-class, oral, targeted, non-opioid therapeutic for chronic pain. AXS-02 is a potent inhibitor of osteoclasts, which are bone remodeling cells that break down bone tissue. We are initially developing AXS-02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AXS-02, such as inhibition of osteoclast activity. These mechanisms may result in a reduction of pain in these conditions. We have successfully completed a Phase 1 trial of AXS-02</w:t>
      </w:r>
    </w:p>
    <w:p>
      <w:pPr>
        <w:sectPr>
          <w:pgSz w:w="11900" w:h="16838" w:orient="portrait"/>
          <w:cols w:equalWidth="0" w:num="1">
            <w:col w:w="11240"/>
          </w:cols>
          <w:pgMar w:left="240" w:top="125" w:right="419" w:bottom="0" w:gutter="0" w:footer="0" w:header="0"/>
        </w:sectPr>
      </w:pPr>
    </w:p>
    <w:bookmarkStart w:id="3" w:name="page4"/>
    <w:bookmarkEnd w:id="3"/>
    <w:p>
      <w:pPr>
        <w:ind w:left="220" w:right="80"/>
        <w:spacing w:after="0" w:line="302" w:lineRule="auto"/>
        <w:rPr>
          <w:sz w:val="20"/>
          <w:szCs w:val="20"/>
          <w:color w:val="auto"/>
        </w:rPr>
      </w:pPr>
      <w:r>
        <w:rPr>
          <w:rFonts w:ascii="Arial" w:cs="Arial" w:eastAsia="Arial" w:hAnsi="Arial"/>
          <w:sz w:val="16"/>
          <w:szCs w:val="16"/>
          <w:color w:val="auto"/>
        </w:rPr>
        <w:t>to characterize the pharmacokinetics of zoledronic acid and its effects on markers of bone resorption after oral administration of AXS-02. The results of our Phase 1 trial demonstrated that oral administration of AXS-02 tablets resulted in rapid absorption of zoledronic acid, which is the active molecule in AXS-02 and the free acid form of disodium zoledronate tetrahydrate, and substantial suppression of bone resorption markers, which are proteins indicative of bone tissue breakdown. We intend to seek FDA approval for AXS-02 utilizing the 505(b)(2) regulatory development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-578485</wp:posOffset>
            </wp:positionV>
            <wp:extent cx="7169150" cy="6182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6182995"/>
                    </a:xfrm>
                    <a:prstGeom prst="rect">
                      <a:avLst/>
                    </a:prstGeom>
                    <a:noFill/>
                  </pic:spPr>
                </pic:pic>
              </a:graphicData>
            </a:graphic>
          </wp:anchor>
        </w:drawing>
      </w:r>
    </w:p>
    <w:p>
      <w:pPr>
        <w:spacing w:after="0" w:line="134" w:lineRule="exact"/>
        <w:rPr>
          <w:sz w:val="20"/>
          <w:szCs w:val="20"/>
          <w:color w:val="auto"/>
        </w:rPr>
      </w:pPr>
    </w:p>
    <w:p>
      <w:pPr>
        <w:ind w:left="220" w:firstLine="648"/>
        <w:spacing w:after="0" w:line="272" w:lineRule="auto"/>
        <w:rPr>
          <w:sz w:val="20"/>
          <w:szCs w:val="20"/>
          <w:color w:val="auto"/>
        </w:rPr>
      </w:pPr>
      <w:r>
        <w:rPr>
          <w:rFonts w:ascii="Arial" w:cs="Arial" w:eastAsia="Arial" w:hAnsi="Arial"/>
          <w:sz w:val="17"/>
          <w:szCs w:val="17"/>
          <w:color w:val="auto"/>
        </w:rPr>
        <w:t>AXS-06 is a novel, oral, non-opioid, investigational medicine consisting of MoSEIC™ meloxicam and esomeprazole. We are developing AXS-06 initially for the treatment of osteoarthritis and rheumatoid arthritis.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11"/>
          <w:szCs w:val="11"/>
          <w:color w:val="auto"/>
        </w:rPr>
        <w:t>max</w:t>
      </w:r>
      <w:r>
        <w:rPr>
          <w:rFonts w:ascii="Arial" w:cs="Arial" w:eastAsia="Arial" w:hAnsi="Arial"/>
          <w:sz w:val="17"/>
          <w:szCs w:val="17"/>
          <w:color w:val="auto"/>
        </w:rPr>
        <w:t xml:space="preserve"> for meloxicam, the trial’s primary endpoint, was nine times faster for AXS-06 as compared to standard meloxicam. We intend to seek FDA approval for AXS-06 utilizing the 505(b)(2) regulatory development pathway.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20" w:right="140" w:firstLine="648"/>
        <w:spacing w:after="0" w:line="277" w:lineRule="auto"/>
        <w:rPr>
          <w:sz w:val="20"/>
          <w:szCs w:val="20"/>
          <w:color w:val="auto"/>
        </w:rPr>
      </w:pPr>
      <w:r>
        <w:rPr>
          <w:rFonts w:ascii="Arial" w:cs="Arial" w:eastAsia="Arial" w:hAnsi="Arial"/>
          <w:sz w:val="18"/>
          <w:szCs w:val="18"/>
          <w:color w:val="auto"/>
        </w:rPr>
        <w:t>We were incorporated under the laws of the State of Delaware in January 2012. Our principal executive offices are located at 25 Broadway, 9th Floor, New York, New York 10004, and our telephone number is (212) 332-3241.</w:t>
      </w:r>
    </w:p>
    <w:p>
      <w:pPr>
        <w:spacing w:after="0" w:line="170" w:lineRule="exact"/>
        <w:rPr>
          <w:sz w:val="20"/>
          <w:szCs w:val="20"/>
          <w:color w:val="auto"/>
        </w:rPr>
      </w:pPr>
    </w:p>
    <w:p>
      <w:pPr>
        <w:ind w:left="220" w:right="20" w:firstLine="648"/>
        <w:spacing w:after="0" w:line="255" w:lineRule="auto"/>
        <w:rPr>
          <w:sz w:val="20"/>
          <w:szCs w:val="20"/>
          <w:color w:val="auto"/>
        </w:rPr>
      </w:pPr>
      <w:r>
        <w:rPr>
          <w:rFonts w:ascii="Arial" w:cs="Arial" w:eastAsia="Arial" w:hAnsi="Arial"/>
          <w:sz w:val="18"/>
          <w:szCs w:val="18"/>
          <w:color w:val="auto"/>
        </w:rPr>
        <w:t xml:space="preserve">Information concerning our business and our prospects is included in the documents that we file with the SEC as a reporting company under the Securities Exchange Act of 1934, which are accessible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www.axsome.com</w:t>
      </w:r>
      <w:r>
        <w:rPr>
          <w:rFonts w:ascii="Arial" w:cs="Arial" w:eastAsia="Arial" w:hAnsi="Arial"/>
          <w:sz w:val="18"/>
          <w:szCs w:val="18"/>
          <w:color w:val="auto"/>
        </w:rPr>
        <w:t>. The public can also obtain copies of these filings by visiting the SEC’s Public Reference Room at 100 F Street NE, Washington D.C. 20549, or by calling the SEC at 1-800-SEC-0330.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20" w:right="60" w:firstLine="64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relief from certain reporting requirements and other burdens that are otherwise generally applicable to public companies. These provisions include:</w:t>
      </w:r>
    </w:p>
    <w:p>
      <w:pPr>
        <w:spacing w:after="0" w:line="181" w:lineRule="exact"/>
        <w:rPr>
          <w:sz w:val="20"/>
          <w:szCs w:val="20"/>
          <w:color w:val="auto"/>
        </w:rPr>
      </w:pPr>
    </w:p>
    <w:p>
      <w:pPr>
        <w:ind w:left="1200" w:right="140" w:hanging="328"/>
        <w:spacing w:after="0" w:line="308" w:lineRule="auto"/>
        <w:tabs>
          <w:tab w:leader="none" w:pos="1164" w:val="left"/>
        </w:tabs>
        <w:numPr>
          <w:ilvl w:val="0"/>
          <w:numId w:val="1"/>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46" w:lineRule="exact"/>
        <w:rPr>
          <w:rFonts w:ascii="Arial" w:cs="Arial" w:eastAsia="Arial" w:hAnsi="Arial"/>
          <w:sz w:val="17"/>
          <w:szCs w:val="17"/>
          <w:color w:val="auto"/>
        </w:rPr>
      </w:pPr>
    </w:p>
    <w:p>
      <w:pPr>
        <w:ind w:left="1160" w:hanging="288"/>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internal controls over financial reporting;</w:t>
      </w:r>
    </w:p>
    <w:p>
      <w:pPr>
        <w:spacing w:after="0" w:line="225" w:lineRule="exact"/>
        <w:rPr>
          <w:rFonts w:ascii="Arial" w:cs="Arial" w:eastAsia="Arial" w:hAnsi="Arial"/>
          <w:sz w:val="18"/>
          <w:szCs w:val="18"/>
          <w:color w:val="auto"/>
        </w:rPr>
      </w:pPr>
    </w:p>
    <w:p>
      <w:pPr>
        <w:ind w:left="1160" w:hanging="288"/>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225" w:lineRule="exact"/>
        <w:rPr>
          <w:rFonts w:ascii="Arial" w:cs="Arial" w:eastAsia="Arial" w:hAnsi="Arial"/>
          <w:sz w:val="18"/>
          <w:szCs w:val="18"/>
          <w:color w:val="auto"/>
        </w:rPr>
      </w:pPr>
    </w:p>
    <w:p>
      <w:pPr>
        <w:ind w:left="1160" w:hanging="288"/>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requirements for non-binding advisory votes on executive compensation or golden parachute arrangements.</w:t>
      </w:r>
    </w:p>
    <w:p>
      <w:pPr>
        <w:spacing w:after="0" w:line="225" w:lineRule="exact"/>
        <w:rPr>
          <w:sz w:val="20"/>
          <w:szCs w:val="20"/>
          <w:color w:val="auto"/>
        </w:rPr>
      </w:pPr>
    </w:p>
    <w:p>
      <w:pPr>
        <w:ind w:left="220" w:right="80"/>
        <w:spacing w:after="0" w:line="259" w:lineRule="auto"/>
        <w:rPr>
          <w:sz w:val="20"/>
          <w:szCs w:val="20"/>
          <w:color w:val="auto"/>
        </w:rPr>
      </w:pPr>
      <w:r>
        <w:rPr>
          <w:rFonts w:ascii="Arial" w:cs="Arial" w:eastAsia="Arial" w:hAnsi="Arial"/>
          <w:sz w:val="18"/>
          <w:szCs w:val="18"/>
          <w:color w:val="auto"/>
        </w:rPr>
        <w:t>We may take advantage of these provisions for up to five years from the date of our initial public offering in November 2015 or such earlier time that we no longer qualify as an emerging growth company. We would cease to be an emerging growth company if we have more than $1.07 billion in annual revenue, have more than $700 million in market value of our capital stock held by non-affiliates or issue more than $1.0 billion of non-convertible debt over a three-year period. We may choose</w:t>
      </w:r>
    </w:p>
    <w:p>
      <w:pPr>
        <w:spacing w:after="0" w:line="200" w:lineRule="exact"/>
        <w:rPr>
          <w:sz w:val="20"/>
          <w:szCs w:val="20"/>
          <w:color w:val="auto"/>
        </w:rPr>
      </w:pPr>
    </w:p>
    <w:p>
      <w:pPr>
        <w:spacing w:after="0" w:line="21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7169150"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7029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20" w:right="60"/>
        <w:spacing w:after="0" w:line="312" w:lineRule="auto"/>
        <w:rPr>
          <w:sz w:val="20"/>
          <w:szCs w:val="20"/>
          <w:color w:val="auto"/>
        </w:rPr>
      </w:pPr>
      <w:r>
        <w:rPr>
          <w:rFonts w:ascii="Arial" w:cs="Arial" w:eastAsia="Arial" w:hAnsi="Arial"/>
          <w:sz w:val="16"/>
          <w:szCs w:val="16"/>
          <w:color w:val="auto"/>
        </w:rPr>
        <w:t>to take advantage of some but not all of these reduced reporting requirements and other burdens. We have taken advantage of some reduced reporting burdens in this prospectus supplement, the accompanying prospectus and the documents incorporated by reference herein and therein. Accordingly, the information that we provide stockholders may be different than you might obtain from other public companies in which you hold equity interests.</w:t>
      </w:r>
    </w:p>
    <w:p>
      <w:pPr>
        <w:spacing w:after="0" w:line="3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7169150" cy="1896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189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240" w:top="125" w:right="619" w:bottom="0" w:gutter="0" w:footer="0" w:header="0"/>
        </w:sect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Common stock offered by us</w:t>
      </w:r>
    </w:p>
    <w:p>
      <w:pPr>
        <w:spacing w:after="0" w:line="225" w:lineRule="exact"/>
        <w:rPr>
          <w:sz w:val="20"/>
          <w:szCs w:val="20"/>
          <w:color w:val="auto"/>
        </w:rPr>
      </w:pPr>
    </w:p>
    <w:p>
      <w:pPr>
        <w:ind w:left="400" w:hanging="181"/>
        <w:spacing w:after="0" w:line="277" w:lineRule="auto"/>
        <w:rPr>
          <w:sz w:val="20"/>
          <w:szCs w:val="20"/>
          <w:color w:val="auto"/>
        </w:rPr>
      </w:pPr>
      <w:r>
        <w:rPr>
          <w:rFonts w:ascii="Arial" w:cs="Arial" w:eastAsia="Arial" w:hAnsi="Arial"/>
          <w:sz w:val="18"/>
          <w:szCs w:val="18"/>
          <w:color w:val="auto"/>
        </w:rPr>
        <w:t>Total common stock to be outstanding after this offering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2,966,667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29,219,229 shares.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intend to use the net proceeds from this offering to for working capital and general corporate purposes. See “Use of Proceeds.”</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You should read the “Risk Factors” section of this prospectus supplement beginning on page S-4 as well as those risk factors that are incorporated by reference in this prospectus supplement and the</w:t>
      </w:r>
    </w:p>
    <w:p>
      <w:pPr>
        <w:sectPr>
          <w:pgSz w:w="11900" w:h="16838" w:orient="portrait"/>
          <w:cols w:equalWidth="0" w:num="2">
            <w:col w:w="3360" w:space="80"/>
            <w:col w:w="7600"/>
          </w:cols>
          <w:pgMar w:left="240" w:top="125" w:right="619" w:bottom="0" w:gutter="0" w:footer="0" w:header="0"/>
          <w:type w:val="continuous"/>
        </w:sectPr>
      </w:pPr>
    </w:p>
    <w:bookmarkStart w:id="4" w:name="page5"/>
    <w:bookmarkEnd w:id="4"/>
    <w:p>
      <w:pPr>
        <w:ind w:left="3440" w:right="660"/>
        <w:spacing w:after="0" w:line="277" w:lineRule="auto"/>
        <w:rPr>
          <w:sz w:val="20"/>
          <w:szCs w:val="20"/>
          <w:color w:val="auto"/>
        </w:rPr>
      </w:pPr>
      <w:r>
        <w:rPr>
          <w:rFonts w:ascii="Arial" w:cs="Arial" w:eastAsia="Arial" w:hAnsi="Arial"/>
          <w:sz w:val="18"/>
          <w:szCs w:val="18"/>
          <w:color w:val="auto"/>
        </w:rPr>
        <w:t>accompanying prospectus for a discussion of factors to consider carefully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-293370</wp:posOffset>
            </wp:positionV>
            <wp:extent cx="7169150" cy="3439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3439160"/>
                    </a:xfrm>
                    <a:prstGeom prst="rect">
                      <a:avLst/>
                    </a:prstGeom>
                    <a:noFill/>
                  </pic:spPr>
                </pic:pic>
              </a:graphicData>
            </a:graphic>
          </wp:anchor>
        </w:drawing>
      </w:r>
    </w:p>
    <w:p>
      <w:pPr>
        <w:spacing w:after="0" w:line="150" w:lineRule="exact"/>
        <w:rPr>
          <w:sz w:val="20"/>
          <w:szCs w:val="20"/>
          <w:color w:val="auto"/>
        </w:rPr>
      </w:pPr>
    </w:p>
    <w:p>
      <w:pPr>
        <w:ind w:left="220"/>
        <w:spacing w:after="0"/>
        <w:tabs>
          <w:tab w:leader="none" w:pos="342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7"/>
          <w:szCs w:val="17"/>
          <w:color w:val="auto"/>
        </w:rPr>
        <w:t>AXSM.</w:t>
      </w:r>
    </w:p>
    <w:p>
      <w:pPr>
        <w:spacing w:after="0" w:line="225" w:lineRule="exact"/>
        <w:rPr>
          <w:sz w:val="20"/>
          <w:szCs w:val="20"/>
          <w:color w:val="auto"/>
        </w:rPr>
      </w:pPr>
    </w:p>
    <w:p>
      <w:pPr>
        <w:ind w:left="220" w:right="720" w:firstLine="648"/>
        <w:spacing w:after="0" w:line="277" w:lineRule="auto"/>
        <w:rPr>
          <w:sz w:val="20"/>
          <w:szCs w:val="20"/>
          <w:color w:val="auto"/>
        </w:rPr>
      </w:pPr>
      <w:r>
        <w:rPr>
          <w:rFonts w:ascii="Arial" w:cs="Arial" w:eastAsia="Arial" w:hAnsi="Arial"/>
          <w:sz w:val="18"/>
          <w:szCs w:val="18"/>
          <w:color w:val="auto"/>
        </w:rPr>
        <w:t>The number of shares of our common stock that will be outstanding immediately after this offering is based on 26,252,562 shares of our common stock outstanding as of June 30, 2018. This calculation excludes:</w:t>
      </w:r>
    </w:p>
    <w:p>
      <w:pPr>
        <w:spacing w:after="0" w:line="170" w:lineRule="exact"/>
        <w:rPr>
          <w:sz w:val="20"/>
          <w:szCs w:val="20"/>
          <w:color w:val="auto"/>
        </w:rPr>
      </w:pPr>
    </w:p>
    <w:p>
      <w:pPr>
        <w:ind w:left="1200" w:right="900" w:hanging="328"/>
        <w:spacing w:after="0" w:line="277" w:lineRule="auto"/>
        <w:tabs>
          <w:tab w:leader="none" w:pos="1164" w:val="left"/>
        </w:tabs>
        <w:numPr>
          <w:ilvl w:val="0"/>
          <w:numId w:val="2"/>
        </w:numPr>
        <w:rPr>
          <w:rFonts w:ascii="Arial" w:cs="Arial" w:eastAsia="Arial" w:hAnsi="Arial"/>
          <w:sz w:val="18"/>
          <w:szCs w:val="18"/>
          <w:color w:val="auto"/>
        </w:rPr>
      </w:pPr>
      <w:r>
        <w:rPr>
          <w:rFonts w:ascii="Arial" w:cs="Arial" w:eastAsia="Arial" w:hAnsi="Arial"/>
          <w:sz w:val="18"/>
          <w:szCs w:val="18"/>
          <w:color w:val="auto"/>
        </w:rPr>
        <w:t>2,914,069 shares of common stock issuable upon exercise of stock options outstanding as of June 30, 2018, at a weighted average exercise price of $4.91 per share;</w:t>
      </w:r>
    </w:p>
    <w:p>
      <w:pPr>
        <w:spacing w:after="0" w:line="170" w:lineRule="exact"/>
        <w:rPr>
          <w:rFonts w:ascii="Arial" w:cs="Arial" w:eastAsia="Arial" w:hAnsi="Arial"/>
          <w:sz w:val="18"/>
          <w:szCs w:val="18"/>
          <w:color w:val="auto"/>
        </w:rPr>
      </w:pPr>
    </w:p>
    <w:p>
      <w:pPr>
        <w:ind w:left="1200" w:right="300" w:hanging="328"/>
        <w:spacing w:after="0" w:line="259" w:lineRule="auto"/>
        <w:tabs>
          <w:tab w:leader="none" w:pos="1164"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2,009,149 shares of common stock issuable upon the exercise of outstanding warrants as of June 30, 2018, consisting of 101,260 warrants with an exercise price of $1.30 per share, 42,059 warrants with an exercise price of $5.94 per share, 65,228 warrants with an exercise price of $7.41 per share, 1,783,587 warrants with an exercise price of $5.25 per share, and 107,015 warrants with an exercise price of $6.6562 per share;</w:t>
      </w:r>
    </w:p>
    <w:p>
      <w:pPr>
        <w:spacing w:after="0" w:line="186" w:lineRule="exact"/>
        <w:rPr>
          <w:rFonts w:ascii="Arial" w:cs="Arial" w:eastAsia="Arial" w:hAnsi="Arial"/>
          <w:sz w:val="18"/>
          <w:szCs w:val="18"/>
          <w:color w:val="auto"/>
        </w:rPr>
      </w:pPr>
    </w:p>
    <w:p>
      <w:pPr>
        <w:ind w:left="1200" w:right="400" w:hanging="328"/>
        <w:spacing w:after="0" w:line="277" w:lineRule="auto"/>
        <w:tabs>
          <w:tab w:leader="none" w:pos="1164" w:val="left"/>
        </w:tabs>
        <w:numPr>
          <w:ilvl w:val="0"/>
          <w:numId w:val="2"/>
        </w:numPr>
        <w:rPr>
          <w:rFonts w:ascii="Arial" w:cs="Arial" w:eastAsia="Arial" w:hAnsi="Arial"/>
          <w:sz w:val="18"/>
          <w:szCs w:val="18"/>
          <w:color w:val="auto"/>
        </w:rPr>
      </w:pPr>
      <w:r>
        <w:rPr>
          <w:rFonts w:ascii="Arial" w:cs="Arial" w:eastAsia="Arial" w:hAnsi="Arial"/>
          <w:sz w:val="18"/>
          <w:szCs w:val="18"/>
          <w:color w:val="auto"/>
        </w:rPr>
        <w:t>2,254,120 shares of common stock as of June 30, 2018 available for future grant under our 2015 Omnibus Incentive Compensation Plan, or the 2015 Plan; and</w:t>
      </w:r>
    </w:p>
    <w:p>
      <w:pPr>
        <w:spacing w:after="0" w:line="170" w:lineRule="exact"/>
        <w:rPr>
          <w:rFonts w:ascii="Arial" w:cs="Arial" w:eastAsia="Arial" w:hAnsi="Arial"/>
          <w:sz w:val="18"/>
          <w:szCs w:val="18"/>
          <w:color w:val="auto"/>
        </w:rPr>
      </w:pPr>
    </w:p>
    <w:p>
      <w:pPr>
        <w:ind w:left="1200" w:right="300" w:hanging="328"/>
        <w:spacing w:after="0" w:line="277" w:lineRule="auto"/>
        <w:tabs>
          <w:tab w:leader="none" w:pos="1164" w:val="left"/>
        </w:tabs>
        <w:numPr>
          <w:ilvl w:val="0"/>
          <w:numId w:val="2"/>
        </w:numPr>
        <w:rPr>
          <w:rFonts w:ascii="Arial" w:cs="Arial" w:eastAsia="Arial" w:hAnsi="Arial"/>
          <w:sz w:val="18"/>
          <w:szCs w:val="18"/>
          <w:color w:val="auto"/>
        </w:rPr>
      </w:pPr>
      <w:r>
        <w:rPr>
          <w:rFonts w:ascii="Arial" w:cs="Arial" w:eastAsia="Arial" w:hAnsi="Arial"/>
          <w:sz w:val="18"/>
          <w:szCs w:val="18"/>
          <w:color w:val="auto"/>
        </w:rPr>
        <w:t>180,800 shares of common stock we have issued subsequent to June 30, 2018 pursuant to our sales agreement with Leerink Partners LLC, dated October 20, 2017.</w:t>
      </w:r>
    </w:p>
    <w:p>
      <w:pPr>
        <w:spacing w:after="0" w:line="170" w:lineRule="exact"/>
        <w:rPr>
          <w:sz w:val="20"/>
          <w:szCs w:val="20"/>
          <w:color w:val="auto"/>
        </w:rPr>
      </w:pPr>
    </w:p>
    <w:p>
      <w:pPr>
        <w:ind w:left="220" w:right="320" w:firstLine="648"/>
        <w:spacing w:after="0" w:line="277" w:lineRule="auto"/>
        <w:rPr>
          <w:sz w:val="20"/>
          <w:szCs w:val="20"/>
          <w:color w:val="auto"/>
        </w:rPr>
      </w:pPr>
      <w:r>
        <w:rPr>
          <w:rFonts w:ascii="Arial" w:cs="Arial" w:eastAsia="Arial" w:hAnsi="Arial"/>
          <w:sz w:val="18"/>
          <w:szCs w:val="18"/>
          <w:color w:val="auto"/>
        </w:rPr>
        <w:t>Unless otherwise indicated herein, all information in this prospectus supplement, including the number of shares that will be outstanding after this offering reflects and assumes no exercise of outstanding options or warrants after June 30, 2018.</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An investment in our common stock or securities convertible or exercisable into our common stock involves a high degree of risk. Before deciding whether to invest in our securities,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 which would depress the market price of our common stock, and could cause you to lose all or a part of your investment.</w:t>
      </w:r>
    </w:p>
    <w:p>
      <w:pPr>
        <w:spacing w:after="0" w:line="18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AXS-02, AXS-05, AXS-06, AXS-07 and AXS-09, which we refer to herein as our product candidates, with the goal of achieving regulatory approval. Since inception, we have incurred significant operating losses. Our net losses were $13.1 million and $28.9 million for six months ended June 30, 2018 and the year ended December 31, 2017, respectively. As of June 30, 2018, we had an accumulated deficit of $89.7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7" w:lineRule="exact"/>
        <w:rPr>
          <w:sz w:val="20"/>
          <w:szCs w:val="20"/>
          <w:color w:val="auto"/>
        </w:rPr>
      </w:pPr>
    </w:p>
    <w:p>
      <w:pPr>
        <w:ind w:left="980" w:right="560" w:hanging="324"/>
        <w:spacing w:after="0" w:line="258"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Phase 3 clinical trials with AXS-02 for the treatment of pain associated with knee osteoarthritis, or OA, associated with bone marrow lesions, or BMLs;</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Phase 3 clinical trials with AXS-05 for the treatment of treatment resistant depression, or TRD;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Phase 2/3 clinical trials with AXS-05 for the treatment of agitation associated with Alzheimer’s disease, or AD agitation;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Phase 2 clinical trial with AXS-05 for the treatment of major depressive disorder, or MDD;</w:t>
      </w:r>
    </w:p>
    <w:p>
      <w:pPr>
        <w:spacing w:after="0" w:line="9" w:lineRule="exact"/>
        <w:rPr>
          <w:rFonts w:ascii="Arial" w:cs="Arial" w:eastAsia="Arial" w:hAnsi="Arial"/>
          <w:sz w:val="18"/>
          <w:szCs w:val="18"/>
          <w:color w:val="auto"/>
        </w:rPr>
      </w:pPr>
    </w:p>
    <w:p>
      <w:pPr>
        <w:ind w:left="980" w:hanging="324"/>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AXS-06 for the treatment of osteoarthritis and rheumatoid arthritis, AXS-07 for the acute treatment of migraine, and AXS-09 for the treatment of CNS disorders;</w:t>
      </w: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in-license or acquire additional product candidates;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late-stage clinical trials for any product candidates that successfully complete early-stage clinical trials;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late-stage clinical trials;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additional non-clinical studies with any product candidates;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ectPr>
          <w:pgSz w:w="11900" w:h="16838" w:orient="portrait"/>
          <w:cols w:equalWidth="0" w:num="1">
            <w:col w:w="11400"/>
          </w:cols>
          <w:pgMar w:left="240" w:top="125" w:right="259" w:bottom="0" w:gutter="0" w:footer="0" w:header="0"/>
        </w:sectPr>
      </w:pPr>
    </w:p>
    <w:bookmarkStart w:id="5" w:name="page6"/>
    <w:bookmarkEnd w:id="5"/>
    <w:p>
      <w:pPr>
        <w:ind w:left="980" w:right="8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to obtain additional financing to fund our operations and, if we are unable to obtain such financing, we may be unable to complete the development and commercialization of our product candidates.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time-consuming, expensive, and uncertain process that takes years to complete. We will need to raise additional capital to:</w:t>
      </w:r>
    </w:p>
    <w:p>
      <w:pPr>
        <w:spacing w:after="0" w:line="181" w:lineRule="exact"/>
        <w:rPr>
          <w:sz w:val="20"/>
          <w:szCs w:val="20"/>
          <w:color w:val="auto"/>
        </w:rPr>
      </w:pPr>
    </w:p>
    <w:p>
      <w:pPr>
        <w:ind w:left="980" w:right="160" w:hanging="324"/>
        <w:spacing w:after="0" w:line="258"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 w:lineRule="exact"/>
        <w:rPr>
          <w:rFonts w:ascii="Arial" w:cs="Arial" w:eastAsia="Arial" w:hAnsi="Arial"/>
          <w:sz w:val="18"/>
          <w:szCs w:val="18"/>
          <w:color w:val="auto"/>
        </w:rPr>
      </w:pPr>
    </w:p>
    <w:p>
      <w:pPr>
        <w:ind w:left="980" w:right="340" w:hanging="324"/>
        <w:spacing w:after="0" w:line="281"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qualify and outsource the commercial-scale manufacturing of our products under current good manufacturing practices;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in-license other product candidates.</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believe that with the net proceeds from this offering, together with our existing cash, we will have sufficient funds to meet our anticipated operating cash requirements into the first quarter of 2020, assuming no additional sales of common stock pursuant to our sales agreement with Leerink Partners, LLC. We have based this estimate on assumptions that may prove to be wrong and we could spend our available financial resources faster than we currently expect. Further, we may not have sufficient financial resources to meet all of our objectives if any of our product candidates is approved by regulatory authorities,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and costs related to our Phase 3 development of our product candidates;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potential for delays in our efforts to seek regulatory approval for our product candidates, and any costs associated with such delays;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for any product candidates that we may in-license or acquire in the future, and the potential that we may need to conduct additional clinical or preclinical trials to support applications for regulatory approval;</w:t>
      </w:r>
    </w:p>
    <w:p>
      <w:pPr>
        <w:spacing w:after="0" w:line="1" w:lineRule="exact"/>
        <w:rPr>
          <w:rFonts w:ascii="Arial" w:cs="Arial" w:eastAsia="Arial" w:hAnsi="Arial"/>
          <w:sz w:val="18"/>
          <w:szCs w:val="18"/>
          <w:color w:val="auto"/>
        </w:rPr>
      </w:pPr>
    </w:p>
    <w:p>
      <w:pPr>
        <w:ind w:left="980" w:right="400" w:hanging="324"/>
        <w:spacing w:after="0" w:line="261"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co-promotion or other arrangements that we may establish;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the commercialization of our current or future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proceeds from this offering, and we may not use the proceeds effectively.</w:t>
      </w:r>
    </w:p>
    <w:p>
      <w:pPr>
        <w:spacing w:after="0" w:line="237"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Our management will have broad discretion with respect to the use of proceeds of this offering, including for any of the purposes described in the section of this prospectus supplement entitled “Use of Proceeds.” You will be relying on the judgment of our management regarding the application of the proceeds of this offering. The results and effectiveness of the use of proceeds are uncertain, and we could spend the proceeds in ways that you do not agree</w:t>
      </w:r>
    </w:p>
    <w:p>
      <w:pPr>
        <w:sectPr>
          <w:pgSz w:w="11900" w:h="16838" w:orient="portrait"/>
          <w:cols w:equalWidth="0" w:num="1">
            <w:col w:w="11380"/>
          </w:cols>
          <w:pgMar w:left="240" w:top="125" w:right="279" w:bottom="0" w:gutter="0" w:footer="0" w:header="0"/>
        </w:sectPr>
      </w:pPr>
    </w:p>
    <w:bookmarkStart w:id="6" w:name="page7"/>
    <w:bookmarkEnd w:id="6"/>
    <w:p>
      <w:pPr>
        <w:ind w:right="400"/>
        <w:spacing w:after="0" w:line="342" w:lineRule="auto"/>
        <w:rPr>
          <w:sz w:val="20"/>
          <w:szCs w:val="20"/>
          <w:color w:val="auto"/>
        </w:rPr>
      </w:pPr>
      <w:r>
        <w:rPr>
          <w:rFonts w:ascii="Arial" w:cs="Arial" w:eastAsia="Arial" w:hAnsi="Arial"/>
          <w:sz w:val="16"/>
          <w:szCs w:val="16"/>
          <w:color w:val="auto"/>
        </w:rPr>
        <w:t>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per share of the common stock you purchase.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Since the offering price for our securities in this offering is substantially higher than the net tangible book value per share of our common stock outstanding prior to this offering, you will suffer immediate and substantial dilution in the net tangible book value of the common stock you purchase in this offering. Based on the offering price of $3.00 per share, if you purchase securities in this offering, you will suffer immediate dilution of $2.46 per share in the net tangible book value of the common stock. See the section entitled “Dilution” below for a more detailed discussion of the dilution you will incur if you purchase shares in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requires significant funding, and we currently invest available funds and earnings in product development. Therefore, we do not anticipate paying any cash dividends on our common stock in the foreseeable future. We currently plan to invest all available funds and future earnings in the development and growth of our business. As a result, capital appreciation, if any, of our common stock will be your sole source of potential gain for the foreseeable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estimate that the net proceeds from the sale of the securities that we are offering will be approximately $8.8 million, based on the offering price of $3.00 per share, after deducting estimated offering expenses payable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intend to use the net proceeds from this offering for working capital and general corporate purposes.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of the date of this prospectus supplement, we cannot specify with certainty all of the particular uses of the net proceeds to be received upon the completion of this offering. The amounts and timing of our actual expenditures will depend on numerous factors, including the progress of our development efforts, the status of and results from clinical trials, any collaborations that we may enter into with third parties for our product candidates, and any unforeseen cash needs. Accordingly, our management will have broad discretion in the application of the net proceeds from this offering and investors will be relying on the judgment of our management regarding the application of the net proceeds from this offering.</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anticipate that the net proceeds from this offering, together with our existing cash, will be sufficient to enable us to fund our anticipated operating requirements into the first quarter of 2020, assuming no additional sales of common stock pursuant to our sales agreement with Leerink Partners, LLC. We have based this estimate on assumptions that may prove to be wrong, and we could use our available capital resources sooner than we currently expect. See the “Risk Factors” section of this prospectus supplement and the documents incorporated by reference for a discussion of the risks affecting our business that could have an adverse effect on our available capital resources.</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Until we use the net proceeds of this offering for the above purposes, we intend to invest the funds in short-term, investment-grade, interest-bearing instruments and U.S. government securities. We cannot predict whether these investments will yield a favorable return.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declared or paid any cash dividends on our capital stock since our inception. We currently anticipate that we will retain future earnings, if any, for the development, operation, and expansion of our business and do not anticipate declaring or paying any cash dividends in the foreseeable future.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 In addition, the terms of our existing credit facility with Silicon Valley Bank, or SVB, preclude us from paying cash dividends without SVB’s consent. As a result, we anticipate that only appreciation of the price of our common stock, if any, will provide a return to investors in this offering for at least the foreseeable future.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offering price per share you will pay in this offering and the as adjusted net tangible book value per share of our common stock after this offering. Net tangible book value per share represents our total tangible assets less total liabilities, divided by the number of shares of our common stock outstanding.</w:t>
      </w:r>
    </w:p>
    <w:p>
      <w:pPr>
        <w:spacing w:after="0" w:line="16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As of June 30, 2018, our net tangible book value was $7,008,899, or $0.27 per share of common stock. After giving effect to our issuance and sale of 2,966,667 shares of common stock in this offering at the offering price of $3.00 per share, after deducting estimated offering expenses payable by us, the as adjusted net tangible book value as of June 30, 2018 would have been $15,808,899, or $0.54 per share. This represents an immediate increase in as adjusted</w:t>
      </w:r>
    </w:p>
    <w:p>
      <w:pPr>
        <w:sectPr>
          <w:pgSz w:w="11900" w:h="16838" w:orient="portrait"/>
          <w:cols w:equalWidth="0" w:num="1">
            <w:col w:w="11420"/>
          </w:cols>
          <w:pgMar w:left="240" w:top="125" w:right="239" w:bottom="0" w:gutter="0" w:footer="0" w:header="0"/>
        </w:sectPr>
      </w:pPr>
    </w:p>
    <w:bookmarkStart w:id="7" w:name="page8"/>
    <w:bookmarkEnd w:id="7"/>
    <w:p>
      <w:pPr>
        <w:spacing w:after="0" w:line="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tangible book value to existing stockholders of $0.27 per share and an immediate dilution to new investors purchasing common stock in this offering of $2.46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w w:val="97"/>
              </w:rPr>
              <w:t>The following table illustrates this per share dilution to the new investors purchasing securities in this offering:</w:t>
            </w: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60"/>
              <w:spacing w:after="0"/>
              <w:rPr>
                <w:sz w:val="20"/>
                <w:szCs w:val="20"/>
                <w:color w:val="auto"/>
              </w:rPr>
            </w:pPr>
            <w:r>
              <w:rPr>
                <w:rFonts w:ascii="Arial" w:cs="Arial" w:eastAsia="Arial" w:hAnsi="Arial"/>
                <w:sz w:val="18"/>
                <w:szCs w:val="18"/>
                <w:color w:val="auto"/>
              </w:rPr>
              <w:t>Net tangible book value per share at June 30, 2018</w:t>
            </w:r>
          </w:p>
        </w:tc>
        <w:tc>
          <w:tcPr>
            <w:tcW w:w="1520" w:type="dxa"/>
            <w:vAlign w:val="bottom"/>
          </w:tcPr>
          <w:p>
            <w:pPr>
              <w:jc w:val="right"/>
              <w:ind w:right="650"/>
              <w:spacing w:after="0"/>
              <w:rPr>
                <w:sz w:val="20"/>
                <w:szCs w:val="20"/>
                <w:color w:val="auto"/>
              </w:rPr>
            </w:pPr>
            <w:r>
              <w:rPr>
                <w:rFonts w:ascii="Arial" w:cs="Arial" w:eastAsia="Arial" w:hAnsi="Arial"/>
                <w:sz w:val="18"/>
                <w:szCs w:val="18"/>
                <w:color w:val="auto"/>
              </w:rPr>
              <w:t>0.27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tc>
        <w:tc>
          <w:tcPr>
            <w:tcW w:w="15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0.27</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5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foregoing table and calculations are based on 26,252,562 shares of our common stock outstanding as of June 30, 2018, and excludes 2,914,149 shares of common stock issuable upon exercise of stock options outstanding as of June 30, 2018, 2,009,149 shares of common stock issuable upon the exercise of outstanding warrants as of June 30, 2018, consisting of 101,260 warrants with an exercise price of $1.30 per share, 42,059 warrants with an exercise price of $5.94 per share, 65,228 warrants with an exercise price of $7.41 per share, 1,783,587 warrants with an exercise price of $5.52 per share and 107,015 warrants with an exercise price of $7.41 per share, 2,254,120 shares of common stock that remain available under our 2015 Plan for future grants, and 180,800 shares of common stock we have issued subsequent to June 30, 2018 pursuant to our sales agreement with Leerink Partners LLC, dated October 20,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8"/>
          <w:szCs w:val="18"/>
          <w:color w:val="auto"/>
        </w:rPr>
        <w:t>In this offering, we are offering 2,966,667 shares of common stock</w:t>
      </w:r>
      <w:r>
        <w:rPr>
          <w:rFonts w:ascii="Arial" w:cs="Arial" w:eastAsia="Arial" w:hAnsi="Arial"/>
          <w:sz w:val="17"/>
          <w:szCs w:val="17"/>
          <w:color w:val="auto"/>
        </w:rPr>
        <w:t>. The material terms and provisions of our common stock are described under the</w:t>
      </w:r>
      <w:r>
        <w:rPr>
          <w:rFonts w:ascii="Arial" w:cs="Arial" w:eastAsia="Arial" w:hAnsi="Arial"/>
          <w:sz w:val="18"/>
          <w:szCs w:val="18"/>
          <w:color w:val="auto"/>
        </w:rPr>
        <w:t xml:space="preserve"> </w:t>
      </w:r>
      <w:r>
        <w:rPr>
          <w:rFonts w:ascii="Arial" w:cs="Arial" w:eastAsia="Arial" w:hAnsi="Arial"/>
          <w:sz w:val="17"/>
          <w:szCs w:val="17"/>
          <w:color w:val="auto"/>
        </w:rPr>
        <w:t>caption “Description of Capital Stock” starting on page 6 of the accompanying prospectus.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entered into the Purchase Agreement with certain investors pursuant to which we have agreed to issue and sell directly to such investors, and such investors have agreed to purchase directly from us, an aggregate of 2,966,667 Purchase Shares, at a price of $3.00 per Purchase Share. We currently anticipate that the closing of the sale of the Purchase Shares will take place on or about October 1, 2018, subject to the satisfaction of certain conditions set forth in the Purchase Agreement, at which time we expect to deliver the Purchase Shares to the investors against payment of the purchase price therefor. The gross proceeds to us before expenses will be $8,900,000.</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Purchase Shares are being offered and sold by us directly to the investors without a placement agent, underwriter, broker or dealer. We are not paying underwriting discounts or commissions in connection with this offering.</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We will pay all of the expenses incident to the registration, offering and sale of the Purchase Shares under this prospectus supplement and the accompanying base prospectus. We estimate that the total expenses for the offering will be approximately $100,000.</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Each of the investors has represented to us that at no time since the time such investor was first contacted by us regarding the transactions contemplated by the Purchase Agreement has such investor or its agents, representatives or affiliates engaged in or effected, in any manner whatsoever, directly or indirectly, any short sale (as such term is defined in Rule 200 of Regulation SHO of the Exchange Act) of our common stock or any hedging transaction, and that neither it nor its agents, representatives or affiliates will engage in any of the aforementioned transactions from the period beginning on September 27, 2018 and ending on the Closing Date.</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agreed to indemnify the investors and certain other persons against certain liabilities in connection with this offering of our common stock, including liabilities arising under the Securities Act and the Exchange Act or, if such indemnity is unavailable, to contribute amounts required to be paid in respect of such liabilities.</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representations, warranties and covenants contained in the Purchase Agreement were made solely for the benefit of us and the investors. In addition, such representations, warranties and covenants (i) are intended as a way of allocating the risk between us and the investors and not as statements of fact, and (ii) may apply standards of materiality in a way that is different from what may be viewed as material by stockholders of, or other investors in, our company. Moreover, information concerning the subject matter of the representations and warranties may change after the date of the Purchase Agreement, which subsequent information may or may not be fully reflected in public disclosures.</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offering of the Purchase Shares by us to the investors under the Purchase Agreement is registered pursuant to our shelf registration statement on Form S-3 (File No. 333-214859), as to which this prospectus supplement relates.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copy of the Purchase Agreement has been filed with the SEC and incorporated by reference into the registration statement of which this prospectus supplement and the accompanying base prospectus form a part. See “Where You Can Find More Information” on page S-13 and “Information Incorporated by Reference” on page S-14 of this prospectus supplement.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74" w:orient="portrait"/>
          <w:cols w:equalWidth="0" w:num="1">
            <w:col w:w="11420"/>
          </w:cols>
          <w:pgMar w:left="240" w:top="125" w:right="239" w:bottom="0" w:gutter="0" w:footer="0" w:header="0"/>
        </w:sectPr>
      </w:pPr>
    </w:p>
    <w:bookmarkStart w:id="8" w:name="page9"/>
    <w:bookmarkEnd w:id="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The validity of the securities being offered in this offering will be passed upon for us by DLA Piper LLP (US), Short Hills, New Jersey.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as set forth in their report, which is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as of their respective dates, given on their authority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supplement and the accompanying prospectus form part of a registration statement on Form S-3 that we filed with the SEC. This prospectus supplement and the accompanying prospectus do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supplement, regardless of the time of delivery of this prospectus supplement or any sale of the securities offered hereby.</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Copies of these materials may be inspected and copied at the public reference facilities maintained by the SEC at 100 F Street, N.E., Washington, D.C. 20549. Please call the SEC at 1-800-SEC-0330 for further information on the operation of its public reference room. The SEC maintains a website that contains reports, proxy statements and other information regarding us. The address of the SEC website is www.sec.gov. We maintain a website at www.axsome.com. Information contained on our website is not incorporated into this prospectus supplement and you should not consider information contained on our website to be part of this prospectus supplement.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181"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7, 2018;</w:t>
      </w:r>
    </w:p>
    <w:p>
      <w:pPr>
        <w:spacing w:after="0" w:line="23" w:lineRule="exact"/>
        <w:rPr>
          <w:rFonts w:ascii="Arial" w:cs="Arial" w:eastAsia="Arial" w:hAnsi="Arial"/>
          <w:sz w:val="18"/>
          <w:szCs w:val="18"/>
          <w:color w:val="auto"/>
        </w:rPr>
      </w:pPr>
    </w:p>
    <w:p>
      <w:pPr>
        <w:ind w:left="980" w:right="140" w:hanging="324"/>
        <w:spacing w:after="0" w:line="265"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our definitive proxy statement on Schedule 14A for our 2018 Annual Meeting of Stockholders, filed with the SEC on April 30, 2018, to the extent incorporated by reference in Part III of the Form 10 K for the fiscal year ended December 31, 2017;</w:t>
      </w: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June 30, 2018, filed with the SEC on May 8, 2018;</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June 30, 2018, filed with the SEC on August 8, 2018;</w:t>
      </w:r>
    </w:p>
    <w:p>
      <w:pPr>
        <w:spacing w:after="0" w:line="9" w:lineRule="exact"/>
        <w:rPr>
          <w:rFonts w:ascii="Arial" w:cs="Arial" w:eastAsia="Arial" w:hAnsi="Arial"/>
          <w:sz w:val="18"/>
          <w:szCs w:val="18"/>
          <w:color w:val="auto"/>
        </w:rPr>
      </w:pPr>
    </w:p>
    <w:p>
      <w:pPr>
        <w:ind w:left="980" w:right="420" w:hanging="324"/>
        <w:spacing w:after="0" w:line="250"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9, 2018; February 26, 2018; March 7, 2018; April 19, 2018; April 23, 2018; April 26, 2018; June 5, 2018; August 8, 2018 and September 28, 2018; and</w:t>
      </w:r>
    </w:p>
    <w:p>
      <w:pPr>
        <w:ind w:left="980" w:right="60" w:hanging="324"/>
        <w:spacing w:after="0" w:line="261"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description of our common stock contained in the registration statement on Form 8-A, filed on November 16, 2015, and all amendments and reports updating such description.</w:t>
      </w:r>
    </w:p>
    <w:p>
      <w:pPr>
        <w:spacing w:after="0" w:line="18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These documents include periodic reports, such as Annual Reports on Form 10-K, Quarterly Reports on Form 10-Q, and Current Reports on Form 8-K, as well as proxy statements.</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ectPr>
          <w:pgSz w:w="11900" w:h="16838" w:orient="portrait"/>
          <w:cols w:equalWidth="0" w:num="1">
            <w:col w:w="11400"/>
          </w:cols>
          <w:pgMar w:left="240" w:top="517" w:right="259" w:bottom="0" w:gutter="0" w:footer="0" w:header="0"/>
        </w:sectPr>
      </w:pPr>
    </w:p>
    <w:bookmarkStart w:id="9" w:name="page10"/>
    <w:bookmarkEnd w:id="9"/>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5380" w:right="5220" w:hanging="148"/>
        <w:spacing w:after="0" w:line="323" w:lineRule="auto"/>
        <w:tabs>
          <w:tab w:leader="none" w:pos="5455" w:val="left"/>
        </w:tabs>
        <w:numPr>
          <w:ilvl w:val="0"/>
          <w:numId w:val="9"/>
        </w:numPr>
        <w:rPr>
          <w:rFonts w:ascii="Arial" w:cs="Arial" w:eastAsia="Arial" w:hAnsi="Arial"/>
          <w:sz w:val="16"/>
          <w:szCs w:val="16"/>
          <w:color w:val="auto"/>
        </w:rPr>
      </w:pPr>
      <w:r>
        <w:rPr>
          <w:rFonts w:ascii="Arial" w:cs="Arial" w:eastAsia="Arial" w:hAnsi="Arial"/>
          <w:sz w:val="16"/>
          <w:szCs w:val="16"/>
          <w:color w:val="auto"/>
        </w:rPr>
        <w:t>Broadway 9th Floor</w:t>
      </w:r>
    </w:p>
    <w:p>
      <w:pPr>
        <w:spacing w:after="0" w:line="139" w:lineRule="exact"/>
        <w:rPr>
          <w:sz w:val="20"/>
          <w:szCs w:val="20"/>
          <w:color w:val="auto"/>
        </w:rPr>
      </w:pPr>
    </w:p>
    <w:p>
      <w:pPr>
        <w:ind w:left="5540" w:right="5140" w:hanging="388"/>
        <w:spacing w:after="0" w:line="624" w:lineRule="auto"/>
        <w:tabs>
          <w:tab w:leader="none" w:pos="55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332-3241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154940</wp:posOffset>
            </wp:positionV>
            <wp:extent cx="2478405" cy="746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840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to Purchase Common Stock,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 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 We may sell any combination of these securities in one or more offerings with an aggregate initial offering price of up to $150,000,000.</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“AXSM.” On November 30, 2016, the closing price of our common stock was $6.55.</w:t>
      </w:r>
    </w:p>
    <w:p>
      <w:pPr>
        <w:spacing w:after="0" w:line="157" w:lineRule="exact"/>
        <w:rPr>
          <w:sz w:val="20"/>
          <w:szCs w:val="20"/>
          <w:color w:val="auto"/>
        </w:rPr>
      </w:pPr>
    </w:p>
    <w:p>
      <w:pPr>
        <w:ind w:right="380" w:firstLine="648"/>
        <w:spacing w:after="0" w:line="239" w:lineRule="auto"/>
        <w:rPr>
          <w:sz w:val="20"/>
          <w:szCs w:val="20"/>
          <w:color w:val="auto"/>
        </w:rPr>
      </w:pPr>
      <w:r>
        <w:rPr>
          <w:rFonts w:ascii="Arial" w:cs="Arial" w:eastAsia="Arial" w:hAnsi="Arial"/>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5 of this prospectus.</w:t>
      </w:r>
    </w:p>
    <w:p>
      <w:pPr>
        <w:spacing w:after="0" w:line="1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77"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ABOUT THIS PROSPECTUS</w:t>
            </w: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AXSOME THERAPEUTICS, INC.</w:t>
            </w: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RISK FACTORS</w:t>
            </w: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RATIO OF EARNINGS TO FIXED CHARGES AND PREFERRED STOCK DIVIDEND REQUIREMENTS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USE OF PROCEEDS</w:t>
            </w: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DESCRIPTION OF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DESCRIPTION OF UNITS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PLAN OF DISTRIBUTION</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LEGAL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EXPERTS</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INFORMATION INCORPORATED BY REFERENCE</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84" w:orient="portrait"/>
          <w:cols w:equalWidth="0" w:num="1">
            <w:col w:w="11420"/>
          </w:cols>
          <w:pgMar w:left="240" w:top="125" w:right="239" w:bottom="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initial offering price of up to $150,000,000.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92"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or at the SEC public reference room, as discussed below under the heading “Where You Can Find More Information.”</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a clinical 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two late stage candidates, AXS-02 and AXS-05, which we are developing for multiple indications. We have initiated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have also initiated a Phase 3 trial with AXS-05 in treatment resistant depression, or TRD, which we refer to as the STRIDE-1 study, and plan to initiate a Phase 2/3 trial in agitation in patients with Alzheimer’s disease, or AD. We aim to become a fully integrated biopharmaceutical company that develops and commercializes differentiated therapies that expand the treatment options available to caregivers and improve the lives of patients living with CNS disorders.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first product candidate, AXS-02 (disodium zoledronate tetrahydrate), is a potentially first-in-class, oral, targeted, non-opioid therapeutic for chronic pain. AXS-02 is a potent inhibitor of osteoclasts, which are bone remodeling cells that break down bone tissue. We are initially developing AXS-02 for the treatment of pain in the following three conditions: CRPS; knee OA associated with BMLs; and chronic low back pain, or CLBP, associated with type 1 or mixed type 1 and type 2 Modic changes, or MCs. These conditions exhibit target lesions or specific pathology that we believe may be addressed by the mechanisms of action of AXS-02, such as inhibition of osteoclast activity. These mechanisms may result in a reduction of pain in these conditions. We have successfully completed a Phase 1 trial of AXS-02 to characterize the pharmacokinetics of zoledronic acid and its effects on markers of bone resorption after oral administration of AXS-02. The results of our Phase 1 trial demonstrated that oral administration of AXS-02 tablets resulted in rapid absorption of zoledronic acid, which is the active molecule in AXS-02 and the free acid form of disodium zoledronate tetrahydrate, and substantial suppression of bone resorption markers, which are proteins indicative of bone tissue breakdown. We intend to seek U.S. Food and Drug Administration, or FDA, approval for AXS-02 utilizing the 505(b)(2) regulatory development pathway. AXS-02 has been granted Orphan Drug Designation by the FDA and Orphan Medicinal Product Designation by the EMA for the treatment of CRPS.</w:t>
      </w:r>
    </w:p>
    <w:p>
      <w:pPr>
        <w:spacing w:after="0" w:line="18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second product candidate, AXS-05, is an innovative fixed-dose combination of dextromethorphan, or DM, and bupropion. We are developing AXS-05 initially for the treatment of the following two conditions: TRD and agitation in patients with AD. DM is active at multiple CNS receptors but is rapidly and extensively metabolized in humans. As a result, it is difficult to attain potential therapeutic plasma levels of DM when it is dosed as a single agent. AXS-05 uses bupropion as a novel drug delivery method to inhibit DM metabolism and increase its bioavailability. We have demonstrated in three Phase 1 trials that DM plasma levels are substantially increased into a potentially therapeutic range with the co administration of bupropion. Bupropion is itself active at distinct CNS receptors providing the potential for an additive or synergistic effect. We intend to seek FDA approval for AXS-05 utilizing the 505(b)(2) regulatory development pathway.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one active program, AXS-06, in preclinical development. We are developing AXS-06 for the treatment of chronic pain disorders.</w:t>
      </w:r>
    </w:p>
    <w:p>
      <w:pPr>
        <w:spacing w:after="0" w:line="2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principal executive offices are located at 25 Broadway, 9th Floor, New York, New York 10004, and our telephone number is (212) 332-3241. Our website address is www.axsome.com. The information contained on our website is not incorporated by reference into this prospectus, and you should not</w:t>
      </w:r>
    </w:p>
    <w:p>
      <w:pPr>
        <w:sectPr>
          <w:pgSz w:w="11900" w:h="16838" w:orient="portrait"/>
          <w:cols w:equalWidth="0" w:num="1">
            <w:col w:w="11360"/>
          </w:cols>
          <w:pgMar w:left="240" w:top="341" w:right="299" w:bottom="0" w:gutter="0" w:footer="0" w:header="0"/>
        </w:sectPr>
      </w:pPr>
    </w:p>
    <w:bookmarkStart w:id="11" w:name="page12"/>
    <w:bookmarkEnd w:id="11"/>
    <w:p>
      <w:pPr>
        <w:ind w:right="700"/>
        <w:spacing w:after="0" w:line="277" w:lineRule="auto"/>
        <w:rPr>
          <w:sz w:val="20"/>
          <w:szCs w:val="20"/>
          <w:color w:val="auto"/>
        </w:rPr>
      </w:pPr>
      <w:r>
        <w:rPr>
          <w:rFonts w:ascii="Arial" w:cs="Arial" w:eastAsia="Arial" w:hAnsi="Arial"/>
          <w:sz w:val="18"/>
          <w:szCs w:val="18"/>
          <w:color w:val="auto"/>
        </w:rPr>
        <w:t>consider any information contained on, or that can be accessed through, our website as part of this prospectus or in deciding whether to purchase our securities.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filings with the SEC are posted on our website at www.axsome.com. The information found on our website is not part of this or any other report we file with or furnish to the SEC. The public can also obtain copies of these filings by visiting the SEC’s Public Reference Room at 100 F Street NE, Washington DC 20549, or by calling the SEC at 1-800-SEC-0330 or by accessing the SEC’s website at www.sec.gov.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uncertainties that affect our business and our market, particularly those discussed in the “Risk Factors” section of our Annual Report on Form 10-K for the year ended December 31, 2015, as amended,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6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2015, as amended,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PREFERRED STOCK DIVIDEND REQUIREMENTS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following table sets forth our ratio of earnings to fixed charges and our ratio of earnings to combined fixed charges and preferred stock dividends for each of the periods indicated. You should read this table in conjunction with the financial statements and notes incorporated by reference in this registration statement.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1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1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160" w:type="dxa"/>
            <w:vAlign w:val="bottom"/>
            <w:gridSpan w:val="2"/>
          </w:tcPr>
          <w:p>
            <w:pPr>
              <w:jc w:val="center"/>
              <w:ind w:left="5114"/>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charges(1)(2)</w:t>
            </w: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Ratios of earnings to combined fixed charges and preferred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stock dividends(1)(2)</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00" w:hanging="652"/>
        <w:spacing w:after="0" w:line="277"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our losses for the nine months ended September 30, 2016 and the years ended December 31, 2015, 2014 and 2013, the coverage ratio was less than 1:1.</w:t>
      </w:r>
    </w:p>
    <w:p>
      <w:pPr>
        <w:spacing w:after="0" w:line="170" w:lineRule="exact"/>
        <w:rPr>
          <w:rFonts w:ascii="Arial" w:cs="Arial" w:eastAsia="Arial" w:hAnsi="Arial"/>
          <w:sz w:val="18"/>
          <w:szCs w:val="18"/>
          <w:color w:val="auto"/>
        </w:rPr>
      </w:pPr>
    </w:p>
    <w:p>
      <w:pPr>
        <w:ind w:left="660" w:right="440" w:hanging="652"/>
        <w:spacing w:after="0" w:line="264"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have needed to generate additional earnings of $19.9 million, $12.2 million, $6.0 million and $2.2 million for the nine months ended September 30, 2016 and the years ended December 31, 2015, 2014 and 2013, respectively, to cover our fixed charges and our combined fixed charges and preferred stock dividends in those periods.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ectPr>
          <w:pgSz w:w="11900" w:h="16838" w:orient="portrait"/>
          <w:cols w:equalWidth="0" w:num="1">
            <w:col w:w="11420"/>
          </w:cols>
          <w:pgMar w:left="240" w:top="125" w:right="239" w:bottom="63" w:gutter="0" w:footer="0" w:header="0"/>
        </w:sectPr>
      </w:pPr>
    </w:p>
    <w:bookmarkStart w:id="12" w:name="page13"/>
    <w:bookmarkEnd w:id="12"/>
    <w:p>
      <w:pPr>
        <w:ind w:right="240" w:firstLine="648"/>
        <w:spacing w:after="0" w:line="259" w:lineRule="auto"/>
        <w:rPr>
          <w:sz w:val="20"/>
          <w:szCs w:val="20"/>
          <w:color w:val="auto"/>
        </w:rPr>
      </w:pPr>
      <w:r>
        <w:rPr>
          <w:rFonts w:ascii="Arial" w:cs="Arial" w:eastAsia="Arial" w:hAnsi="Arial"/>
          <w:sz w:val="18"/>
          <w:szCs w:val="18"/>
          <w:color w:val="auto"/>
        </w:rPr>
        <w:t>Unless otherwise indicated in the applicable prospectus supplement, we will use the net proceeds from the sale of the securities offered hereby for general corporate purposes, which include, but are not limited to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Our Amended and Restated Certificate of Incorporation provides the authority to issue 150,000,000 shares of common stock, par value $0.0001 per share. At November 28, 2016, there were 19,153,417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“AXSM.”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7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ectPr>
          <w:pgSz w:w="11900" w:h="16838" w:orient="portrait"/>
          <w:cols w:equalWidth="0" w:num="1">
            <w:col w:w="11400"/>
          </w:cols>
          <w:pgMar w:left="240" w:top="125" w:right="259" w:bottom="111"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13" w:name="page14"/>
    <w:bookmarkEnd w:id="13"/>
    <w:p>
      <w:pPr>
        <w:ind w:right="420" w:firstLine="648"/>
        <w:spacing w:after="0" w:line="277"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70"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170" w:lineRule="exact"/>
        <w:rPr>
          <w:rFonts w:ascii="Arial" w:cs="Arial" w:eastAsia="Arial" w:hAnsi="Arial"/>
          <w:sz w:val="18"/>
          <w:szCs w:val="18"/>
          <w:color w:val="auto"/>
        </w:rPr>
      </w:pPr>
    </w:p>
    <w:p>
      <w:pPr>
        <w:ind w:left="980" w:hanging="324"/>
        <w:spacing w:after="0" w:line="312" w:lineRule="auto"/>
        <w:tabs>
          <w:tab w:leader="none" w:pos="9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146" w:lineRule="exact"/>
        <w:rPr>
          <w:rFonts w:ascii="Arial" w:cs="Arial" w:eastAsia="Arial" w:hAnsi="Arial"/>
          <w:sz w:val="16"/>
          <w:szCs w:val="16"/>
          <w:color w:val="auto"/>
        </w:rPr>
      </w:pPr>
    </w:p>
    <w:p>
      <w:pPr>
        <w:ind w:left="980" w:right="14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General Corporation Law of Delaware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Certain Amended and Restated Certificate of Incorporation and Amended and Restated Bylaws Provisions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47" w:lineRule="exact"/>
        <w:rPr>
          <w:sz w:val="20"/>
          <w:szCs w:val="20"/>
          <w:color w:val="auto"/>
        </w:rPr>
      </w:pPr>
    </w:p>
    <w:p>
      <w:pPr>
        <w:ind w:left="980" w:right="38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225" w:lineRule="exact"/>
        <w:rPr>
          <w:rFonts w:ascii="Arial" w:cs="Arial" w:eastAsia="Arial" w:hAnsi="Arial"/>
          <w:sz w:val="18"/>
          <w:szCs w:val="18"/>
          <w:color w:val="auto"/>
        </w:rPr>
      </w:pPr>
    </w:p>
    <w:p>
      <w:pPr>
        <w:ind w:left="980" w:right="220" w:hanging="324"/>
        <w:spacing w:after="0" w:line="22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or more of the shares then entitled to vote at an election of our directors;</w:t>
      </w:r>
    </w:p>
    <w:p>
      <w:pPr>
        <w:spacing w:after="0" w:line="202"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 any action instituted against our officers or directors in connection with their service to us to be brought in the state of Delaware.</w:t>
      </w:r>
    </w:p>
    <w:p>
      <w:pPr>
        <w:sectPr>
          <w:pgSz w:w="11900" w:h="16838" w:orient="portrait"/>
          <w:cols w:equalWidth="0" w:num="1">
            <w:col w:w="11420"/>
          </w:cols>
          <w:pgMar w:left="240" w:top="341" w:right="239" w:bottom="111" w:gutter="0" w:footer="0" w:header="0"/>
        </w:sectPr>
      </w:pPr>
    </w:p>
    <w:bookmarkStart w:id="14" w:name="page15"/>
    <w:bookmarkEnd w:id="14"/>
    <w:p>
      <w:pPr>
        <w:spacing w:after="0" w:line="1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Amended and Restated Certificate of Incorporation contains provisions permitted under the General Corporation Law of Delaware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General Corporation Law of Delaware.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70"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that the warrants are issued with and the number of warrants issued with each security;</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ectPr>
          <w:pgSz w:w="11900" w:h="16851" w:orient="portrait"/>
          <w:cols w:equalWidth="0" w:num="1">
            <w:col w:w="11380"/>
          </w:cols>
          <w:pgMar w:left="240" w:top="125" w:right="279" w:bottom="0" w:gutter="0" w:footer="0" w:header="0"/>
          <w:type w:val="continuous"/>
        </w:sectPr>
      </w:pPr>
    </w:p>
    <w:bookmarkStart w:id="15" w:name="page16"/>
    <w:bookmarkEnd w:id="15"/>
    <w:p>
      <w:pPr>
        <w:spacing w:after="0" w:line="69"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170"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7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w:t>
      </w:r>
    </w:p>
    <w:p>
      <w:pPr>
        <w:sectPr>
          <w:pgSz w:w="11900" w:h="16908" w:orient="portrait"/>
          <w:cols w:equalWidth="0" w:num="1">
            <w:col w:w="11400"/>
          </w:cols>
          <w:pgMar w:left="240" w:top="341" w:right="259" w:bottom="0" w:gutter="0" w:footer="0" w:header="0"/>
        </w:sectPr>
      </w:pPr>
    </w:p>
    <w:bookmarkStart w:id="16" w:name="page17"/>
    <w:bookmarkEnd w:id="16"/>
    <w:p>
      <w:pPr>
        <w:ind w:right="40"/>
        <w:spacing w:after="0" w:line="277" w:lineRule="auto"/>
        <w:rPr>
          <w:sz w:val="20"/>
          <w:szCs w:val="20"/>
          <w:color w:val="auto"/>
        </w:rPr>
      </w:pPr>
      <w:r>
        <w:rPr>
          <w:rFonts w:ascii="Arial" w:cs="Arial" w:eastAsia="Arial" w:hAnsi="Arial"/>
          <w:sz w:val="18"/>
          <w:szCs w:val="18"/>
          <w:color w:val="auto"/>
        </w:rPr>
        <w:t>read the applicable executed indenture, which will be filed with the SEC at the time of any offering of debt securities, because it, and not this description, will define the rights of holders of such debt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prospectus supplement will describe the particular terms of any series of debt securities we may issue, including some or all of the following:</w:t>
      </w:r>
    </w:p>
    <w:p>
      <w:pPr>
        <w:spacing w:after="0" w:line="237"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25" w:lineRule="exact"/>
        <w:rPr>
          <w:rFonts w:ascii="Arial" w:cs="Arial" w:eastAsia="Arial" w:hAnsi="Arial"/>
          <w:sz w:val="18"/>
          <w:szCs w:val="18"/>
          <w:color w:val="auto"/>
        </w:rPr>
      </w:pPr>
    </w:p>
    <w:p>
      <w:pPr>
        <w:ind w:left="980" w:right="480" w:hanging="324"/>
        <w:spacing w:after="0" w:line="342" w:lineRule="auto"/>
        <w:tabs>
          <w:tab w:leader="none" w:pos="9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including those related to original issue discount, if applicable; and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ectPr>
          <w:pgSz w:w="11900" w:h="16838" w:orient="portrait"/>
          <w:cols w:equalWidth="0" w:num="1">
            <w:col w:w="11420"/>
          </w:cols>
          <w:pgMar w:left="240" w:top="125" w:right="239" w:bottom="42" w:gutter="0" w:footer="0" w:header="0"/>
        </w:sectPr>
      </w:pPr>
    </w:p>
    <w:bookmarkStart w:id="17" w:name="page18"/>
    <w:bookmarkEnd w:id="17"/>
    <w:p>
      <w:pPr>
        <w:ind w:right="40" w:firstLine="648"/>
        <w:spacing w:after="0" w:line="264" w:lineRule="auto"/>
        <w:rPr>
          <w:sz w:val="20"/>
          <w:szCs w:val="20"/>
          <w:color w:val="auto"/>
        </w:rPr>
      </w:pPr>
      <w:r>
        <w:rPr>
          <w:rFonts w:ascii="Arial" w:cs="Arial" w:eastAsia="Arial" w:hAnsi="Arial"/>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47"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170" w:lineRule="exact"/>
        <w:rPr>
          <w:rFonts w:ascii="Arial" w:cs="Arial" w:eastAsia="Arial" w:hAnsi="Arial"/>
          <w:sz w:val="18"/>
          <w:szCs w:val="18"/>
          <w:color w:val="auto"/>
        </w:rPr>
      </w:pPr>
    </w:p>
    <w:p>
      <w:pPr>
        <w:ind w:left="980" w:right="80" w:hanging="324"/>
        <w:spacing w:after="0" w:line="342" w:lineRule="auto"/>
        <w:tabs>
          <w:tab w:leader="none" w:pos="9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Event of Default occurs in respect of debt securities of the series described in the prospectus supplement.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70"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ectPr>
          <w:pgSz w:w="11900" w:h="16838" w:orient="portrait"/>
          <w:cols w:equalWidth="0" w:num="1">
            <w:col w:w="11420"/>
          </w:cols>
          <w:pgMar w:left="240" w:top="125" w:right="239" w:bottom="32" w:gutter="0" w:footer="0" w:header="0"/>
        </w:sectPr>
      </w:pPr>
    </w:p>
    <w:bookmarkStart w:id="18" w:name="page19"/>
    <w:bookmarkEnd w:id="18"/>
    <w:p>
      <w:pPr>
        <w:ind w:left="980" w:hanging="324"/>
        <w:spacing w:after="0" w:line="342" w:lineRule="auto"/>
        <w:tabs>
          <w:tab w:leader="none" w:pos="9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29"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24" w:lineRule="exact"/>
        <w:rPr>
          <w:sz w:val="20"/>
          <w:szCs w:val="20"/>
          <w:color w:val="auto"/>
        </w:rPr>
      </w:pPr>
    </w:p>
    <w:p>
      <w:pPr>
        <w:ind w:left="980" w:right="80" w:hanging="324"/>
        <w:spacing w:after="0" w:line="342"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980" w:right="80"/>
        <w:spacing w:after="0" w:line="264" w:lineRule="auto"/>
        <w:rPr>
          <w:sz w:val="20"/>
          <w:szCs w:val="20"/>
          <w:color w:val="auto"/>
        </w:rPr>
      </w:pPr>
      <w:r>
        <w:rPr>
          <w:rFonts w:ascii="Arial" w:cs="Arial" w:eastAsia="Arial" w:hAnsi="Arial"/>
          <w:sz w:val="18"/>
          <w:szCs w:val="18"/>
          <w:color w:val="auto"/>
        </w:rPr>
        <w:t>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81"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70"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Changes Not Requiring Approval</w:t>
      </w:r>
    </w:p>
    <w:p>
      <w:pPr>
        <w:sectPr>
          <w:pgSz w:w="11900" w:h="16838" w:orient="portrait"/>
          <w:cols w:equalWidth="0" w:num="1">
            <w:col w:w="11420"/>
          </w:cols>
          <w:pgMar w:left="240" w:top="125" w:right="239" w:bottom="0" w:gutter="0" w:footer="0" w:header="0"/>
          <w:type w:val="continuous"/>
        </w:sectPr>
      </w:pPr>
    </w:p>
    <w:bookmarkStart w:id="19" w:name="page20"/>
    <w:bookmarkEnd w:id="19"/>
    <w:p>
      <w:pPr>
        <w:ind w:right="60" w:firstLine="648"/>
        <w:spacing w:after="0" w:line="312"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225"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248" w:lineRule="exact"/>
        <w:rPr>
          <w:rFonts w:ascii="Arial" w:cs="Arial" w:eastAsia="Arial" w:hAnsi="Arial"/>
          <w:sz w:val="16"/>
          <w:szCs w:val="16"/>
          <w:color w:val="auto"/>
        </w:rPr>
      </w:pPr>
    </w:p>
    <w:p>
      <w:pPr>
        <w:ind w:left="980" w:right="100" w:hanging="324"/>
        <w:spacing w:after="0" w:line="342" w:lineRule="auto"/>
        <w:tabs>
          <w:tab w:leader="none" w:pos="9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70" w:lineRule="exact"/>
        <w:rPr>
          <w:sz w:val="20"/>
          <w:szCs w:val="20"/>
          <w:color w:val="auto"/>
        </w:rPr>
      </w:pPr>
    </w:p>
    <w:p>
      <w:pPr>
        <w:ind w:left="980" w:right="14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88" w:lineRule="exact"/>
        <w:rPr>
          <w:sz w:val="20"/>
          <w:szCs w:val="20"/>
          <w:color w:val="auto"/>
        </w:rPr>
      </w:pPr>
    </w:p>
    <w:p>
      <w:pPr>
        <w:ind w:left="980" w:right="220" w:hanging="324"/>
        <w:spacing w:after="0" w:line="264"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1"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must deliver to the trustee certain documentation stating that all conditions precedent to covenant defeasance have been complied with.</w:t>
      </w:r>
    </w:p>
    <w:p>
      <w:pPr>
        <w:sectPr>
          <w:pgSz w:w="11900" w:h="16838" w:orient="portrait"/>
          <w:cols w:equalWidth="0" w:num="1">
            <w:col w:w="11400"/>
          </w:cols>
          <w:pgMar w:left="240" w:top="341" w:right="259" w:bottom="55" w:gutter="0" w:footer="0" w:header="0"/>
        </w:sectPr>
      </w:pPr>
    </w:p>
    <w:bookmarkStart w:id="20" w:name="page21"/>
    <w:bookmarkEnd w:id="20"/>
    <w:p>
      <w:pPr>
        <w:spacing w:after="0" w:line="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66" w:lineRule="exact"/>
        <w:rPr>
          <w:sz w:val="20"/>
          <w:szCs w:val="20"/>
          <w:color w:val="auto"/>
        </w:rPr>
      </w:pPr>
    </w:p>
    <w:p>
      <w:pPr>
        <w:ind w:left="980" w:right="220" w:hanging="324"/>
        <w:spacing w:after="0" w:line="264"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1" w:lineRule="exact"/>
        <w:rPr>
          <w:rFonts w:ascii="Arial" w:cs="Arial" w:eastAsia="Arial" w:hAnsi="Arial"/>
          <w:sz w:val="18"/>
          <w:szCs w:val="18"/>
          <w:color w:val="auto"/>
        </w:rPr>
      </w:pPr>
    </w:p>
    <w:p>
      <w:pPr>
        <w:ind w:left="980" w:hanging="324"/>
        <w:spacing w:after="0" w:line="255"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93" w:lineRule="exact"/>
        <w:rPr>
          <w:rFonts w:ascii="Arial" w:cs="Arial" w:eastAsia="Arial" w:hAnsi="Arial"/>
          <w:sz w:val="18"/>
          <w:szCs w:val="18"/>
          <w:color w:val="auto"/>
        </w:rPr>
      </w:pPr>
    </w:p>
    <w:p>
      <w:pPr>
        <w:ind w:left="980" w:right="68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Indebtedness” will be defined in an applicable indenture as the principal of (and premium, if any) and unpaid interest on:</w:t>
      </w:r>
    </w:p>
    <w:p>
      <w:pPr>
        <w:spacing w:after="0" w:line="225" w:lineRule="exact"/>
        <w:rPr>
          <w:sz w:val="20"/>
          <w:szCs w:val="20"/>
          <w:color w:val="auto"/>
        </w:rPr>
      </w:pPr>
    </w:p>
    <w:p>
      <w:pPr>
        <w:ind w:left="980" w:right="40" w:hanging="324"/>
        <w:spacing w:after="0" w:line="259"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ectPr>
          <w:pgSz w:w="11900" w:h="16929" w:orient="portrait"/>
          <w:cols w:equalWidth="0" w:num="1">
            <w:col w:w="11400"/>
          </w:cols>
          <w:pgMar w:left="240" w:top="125" w:right="25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22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describe the following terms of any rights we may issue, including some or all of the following:</w:t>
      </w:r>
    </w:p>
    <w:p>
      <w:pPr>
        <w:spacing w:after="0" w:line="237"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 w:hanging="284"/>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date on which the right to exercise the rights will commence, and the date on which the rights will expire (subject to any extension);</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225"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ectPr>
          <w:pgSz w:w="11900" w:h="16838" w:orient="portrait"/>
          <w:cols w:equalWidth="0" w:num="1">
            <w:col w:w="11420"/>
          </w:cols>
          <w:pgMar w:left="240" w:top="337" w:right="239" w:bottom="104" w:gutter="0" w:footer="0" w:header="0"/>
        </w:sectPr>
      </w:pPr>
    </w:p>
    <w:bookmarkStart w:id="22" w:name="page23"/>
    <w:bookmarkEnd w:id="22"/>
    <w:p>
      <w:pPr>
        <w:ind w:right="40" w:firstLine="648"/>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70" w:lineRule="exact"/>
        <w:rPr>
          <w:sz w:val="20"/>
          <w:szCs w:val="20"/>
          <w:color w:val="auto"/>
        </w:rPr>
      </w:pPr>
    </w:p>
    <w:p>
      <w:pPr>
        <w:ind w:left="980" w:right="16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225"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70"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ectPr>
          <w:pgSz w:w="11900" w:h="16838" w:orient="portrait"/>
          <w:cols w:equalWidth="0" w:num="1">
            <w:col w:w="11380"/>
          </w:cols>
          <w:pgMar w:left="240" w:top="125" w:right="279" w:bottom="0" w:gutter="0" w:footer="0" w:header="0"/>
        </w:sectPr>
      </w:pPr>
    </w:p>
    <w:bookmarkStart w:id="23" w:name="page24"/>
    <w:bookmarkEnd w:id="23"/>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8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w:t>
      </w:r>
    </w:p>
    <w:p>
      <w:pPr>
        <w:sectPr>
          <w:pgSz w:w="11900" w:h="16952" w:orient="portrait"/>
          <w:cols w:equalWidth="0" w:num="1">
            <w:col w:w="11380"/>
          </w:cols>
          <w:pgMar w:left="240" w:top="341" w:right="279" w:bottom="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The validity of the securities being offered hereby will be passed upon for us by Morgan, Lewis &amp; Bockius LLP, New York, New York.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10-K/A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Copies of these materials may be inspected and copied at the public reference facilities maintained by the SEC at 100 F Street, N.E., Washington, D.C. 20549. Please call the SEC at 1-800-SEC-0330 for further information on the operation of its public reference room.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2" w:lineRule="exact"/>
        <w:rPr>
          <w:sz w:val="20"/>
          <w:szCs w:val="20"/>
          <w:color w:val="auto"/>
        </w:rPr>
      </w:pPr>
    </w:p>
    <w:p>
      <w:pPr>
        <w:ind w:left="1300" w:right="2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 filed with the SEC on March 24, 2016 (the “Form 10-K”), and amended on August 9, 2016;</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2016 annual meeting of stockholders filed with the SEC on April 27, 2016, to the extent incorporated by reference in Part III of the Form 10-K;</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2016 filed with the SEC on May 11, 2016, and amended on August 9, 2016;</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2016 filed with the SEC on August 9, 2016;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2016 filed with the SEC on November 14, 2016;</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22, 2016, March 29, 2016 (as to Item 8.01 and Exhibit 99.2 only), April 21, 2016, May 5, 2016, June 10, 2016, July 12, 2016, September 2, 2016 and November 10, 2016;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description of our common stock contained in the registration statement on Form 8-A, filed on November 16, 2015, and all amendments and reports updating such description.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5380" w:right="5220" w:hanging="148"/>
        <w:spacing w:after="0" w:line="323" w:lineRule="auto"/>
        <w:tabs>
          <w:tab w:leader="none" w:pos="54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Broadway 9th Floor</w:t>
      </w:r>
    </w:p>
    <w:p>
      <w:pPr>
        <w:spacing w:after="0" w:line="139" w:lineRule="exact"/>
        <w:rPr>
          <w:sz w:val="20"/>
          <w:szCs w:val="20"/>
          <w:color w:val="auto"/>
        </w:rPr>
      </w:pPr>
    </w:p>
    <w:p>
      <w:pPr>
        <w:ind w:left="5580" w:hanging="428"/>
        <w:spacing w:after="0"/>
        <w:tabs>
          <w:tab w:leader="none" w:pos="5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332-3241</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32" w:gutter="0" w:footer="0" w:header="0"/>
        </w:sectPr>
      </w:pPr>
    </w:p>
    <w:bookmarkStart w:id="25" w:name="page26"/>
    <w:bookmarkEnd w:id="25"/>
    <w:p>
      <w:pPr>
        <w:jc w:val="center"/>
        <w:spacing w:after="0"/>
        <w:rPr>
          <w:sz w:val="20"/>
          <w:szCs w:val="20"/>
          <w:color w:val="auto"/>
        </w:rPr>
      </w:pPr>
      <w:r>
        <w:rPr>
          <w:rFonts w:ascii="Arial" w:cs="Arial" w:eastAsia="Arial" w:hAnsi="Arial"/>
          <w:sz w:val="15"/>
          <w:szCs w:val="15"/>
          <w:b w:val="1"/>
          <w:bCs w:val="1"/>
          <w:color w:val="auto"/>
        </w:rPr>
        <w:t>2,966,667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1240155</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176530</wp:posOffset>
            </wp:positionV>
            <wp:extent cx="2581275" cy="857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8127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186055</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25"/>
    </w:lvl>
  </w:abstractNum>
  <w:abstractNum w:abstractNumId="9">
    <w:nsid w:val="8EDBDAB"/>
    <w:multiLevelType w:val="hybridMultilevel"/>
    <w:lvl w:ilvl="0">
      <w:lvlJc w:val="left"/>
      <w:lvlText w:val="(%1)"/>
      <w:numFmt w:val="decimal"/>
      <w:start w:val="212"/>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25"/>
    </w:lvl>
  </w:abstractNum>
  <w:abstractNum w:abstractNumId="38">
    <w:nsid w:val="5E884AD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2019-12-08T07:36:50Z</dcterms:created>
  <dcterms:modified xsi:type="dcterms:W3CDTF">2019-12-08T07:36:50Z</dcterms:modified>
</cp:coreProperties>
</file>