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(Amendment 1)</w:t>
      </w: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(Name of</w:t>
            </w:r>
          </w:p>
        </w:tc>
        <w:tc>
          <w:tcPr>
            <w:tcW w:w="2380" w:type="dxa"/>
            <w:vAlign w:val="bottom"/>
          </w:tcPr>
          <w:p>
            <w:pPr>
              <w:ind w:left="60"/>
              <w:spacing w:after="0"/>
              <w:rPr>
                <w:sz w:val="20"/>
                <w:szCs w:val="20"/>
                <w:color w:val="auto"/>
              </w:rPr>
            </w:pPr>
            <w:r>
              <w:rPr>
                <w:rFonts w:ascii="Courier New" w:cs="Courier New" w:eastAsia="Courier New" w:hAnsi="Courier New"/>
                <w:sz w:val="18"/>
                <w:szCs w:val="18"/>
                <w:color w:val="auto"/>
              </w:rPr>
              <w:t>Issuer)</w:t>
            </w:r>
          </w:p>
        </w:tc>
        <w:tc>
          <w:tcPr>
            <w:tcW w:w="4420" w:type="dxa"/>
            <w:vAlign w:val="bottom"/>
          </w:tcPr>
          <w:p>
            <w:pPr>
              <w:ind w:left="100"/>
              <w:spacing w:after="0"/>
              <w:rPr>
                <w:sz w:val="20"/>
                <w:szCs w:val="20"/>
                <w:color w:val="auto"/>
              </w:rPr>
            </w:pPr>
            <w:r>
              <w:rPr>
                <w:rFonts w:ascii="Courier New" w:cs="Courier New" w:eastAsia="Courier New" w:hAnsi="Courier New"/>
                <w:sz w:val="18"/>
                <w:szCs w:val="18"/>
                <w:color w:val="auto"/>
              </w:rPr>
              <w:t>AXSOME THERAPEUTICS INC</w:t>
            </w:r>
          </w:p>
        </w:tc>
      </w:tr>
      <w:tr>
        <w:trPr>
          <w:trHeight w:val="405"/>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(Title of Class of Securities)</w:t>
            </w:r>
          </w:p>
        </w:tc>
        <w:tc>
          <w:tcPr>
            <w:tcW w:w="4420" w:type="dxa"/>
            <w:vAlign w:val="bottom"/>
          </w:tcPr>
          <w:p>
            <w:pPr>
              <w:ind w:left="100"/>
              <w:spacing w:after="0"/>
              <w:rPr>
                <w:sz w:val="20"/>
                <w:szCs w:val="20"/>
                <w:color w:val="auto"/>
              </w:rPr>
            </w:pPr>
            <w:r>
              <w:rPr>
                <w:rFonts w:ascii="Courier New" w:cs="Courier New" w:eastAsia="Courier New" w:hAnsi="Courier New"/>
                <w:sz w:val="18"/>
                <w:szCs w:val="18"/>
                <w:color w:val="auto"/>
              </w:rPr>
              <w:t>Common Stock</w:t>
            </w:r>
          </w:p>
        </w:tc>
      </w:tr>
      <w:tr>
        <w:trPr>
          <w:trHeight w:val="405"/>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(CUSIP Number)</w:t>
            </w:r>
          </w:p>
        </w:tc>
        <w:tc>
          <w:tcPr>
            <w:tcW w:w="4420" w:type="dxa"/>
            <w:vAlign w:val="bottom"/>
          </w:tcPr>
          <w:p>
            <w:pPr>
              <w:ind w:left="100"/>
              <w:spacing w:after="0"/>
              <w:rPr>
                <w:sz w:val="20"/>
                <w:szCs w:val="20"/>
                <w:color w:val="auto"/>
              </w:rPr>
            </w:pPr>
            <w:r>
              <w:rPr>
                <w:rFonts w:ascii="Courier New" w:cs="Courier New" w:eastAsia="Courier New" w:hAnsi="Courier New"/>
                <w:sz w:val="18"/>
                <w:szCs w:val="18"/>
                <w:color w:val="auto"/>
              </w:rPr>
              <w:t>05464T104</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of</w:t>
            </w:r>
          </w:p>
        </w:tc>
        <w:tc>
          <w:tcPr>
            <w:tcW w:w="6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Event Which Requires Filing of this Statement) December 31, 2017</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w:t>
      </w:r>
    </w:p>
    <w:p>
      <w:pPr>
        <w:spacing w:after="0"/>
        <w:rPr>
          <w:sz w:val="20"/>
          <w:szCs w:val="20"/>
          <w:color w:val="auto"/>
        </w:rPr>
      </w:pPr>
      <w:r>
        <w:rPr>
          <w:rFonts w:ascii="Courier New" w:cs="Courier New" w:eastAsia="Courier New" w:hAnsi="Courier New"/>
          <w:sz w:val="18"/>
          <w:szCs w:val="18"/>
          <w:color w:val="auto"/>
        </w:rPr>
        <w:t>is filed:</w:t>
      </w:r>
    </w:p>
    <w:p>
      <w:pPr>
        <w:ind w:left="1060" w:hanging="420"/>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ind w:left="860" w:hanging="220"/>
        <w:spacing w:after="0" w:line="238" w:lineRule="auto"/>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]Rule 13d-1(c)</w:t>
      </w:r>
    </w:p>
    <w:p>
      <w:pPr>
        <w:ind w:left="1060" w:hanging="420"/>
        <w:spacing w:after="0" w:line="238"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13d-1(d)</w:t>
      </w:r>
    </w:p>
    <w:p>
      <w:pPr>
        <w:spacing w:after="0" w:line="202"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184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840" w:type="dxa"/>
            <w:vAlign w:val="bottom"/>
          </w:tcPr>
          <w:p>
            <w:pPr>
              <w:ind w:left="900"/>
              <w:spacing w:after="0"/>
              <w:rPr>
                <w:sz w:val="20"/>
                <w:szCs w:val="20"/>
                <w:color w:val="auto"/>
              </w:rPr>
            </w:pPr>
            <w:r>
              <w:rPr>
                <w:rFonts w:ascii="Courier New" w:cs="Courier New" w:eastAsia="Courier New" w:hAnsi="Courier New"/>
                <w:sz w:val="18"/>
                <w:szCs w:val="18"/>
                <w:color w:val="auto"/>
                <w:w w:val="94"/>
              </w:rPr>
              <w:t>05464T104</w:t>
            </w:r>
          </w:p>
        </w:tc>
      </w:tr>
    </w:tbl>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1.Names of Reporting Persons.</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Laurence W.Lytton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(See Instructions)</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w:t>
      </w:r>
    </w:p>
    <w:p>
      <w:pPr>
        <w:spacing w:after="0" w:line="218"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3.SEC Use Only</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4.Citizenship or Place of Organization</w:t>
      </w:r>
    </w:p>
    <w:p>
      <w:pPr>
        <w:spacing w:after="0" w:line="201"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2040" w:type="dxa"/>
            <w:vAlign w:val="bottom"/>
          </w:tcPr>
          <w:p>
            <w:pPr>
              <w:ind w:left="160"/>
              <w:spacing w:after="0"/>
              <w:rPr>
                <w:sz w:val="20"/>
                <w:szCs w:val="20"/>
                <w:color w:val="auto"/>
              </w:rPr>
            </w:pPr>
            <w:r>
              <w:rPr>
                <w:rFonts w:ascii="Courier New" w:cs="Courier New" w:eastAsia="Courier New" w:hAnsi="Courier New"/>
                <w:sz w:val="18"/>
                <w:szCs w:val="18"/>
                <w:color w:val="auto"/>
              </w:rPr>
              <w:t>USA</w:t>
            </w:r>
          </w:p>
        </w:tc>
        <w:tc>
          <w:tcPr>
            <w:tcW w:w="1060" w:type="dxa"/>
            <w:vAlign w:val="bottom"/>
          </w:tcPr>
          <w:p>
            <w:pPr>
              <w:spacing w:after="0"/>
              <w:rPr>
                <w:sz w:val="17"/>
                <w:szCs w:val="17"/>
                <w:color w:val="auto"/>
              </w:rPr>
            </w:pPr>
          </w:p>
        </w:tc>
      </w:tr>
      <w:tr>
        <w:trPr>
          <w:trHeight w:val="405"/>
        </w:trPr>
        <w:tc>
          <w:tcPr>
            <w:tcW w:w="2940" w:type="dxa"/>
            <w:vAlign w:val="bottom"/>
            <w:gridSpan w:val="2"/>
          </w:tcPr>
          <w:p>
            <w:pPr>
              <w:spacing w:after="0"/>
              <w:rPr>
                <w:sz w:val="20"/>
                <w:szCs w:val="20"/>
                <w:color w:val="auto"/>
              </w:rPr>
            </w:pPr>
            <w:r>
              <w:rPr>
                <w:rFonts w:ascii="Courier New" w:cs="Courier New" w:eastAsia="Courier New" w:hAnsi="Courier New"/>
                <w:sz w:val="18"/>
                <w:szCs w:val="18"/>
                <w:color w:val="auto"/>
              </w:rPr>
              <w:t>5.Sole Voting Power</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966,190</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6.Shared</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Voting Power</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16,500</w:t>
            </w:r>
          </w:p>
        </w:tc>
      </w:tr>
      <w:tr>
        <w:trPr>
          <w:trHeight w:val="405"/>
        </w:trPr>
        <w:tc>
          <w:tcPr>
            <w:tcW w:w="2940" w:type="dxa"/>
            <w:vAlign w:val="bottom"/>
            <w:gridSpan w:val="2"/>
          </w:tcPr>
          <w:p>
            <w:pPr>
              <w:spacing w:after="0"/>
              <w:rPr>
                <w:sz w:val="20"/>
                <w:szCs w:val="20"/>
                <w:color w:val="auto"/>
              </w:rPr>
            </w:pPr>
            <w:r>
              <w:rPr>
                <w:rFonts w:ascii="Courier New" w:cs="Courier New" w:eastAsia="Courier New" w:hAnsi="Courier New"/>
                <w:sz w:val="18"/>
                <w:szCs w:val="18"/>
                <w:color w:val="auto"/>
              </w:rPr>
              <w:t>7.Sole Dispositive Power</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966,190</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8.Shared</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16,500</w:t>
            </w:r>
          </w:p>
        </w:tc>
      </w:tr>
    </w:tbl>
    <w:p>
      <w:pPr>
        <w:spacing w:after="0" w:line="200" w:lineRule="exact"/>
        <w:rPr>
          <w:sz w:val="24"/>
          <w:szCs w:val="24"/>
          <w:color w:val="auto"/>
        </w:rPr>
      </w:pPr>
    </w:p>
    <w:p>
      <w:pPr>
        <w:spacing w:after="0" w:line="204"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9.Aggregate Amount Beneficially Owned by Each Reporting</w:t>
      </w:r>
    </w:p>
    <w:tbl>
      <w:tblPr>
        <w:tblLayout w:type="fixed"/>
        <w:tblInd w:w="640" w:type="dxa"/>
        <w:tblCellMar>
          <w:top w:w="0" w:type="dxa"/>
          <w:left w:w="0" w:type="dxa"/>
          <w:bottom w:w="0" w:type="dxa"/>
          <w:right w:w="0" w:type="dxa"/>
        </w:tblCellMar>
      </w:tblP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982,690</w:t>
            </w:r>
          </w:p>
        </w:tc>
      </w:tr>
    </w:tbl>
    <w:p>
      <w:pPr>
        <w:spacing w:after="0" w:line="200" w:lineRule="exact"/>
        <w:rPr>
          <w:sz w:val="24"/>
          <w:szCs w:val="24"/>
          <w:color w:val="auto"/>
        </w:rPr>
      </w:pPr>
    </w:p>
    <w:p>
      <w:pPr>
        <w:spacing w:after="0" w:line="204"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10.Check if the Aggregate Amount in Row (9) Excludes Certain Shares</w:t>
      </w:r>
    </w:p>
    <w:p>
      <w:pPr>
        <w:spacing w:after="0" w:line="238" w:lineRule="auto"/>
        <w:rPr>
          <w:sz w:val="20"/>
          <w:szCs w:val="20"/>
          <w:color w:val="auto"/>
        </w:rPr>
      </w:pPr>
      <w:r>
        <w:rPr>
          <w:rFonts w:ascii="Courier New" w:cs="Courier New" w:eastAsia="Courier New" w:hAnsi="Courier New"/>
          <w:sz w:val="18"/>
          <w:szCs w:val="18"/>
          <w:color w:val="auto"/>
        </w:rPr>
        <w:t>(See Instructions).................................</w:t>
      </w:r>
    </w:p>
    <w:p>
      <w:pPr>
        <w:spacing w:after="0" w:line="200" w:lineRule="exact"/>
        <w:rPr>
          <w:sz w:val="24"/>
          <w:szCs w:val="24"/>
          <w:color w:val="auto"/>
        </w:rPr>
      </w:pPr>
    </w:p>
    <w:p>
      <w:pPr>
        <w:spacing w:after="0" w:line="204"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11.Percent of Class Represented by Amount in Row (9)</w:t>
      </w:r>
    </w:p>
    <w:p>
      <w:pPr>
        <w:ind w:left="3380"/>
        <w:spacing w:after="0" w:line="238" w:lineRule="auto"/>
        <w:rPr>
          <w:sz w:val="20"/>
          <w:szCs w:val="20"/>
          <w:color w:val="auto"/>
        </w:rPr>
      </w:pPr>
      <w:r>
        <w:rPr>
          <w:rFonts w:ascii="Courier New" w:cs="Courier New" w:eastAsia="Courier New" w:hAnsi="Courier New"/>
          <w:sz w:val="18"/>
          <w:szCs w:val="18"/>
          <w:color w:val="auto"/>
        </w:rPr>
        <w:t>4.2% (1)</w:t>
      </w:r>
    </w:p>
    <w:p>
      <w:pPr>
        <w:spacing w:after="0" w:line="207" w:lineRule="exact"/>
        <w:rPr>
          <w:sz w:val="24"/>
          <w:szCs w:val="24"/>
          <w:color w:val="auto"/>
        </w:rPr>
      </w:pPr>
    </w:p>
    <w:p>
      <w:pPr>
        <w:ind w:left="860" w:right="2619"/>
        <w:spacing w:after="0" w:line="235" w:lineRule="auto"/>
        <w:rPr>
          <w:sz w:val="20"/>
          <w:szCs w:val="20"/>
          <w:color w:val="auto"/>
        </w:rPr>
      </w:pPr>
      <w:r>
        <w:rPr>
          <w:rFonts w:ascii="Courier New" w:cs="Courier New" w:eastAsia="Courier New" w:hAnsi="Courier New"/>
          <w:sz w:val="18"/>
          <w:szCs w:val="18"/>
          <w:color w:val="auto"/>
        </w:rPr>
        <w:t>Based on 23,671,301 shares outstanding as of November 3, 2017 as reported in the September 30, 2017 10-Q.</w:t>
      </w:r>
    </w:p>
    <w:p>
      <w:pPr>
        <w:spacing w:after="0" w:line="200" w:lineRule="exact"/>
        <w:rPr>
          <w:sz w:val="24"/>
          <w:szCs w:val="24"/>
          <w:color w:val="auto"/>
        </w:rPr>
      </w:pPr>
    </w:p>
    <w:p>
      <w:pPr>
        <w:spacing w:after="0" w:line="205"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12.Type of Reporting Person (See Instructions)</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4"/>
          <w:szCs w:val="24"/>
          <w:color w:val="auto"/>
        </w:rPr>
      </w:pPr>
    </w:p>
    <w:p>
      <w:pPr>
        <w:ind w:left="640"/>
        <w:spacing w:after="0"/>
        <w:tabs>
          <w:tab w:leader="none" w:pos="3360" w:val="left"/>
        </w:tabs>
        <w:rPr>
          <w:sz w:val="20"/>
          <w:szCs w:val="20"/>
          <w:color w:val="auto"/>
        </w:rPr>
      </w:pPr>
      <w:r>
        <w:rPr>
          <w:rFonts w:ascii="Courier New" w:cs="Courier New" w:eastAsia="Courier New" w:hAnsi="Courier New"/>
          <w:sz w:val="18"/>
          <w:szCs w:val="18"/>
          <w:color w:val="auto"/>
        </w:rPr>
        <w:t>(a)Name of Issuer</w:t>
      </w:r>
      <w:r>
        <w:rPr>
          <w:sz w:val="20"/>
          <w:szCs w:val="20"/>
          <w:color w:val="auto"/>
        </w:rPr>
        <w:tab/>
      </w:r>
      <w:r>
        <w:rPr>
          <w:rFonts w:ascii="Courier New" w:cs="Courier New" w:eastAsia="Courier New" w:hAnsi="Courier New"/>
          <w:sz w:val="16"/>
          <w:szCs w:val="16"/>
          <w:color w:val="auto"/>
        </w:rPr>
        <w:t>AXSOME THERAPEUTICS INC</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(b)Address of Issuer's Principal Executive Offices</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25 Broadway, 9th Fl</w:t>
      </w:r>
    </w:p>
    <w:p>
      <w:pPr>
        <w:ind w:left="2540"/>
        <w:spacing w:after="0" w:line="238" w:lineRule="auto"/>
        <w:rPr>
          <w:sz w:val="20"/>
          <w:szCs w:val="20"/>
          <w:color w:val="auto"/>
        </w:rPr>
      </w:pPr>
      <w:r>
        <w:rPr>
          <w:rFonts w:ascii="Courier New" w:cs="Courier New" w:eastAsia="Courier New" w:hAnsi="Courier New"/>
          <w:sz w:val="18"/>
          <w:szCs w:val="18"/>
          <w:color w:val="auto"/>
        </w:rPr>
        <w:t>New York, New York</w:t>
      </w:r>
    </w:p>
    <w:p>
      <w:pPr>
        <w:sectPr>
          <w:pgSz w:w="11900" w:h="16838" w:orient="portrait"/>
          <w:cols w:equalWidth="0" w:num="1">
            <w:col w:w="10219"/>
          </w:cols>
          <w:pgMar w:left="240" w:top="244" w:right="1440" w:bottom="227" w:gutter="0" w:footer="0" w:header="0"/>
        </w:sectPr>
      </w:pPr>
    </w:p>
    <w:bookmarkStart w:id="1" w:name="page2"/>
    <w:bookmarkEnd w:id="1"/>
    <w:p>
      <w:pPr>
        <w:ind w:left="1480"/>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640"/>
        <w:spacing w:after="0"/>
        <w:tabs>
          <w:tab w:leader="none" w:pos="3360" w:val="left"/>
        </w:tabs>
        <w:rPr>
          <w:sz w:val="20"/>
          <w:szCs w:val="20"/>
          <w:color w:val="auto"/>
        </w:rPr>
      </w:pPr>
      <w:r>
        <w:rPr>
          <w:rFonts w:ascii="Courier New" w:cs="Courier New" w:eastAsia="Courier New" w:hAnsi="Courier New"/>
          <w:sz w:val="18"/>
          <w:szCs w:val="18"/>
          <w:color w:val="auto"/>
        </w:rPr>
        <w:t>(a)Name of Person Filing</w:t>
      </w:r>
      <w:r>
        <w:rPr>
          <w:sz w:val="20"/>
          <w:szCs w:val="20"/>
          <w:color w:val="auto"/>
        </w:rPr>
        <w:tab/>
      </w:r>
      <w:r>
        <w:rPr>
          <w:rFonts w:ascii="Courier New" w:cs="Courier New" w:eastAsia="Courier New" w:hAnsi="Courier New"/>
          <w:sz w:val="16"/>
          <w:szCs w:val="16"/>
          <w:color w:val="auto"/>
        </w:rPr>
        <w:t>Laurence W. Lytton</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(b)Address of Principal Business Office or, if none, Residence</w:t>
      </w:r>
    </w:p>
    <w:p>
      <w:pPr>
        <w:spacing w:after="0" w:line="218"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467 CPW</w:t>
      </w:r>
    </w:p>
    <w:p>
      <w:pPr>
        <w:ind w:left="1700"/>
        <w:spacing w:after="0" w:line="238" w:lineRule="auto"/>
        <w:tabs>
          <w:tab w:leader="none" w:pos="2720" w:val="left"/>
        </w:tabs>
        <w:rPr>
          <w:sz w:val="20"/>
          <w:szCs w:val="20"/>
          <w:color w:val="auto"/>
        </w:rPr>
      </w:pPr>
      <w:r>
        <w:rPr>
          <w:rFonts w:ascii="Courier New" w:cs="Courier New" w:eastAsia="Courier New" w:hAnsi="Courier New"/>
          <w:sz w:val="18"/>
          <w:szCs w:val="18"/>
          <w:color w:val="auto"/>
        </w:rPr>
        <w:t>N.Y., NY</w:t>
        <w:tab/>
        <w:t>10025</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(c)Citizenship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w:t>
      </w:r>
    </w:p>
    <w:p>
      <w:pPr>
        <w:spacing w:after="0" w:line="200" w:lineRule="exact"/>
        <w:rPr>
          <w:sz w:val="20"/>
          <w:szCs w:val="20"/>
          <w:color w:val="auto"/>
        </w:rPr>
      </w:pPr>
    </w:p>
    <w:p>
      <w:pPr>
        <w:sectPr>
          <w:pgSz w:w="11900" w:h="16838" w:orient="portrait"/>
          <w:cols w:equalWidth="0" w:num="2">
            <w:col w:w="3500" w:space="720"/>
            <w:col w:w="5999"/>
          </w:cols>
          <w:pgMar w:left="240" w:top="339" w:right="1440" w:bottom="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(d)Title of Class of Securities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w:t>
      </w:r>
    </w:p>
    <w:p>
      <w:pPr>
        <w:spacing w:after="0" w:line="200" w:lineRule="exact"/>
        <w:rPr>
          <w:sz w:val="20"/>
          <w:szCs w:val="20"/>
          <w:color w:val="auto"/>
        </w:rPr>
      </w:pPr>
    </w:p>
    <w:p>
      <w:pPr>
        <w:sectPr>
          <w:pgSz w:w="11900" w:h="16838" w:orient="portrait"/>
          <w:cols w:equalWidth="0" w:num="2">
            <w:col w:w="3900" w:space="320"/>
            <w:col w:w="5999"/>
          </w:cols>
          <w:pgMar w:left="240" w:top="339" w:right="1440" w:bottom="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(e)CUSIP Number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05464T104</w:t>
      </w:r>
    </w:p>
    <w:p>
      <w:pPr>
        <w:spacing w:after="0" w:line="200" w:lineRule="exact"/>
        <w:rPr>
          <w:sz w:val="20"/>
          <w:szCs w:val="20"/>
          <w:color w:val="auto"/>
        </w:rPr>
      </w:pPr>
    </w:p>
    <w:p>
      <w:pPr>
        <w:sectPr>
          <w:pgSz w:w="11900" w:h="16838" w:orient="portrait"/>
          <w:cols w:equalWidth="0" w:num="2">
            <w:col w:w="3500" w:space="720"/>
            <w:col w:w="5999"/>
          </w:cols>
          <w:pgMar w:left="240" w:top="339" w:right="1440" w:bottom="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200" w:lineRule="exact"/>
        <w:rPr>
          <w:sz w:val="20"/>
          <w:szCs w:val="20"/>
          <w:color w:val="auto"/>
        </w:rPr>
      </w:pPr>
    </w:p>
    <w:p>
      <w:pPr>
        <w:sectPr>
          <w:pgSz w:w="11900" w:h="16838" w:orient="portrait"/>
          <w:cols w:equalWidth="0" w:num="2">
            <w:col w:w="1380" w:space="320"/>
            <w:col w:w="8519"/>
          </w:cols>
          <w:pgMar w:left="240" w:top="339" w:right="1440" w:bottom="0" w:gutter="0" w:footer="0" w:header="0"/>
          <w:type w:val="continuous"/>
        </w:sectPr>
      </w:pPr>
    </w:p>
    <w:p>
      <w:pPr>
        <w:spacing w:after="0" w:line="22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Item 4.Ownership.</w:t>
      </w:r>
    </w:p>
    <w:p>
      <w:pPr>
        <w:spacing w:after="0" w:line="201" w:lineRule="exact"/>
        <w:rPr>
          <w:sz w:val="20"/>
          <w:szCs w:val="20"/>
          <w:color w:val="auto"/>
        </w:rPr>
      </w:pPr>
    </w:p>
    <w:p>
      <w:pPr>
        <w:ind w:left="640"/>
        <w:spacing w:after="0"/>
        <w:tabs>
          <w:tab w:leader="none" w:pos="4300" w:val="left"/>
        </w:tabs>
        <w:rPr>
          <w:sz w:val="20"/>
          <w:szCs w:val="20"/>
          <w:color w:val="auto"/>
        </w:rPr>
      </w:pPr>
      <w:r>
        <w:rPr>
          <w:rFonts w:ascii="Courier New" w:cs="Courier New" w:eastAsia="Courier New" w:hAnsi="Courier New"/>
          <w:sz w:val="18"/>
          <w:szCs w:val="18"/>
          <w:color w:val="auto"/>
        </w:rPr>
        <w:t>(a)Amount beneficially owned:</w:t>
      </w:r>
      <w:r>
        <w:rPr>
          <w:sz w:val="20"/>
          <w:szCs w:val="20"/>
          <w:color w:val="auto"/>
        </w:rPr>
        <w:tab/>
      </w:r>
      <w:r>
        <w:rPr>
          <w:rFonts w:ascii="Courier New" w:cs="Courier New" w:eastAsia="Courier New" w:hAnsi="Courier New"/>
          <w:sz w:val="16"/>
          <w:szCs w:val="16"/>
          <w:color w:val="auto"/>
        </w:rPr>
        <w:t>982,690 consisting of</w:t>
      </w:r>
    </w:p>
    <w:p>
      <w:pPr>
        <w:sectPr>
          <w:pgSz w:w="11900" w:h="16838" w:orient="portrait"/>
          <w:cols w:equalWidth="0" w:num="1">
            <w:col w:w="10219"/>
          </w:cols>
          <w:pgMar w:left="240" w:top="339" w:right="1440" w:bottom="0" w:gutter="0" w:footer="0" w:header="0"/>
          <w:type w:val="continuous"/>
        </w:sectPr>
      </w:pPr>
    </w:p>
    <w:p>
      <w:pPr>
        <w:spacing w:after="0" w:line="4" w:lineRule="exact"/>
        <w:rPr>
          <w:sz w:val="20"/>
          <w:szCs w:val="20"/>
          <w:color w:val="auto"/>
        </w:rPr>
      </w:pPr>
    </w:p>
    <w:p>
      <w:pPr>
        <w:ind w:left="860" w:right="3039"/>
        <w:spacing w:after="0" w:line="275" w:lineRule="auto"/>
        <w:rPr>
          <w:sz w:val="20"/>
          <w:szCs w:val="20"/>
          <w:color w:val="auto"/>
        </w:rPr>
      </w:pPr>
      <w:r>
        <w:rPr>
          <w:rFonts w:ascii="Courier New" w:cs="Courier New" w:eastAsia="Courier New" w:hAnsi="Courier New"/>
          <w:sz w:val="16"/>
          <w:szCs w:val="16"/>
          <w:color w:val="auto"/>
        </w:rPr>
        <w:t>861,790 shares held by the reporting person, 71,000 held in the AWL Family LLC, 18,045 held in the IKL Trust, 4,495 held in the KLL Family Trust, 4,960 held in the L-K Foundation, and 22,400 shares held in other related accounts.</w:t>
      </w:r>
    </w:p>
    <w:p>
      <w:pPr>
        <w:sectPr>
          <w:pgSz w:w="11900" w:h="16838" w:orient="portrait"/>
          <w:cols w:equalWidth="0" w:num="1">
            <w:col w:w="10219"/>
          </w:cols>
          <w:pgMar w:left="240" w:top="339" w:right="1440" w:bottom="0" w:gutter="0" w:footer="0" w:header="0"/>
          <w:type w:val="continuous"/>
        </w:sectPr>
      </w:pPr>
    </w:p>
    <w:p>
      <w:pPr>
        <w:spacing w:after="0" w:line="182"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(b)Percent of class: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4.2%</w:t>
      </w:r>
    </w:p>
    <w:p>
      <w:pPr>
        <w:spacing w:after="0" w:line="200" w:lineRule="exact"/>
        <w:rPr>
          <w:sz w:val="20"/>
          <w:szCs w:val="20"/>
          <w:color w:val="auto"/>
        </w:rPr>
      </w:pPr>
    </w:p>
    <w:p>
      <w:pPr>
        <w:sectPr>
          <w:pgSz w:w="11900" w:h="16838" w:orient="portrait"/>
          <w:cols w:equalWidth="0" w:num="2">
            <w:col w:w="3500" w:space="720"/>
            <w:col w:w="5999"/>
          </w:cols>
          <w:pgMar w:left="240" w:top="339" w:right="1440" w:bottom="0" w:gutter="0" w:footer="0" w:header="0"/>
          <w:type w:val="continuous"/>
        </w:sectPr>
      </w:pPr>
    </w:p>
    <w:p>
      <w:pPr>
        <w:spacing w:after="0" w:line="1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(c)Number of shares as to which the person has:</w:t>
      </w:r>
    </w:p>
    <w:p>
      <w:pPr>
        <w:spacing w:after="0" w:line="201"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740" w:type="dxa"/>
            <w:vAlign w:val="bottom"/>
          </w:tcPr>
          <w:p>
            <w:pPr>
              <w:spacing w:after="0"/>
              <w:rPr>
                <w:sz w:val="20"/>
                <w:szCs w:val="20"/>
                <w:color w:val="auto"/>
              </w:rPr>
            </w:pPr>
            <w:r>
              <w:rPr>
                <w:rFonts w:ascii="Courier New" w:cs="Courier New" w:eastAsia="Courier New" w:hAnsi="Courier New"/>
                <w:sz w:val="18"/>
                <w:szCs w:val="18"/>
                <w:color w:val="auto"/>
                <w:w w:val="99"/>
              </w:rPr>
              <w:t>(i)Sole power to</w:t>
            </w:r>
          </w:p>
        </w:tc>
        <w:tc>
          <w:tcPr>
            <w:tcW w:w="11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vote or to</w:t>
            </w:r>
          </w:p>
        </w:tc>
        <w:tc>
          <w:tcPr>
            <w:tcW w:w="2160" w:type="dxa"/>
            <w:vAlign w:val="bottom"/>
          </w:tcPr>
          <w:p>
            <w:pPr>
              <w:ind w:left="40"/>
              <w:spacing w:after="0"/>
              <w:rPr>
                <w:sz w:val="20"/>
                <w:szCs w:val="20"/>
                <w:color w:val="auto"/>
              </w:rPr>
            </w:pPr>
            <w:r>
              <w:rPr>
                <w:rFonts w:ascii="Courier New" w:cs="Courier New" w:eastAsia="Courier New" w:hAnsi="Courier New"/>
                <w:sz w:val="18"/>
                <w:szCs w:val="18"/>
                <w:color w:val="auto"/>
              </w:rPr>
              <w:t>direct the vote</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966,190.</w:t>
            </w:r>
          </w:p>
        </w:tc>
        <w:tc>
          <w:tcPr>
            <w:tcW w:w="940" w:type="dxa"/>
            <w:vAlign w:val="bottom"/>
          </w:tcPr>
          <w:p>
            <w:pPr>
              <w:spacing w:after="0"/>
              <w:rPr>
                <w:sz w:val="17"/>
                <w:szCs w:val="17"/>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w w:val="99"/>
              </w:rPr>
              <w:t>(ii)Shared power</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vote or</w:t>
            </w:r>
          </w:p>
        </w:tc>
        <w:tc>
          <w:tcPr>
            <w:tcW w:w="21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16,500.</w:t>
            </w:r>
          </w:p>
        </w:tc>
        <w:tc>
          <w:tcPr>
            <w:tcW w:w="940" w:type="dxa"/>
            <w:vAlign w:val="bottom"/>
          </w:tcPr>
          <w:p>
            <w:pPr>
              <w:spacing w:after="0"/>
              <w:rPr>
                <w:sz w:val="24"/>
                <w:szCs w:val="24"/>
                <w:color w:val="auto"/>
              </w:rPr>
            </w:pPr>
          </w:p>
        </w:tc>
      </w:tr>
      <w:tr>
        <w:trPr>
          <w:trHeight w:val="405"/>
        </w:trPr>
        <w:tc>
          <w:tcPr>
            <w:tcW w:w="6220" w:type="dxa"/>
            <w:vAlign w:val="bottom"/>
            <w:gridSpan w:val="5"/>
          </w:tcPr>
          <w:p>
            <w:pPr>
              <w:spacing w:after="0"/>
              <w:rPr>
                <w:sz w:val="20"/>
                <w:szCs w:val="20"/>
                <w:color w:val="auto"/>
              </w:rPr>
            </w:pPr>
            <w:r>
              <w:rPr>
                <w:rFonts w:ascii="Courier New" w:cs="Courier New" w:eastAsia="Courier New" w:hAnsi="Courier New"/>
                <w:sz w:val="18"/>
                <w:szCs w:val="18"/>
                <w:color w:val="auto"/>
                <w:w w:val="98"/>
              </w:rPr>
              <w:t>(iii)Sole power to dispose or to direct the disposition of</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966,190.</w:t>
            </w:r>
          </w:p>
        </w:tc>
      </w:tr>
      <w:tr>
        <w:trPr>
          <w:trHeight w:val="405"/>
        </w:trPr>
        <w:tc>
          <w:tcPr>
            <w:tcW w:w="2060" w:type="dxa"/>
            <w:vAlign w:val="bottom"/>
            <w:gridSpan w:val="2"/>
          </w:tcPr>
          <w:p>
            <w:pPr>
              <w:spacing w:after="0"/>
              <w:rPr>
                <w:sz w:val="20"/>
                <w:szCs w:val="20"/>
                <w:color w:val="auto"/>
              </w:rPr>
            </w:pPr>
            <w:r>
              <w:rPr>
                <w:rFonts w:ascii="Courier New" w:cs="Courier New" w:eastAsia="Courier New" w:hAnsi="Courier New"/>
                <w:sz w:val="18"/>
                <w:szCs w:val="18"/>
                <w:color w:val="auto"/>
                <w:w w:val="99"/>
              </w:rPr>
              <w:t>(iv)Shared power to</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dispose</w:t>
            </w:r>
          </w:p>
        </w:tc>
        <w:tc>
          <w:tcPr>
            <w:tcW w:w="332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or to direct the disposition of</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16,500.</w:t>
            </w:r>
          </w:p>
        </w:tc>
      </w:tr>
      <w:tr>
        <w:trPr>
          <w:trHeight w:val="608"/>
        </w:trPr>
        <w:tc>
          <w:tcPr>
            <w:tcW w:w="2060" w:type="dxa"/>
            <w:vAlign w:val="bottom"/>
            <w:gridSpan w:val="2"/>
          </w:tcPr>
          <w:p>
            <w:pPr>
              <w:spacing w:after="0"/>
              <w:rPr>
                <w:sz w:val="20"/>
                <w:szCs w:val="20"/>
                <w:color w:val="auto"/>
              </w:rPr>
            </w:pPr>
            <w:r>
              <w:rPr>
                <w:rFonts w:ascii="Courier New" w:cs="Courier New" w:eastAsia="Courier New" w:hAnsi="Courier New"/>
                <w:sz w:val="18"/>
                <w:szCs w:val="18"/>
                <w:color w:val="auto"/>
                <w:w w:val="99"/>
              </w:rPr>
              <w:t>Item 5.Ownership of</w:t>
            </w:r>
          </w:p>
        </w:tc>
        <w:tc>
          <w:tcPr>
            <w:tcW w:w="416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Five Percent or Less of a Class:</w:t>
            </w:r>
          </w:p>
        </w:tc>
        <w:tc>
          <w:tcPr>
            <w:tcW w:w="940" w:type="dxa"/>
            <w:vAlign w:val="bottom"/>
          </w:tcPr>
          <w:p>
            <w:pPr>
              <w:spacing w:after="0"/>
              <w:rPr>
                <w:sz w:val="24"/>
                <w:szCs w:val="24"/>
                <w:color w:val="auto"/>
              </w:rPr>
            </w:pPr>
          </w:p>
        </w:tc>
      </w:tr>
      <w:tr>
        <w:trPr>
          <w:trHeight w:val="203"/>
        </w:trPr>
        <w:tc>
          <w:tcPr>
            <w:tcW w:w="2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If this statement</w:t>
            </w:r>
          </w:p>
        </w:tc>
        <w:tc>
          <w:tcPr>
            <w:tcW w:w="41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is being filed to report the fact that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as of the</w:t>
            </w:r>
          </w:p>
        </w:tc>
      </w:tr>
      <w:tr>
        <w:trPr>
          <w:trHeight w:val="203"/>
        </w:trPr>
        <w:tc>
          <w:tcPr>
            <w:tcW w:w="29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8"/>
              </w:rPr>
              <w:t>date hereof the reporting</w:t>
            </w:r>
          </w:p>
        </w:tc>
        <w:tc>
          <w:tcPr>
            <w:tcW w:w="42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person has ceased to be the beneficial</w:t>
            </w:r>
          </w:p>
        </w:tc>
      </w:tr>
      <w:tr>
        <w:trPr>
          <w:trHeight w:val="203"/>
        </w:trPr>
        <w:tc>
          <w:tcPr>
            <w:tcW w:w="6220" w:type="dxa"/>
            <w:vAlign w:val="bottom"/>
            <w:gridSpan w:val="5"/>
          </w:tcPr>
          <w:p>
            <w:pPr>
              <w:ind w:left="220"/>
              <w:spacing w:after="0" w:line="203" w:lineRule="exact"/>
              <w:rPr>
                <w:sz w:val="20"/>
                <w:szCs w:val="20"/>
                <w:color w:val="auto"/>
              </w:rPr>
            </w:pPr>
            <w:r>
              <w:rPr>
                <w:rFonts w:ascii="Courier New" w:cs="Courier New" w:eastAsia="Courier New" w:hAnsi="Courier New"/>
                <w:sz w:val="18"/>
                <w:szCs w:val="18"/>
                <w:color w:val="auto"/>
                <w:w w:val="98"/>
              </w:rPr>
              <w:t>owner of more than 5 percent of the class of securities,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check the</w:t>
            </w:r>
          </w:p>
        </w:tc>
      </w:tr>
      <w:tr>
        <w:trPr>
          <w:trHeight w:val="203"/>
        </w:trPr>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following (X).</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Item 6.Ownership of More than Five Percent on Behalf of Another Person.</w:t>
      </w:r>
    </w:p>
    <w:p>
      <w:pPr>
        <w:spacing w:after="0" w:line="21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2839" w:firstLine="632"/>
        <w:spacing w:after="0" w:line="290" w:lineRule="auto"/>
        <w:rPr>
          <w:sz w:val="20"/>
          <w:szCs w:val="20"/>
          <w:color w:val="auto"/>
        </w:rPr>
      </w:pPr>
      <w:r>
        <w:rPr>
          <w:rFonts w:ascii="Courier New" w:cs="Courier New" w:eastAsia="Courier New" w:hAnsi="Courier New"/>
          <w:sz w:val="16"/>
          <w:szCs w:val="16"/>
          <w:color w:val="auto"/>
        </w:rPr>
        <w:t>Item 7.Identification and Classification of the Subsidiary Which Acquired the Security Being Reported on By the Parent Holding Company</w:t>
      </w:r>
    </w:p>
    <w:p>
      <w:pPr>
        <w:spacing w:after="0" w:line="16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Item 8.Identification and Classification of Members of the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Item 9.Notice of Dissolution of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Item 10.Certification</w:t>
      </w:r>
    </w:p>
    <w:p>
      <w:pPr>
        <w:spacing w:after="0" w:line="207" w:lineRule="exact"/>
        <w:rPr>
          <w:sz w:val="20"/>
          <w:szCs w:val="20"/>
          <w:color w:val="auto"/>
        </w:rPr>
      </w:pPr>
    </w:p>
    <w:p>
      <w:pPr>
        <w:ind w:right="2199" w:firstLine="632"/>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w:t>
      </w:r>
    </w:p>
    <w:p>
      <w:pPr>
        <w:spacing w:after="0" w:line="1"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in connection with or as a participant in any transaction having that purpose or effect.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___2/14/18____________________________</w:t>
      </w:r>
    </w:p>
    <w:p>
      <w:pPr>
        <w:ind w:left="640"/>
        <w:spacing w:after="0" w:line="238" w:lineRule="auto"/>
        <w:rPr>
          <w:sz w:val="20"/>
          <w:szCs w:val="20"/>
          <w:color w:val="auto"/>
        </w:rPr>
      </w:pPr>
      <w:r>
        <w:rPr>
          <w:rFonts w:ascii="Courier New" w:cs="Courier New" w:eastAsia="Courier New" w:hAnsi="Courier New"/>
          <w:sz w:val="18"/>
          <w:szCs w:val="18"/>
          <w:color w:val="auto"/>
        </w:rPr>
        <w:t>Date</w:t>
      </w:r>
    </w:p>
    <w:p>
      <w:pPr>
        <w:ind w:left="640"/>
        <w:spacing w:after="0"/>
        <w:rPr>
          <w:sz w:val="20"/>
          <w:szCs w:val="20"/>
          <w:color w:val="auto"/>
        </w:rPr>
      </w:pPr>
      <w:r>
        <w:rPr>
          <w:rFonts w:ascii="Courier New" w:cs="Courier New" w:eastAsia="Courier New" w:hAnsi="Courier New"/>
          <w:sz w:val="18"/>
          <w:szCs w:val="18"/>
          <w:color w:val="auto"/>
        </w:rPr>
        <w:t>____s/ Laurence W. Lytton____________________________</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_____Laurence W. Lytton___________________________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9579"/>
      </w:cols>
      <w:pgMar w:left="8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2019-12-16T22:30:22Z</dcterms:created>
  <dcterms:modified xsi:type="dcterms:W3CDTF">2019-12-16T22:30:22Z</dcterms:modified>
</cp:coreProperties>
</file>