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xsm-20240630.htm"/>
      <w:bookmarkStart w:id="1" w:name="ksaxsm2024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6"/>
        </w:rPr>
        <w:t>FORM</w:t>
      </w:r>
      <w:r>
        <w:rPr>
          <w:rFonts w:ascii="Times New Roman" w:hAnsi="Times New Roman"/>
          <w:color w:val="000000"/>
          <w:sz w:val="20"/>
        </w:rPr>
        <w:t xml:space="preserve"> </w:t>
      </w:r>
      <w:r>
        <w:rPr>
          <w:rFonts w:ascii="Times New Roman" w:hAnsi="Times New Roman"/>
          <w:b/>
          <w:color w:val="000000"/>
          <w:sz w:val="26"/>
        </w:rPr>
        <w:t>10-Q</w:t>
      </w:r>
    </w:p>
    <w:p>
      <w:pPr>
        <w:pStyle w:val="TextBody"/>
        <w:bidi w:val="0"/>
        <w:spacing w:before="60" w:after="283"/>
        <w:jc w:val="center"/>
        <w:rPr/>
      </w:pPr>
      <w:r>
        <w:rPr>
          <w:color w:val="000000"/>
        </w:rPr>
        <w:t xml:space="preserve">☒ </w:t>
      </w:r>
      <w:r>
        <w:rPr>
          <w:rFonts w:ascii="Times New Roman" w:hAnsi="Times New Roman"/>
          <w:b/>
          <w:color w:val="000000"/>
          <w:sz w:val="18"/>
        </w:rPr>
        <w:t>QUARTERLY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60" w:after="283"/>
        <w:jc w:val="center"/>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________ to ________</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w:t>
      </w:r>
      <w:r>
        <w:rPr>
          <w:rFonts w:ascii="Times New Roman" w:hAnsi="Times New Roman"/>
          <w:color w:val="000000"/>
          <w:sz w:val="20"/>
        </w:rPr>
        <w:t xml:space="preserve"> </w:t>
      </w:r>
      <w:r>
        <w:rPr>
          <w:rFonts w:ascii="Times New Roman" w:hAnsi="Times New Roman"/>
          <w:b/>
          <w:color w:val="000000"/>
          <w:sz w:val="18"/>
        </w:rPr>
        <w:t>001-37635</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6"/>
        </w:rPr>
      </w:pPr>
      <w:r>
        <w:rPr>
          <w:rFonts w:ascii="Times New Roman" w:hAnsi="Times New Roman"/>
          <w:b/>
          <w:color w:val="000000"/>
          <w:sz w:val="26"/>
        </w:rPr>
        <w:t>AXSOME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291"/>
        <w:gridCol w:w="2671"/>
      </w:tblGrid>
      <w:tr>
        <w:trPr/>
        <w:tc>
          <w:tcPr>
            <w:tcW w:w="429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67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45-4241907</w:t>
            </w:r>
          </w:p>
        </w:tc>
      </w:tr>
      <w:tr>
        <w:trPr/>
        <w:tc>
          <w:tcPr>
            <w:tcW w:w="429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67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866"/>
        <w:gridCol w:w="916"/>
      </w:tblGrid>
      <w:tr>
        <w:trPr/>
        <w:tc>
          <w:tcPr>
            <w:tcW w:w="28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One World Trade Center</w:t>
            </w:r>
          </w:p>
          <w:p>
            <w:pPr>
              <w:pStyle w:val="TableContents"/>
              <w:bidi w:val="0"/>
              <w:jc w:val="center"/>
              <w:rPr>
                <w:rFonts w:ascii="Times New Roman" w:hAnsi="Times New Roman"/>
                <w:b/>
                <w:color w:val="000000"/>
                <w:sz w:val="18"/>
              </w:rPr>
            </w:pPr>
            <w:r>
              <w:rPr>
                <w:rFonts w:ascii="Times New Roman" w:hAnsi="Times New Roman"/>
                <w:b/>
                <w:color w:val="000000"/>
                <w:sz w:val="18"/>
              </w:rPr>
              <w:t>22nd Floor</w:t>
            </w:r>
          </w:p>
          <w:p>
            <w:pPr>
              <w:pStyle w:val="TableContents"/>
              <w:bidi w:val="0"/>
              <w:spacing w:before="0" w:after="283"/>
              <w:jc w:val="center"/>
              <w:rPr>
                <w:rFonts w:ascii="Times New Roman" w:hAnsi="Times New Roman"/>
                <w:sz w:val="18"/>
              </w:rPr>
            </w:pPr>
            <w:r>
              <w:rPr>
                <w:rFonts w:ascii="Times New Roman" w:hAnsi="Times New Roman"/>
                <w:b/>
                <w:color w:val="000000"/>
                <w:sz w:val="18"/>
              </w:rPr>
              <w:t>New York,</w:t>
            </w:r>
            <w:r>
              <w:rPr>
                <w:rFonts w:ascii="Times New Roman" w:hAnsi="Times New Roman"/>
                <w:color w:val="000000"/>
                <w:sz w:val="18"/>
              </w:rPr>
              <w:t xml:space="preserve"> </w:t>
            </w:r>
            <w:r>
              <w:rPr>
                <w:rFonts w:ascii="Times New Roman" w:hAnsi="Times New Roman"/>
                <w:b/>
                <w:color w:val="000000"/>
                <w:sz w:val="18"/>
              </w:rPr>
              <w:t>New York</w:t>
            </w:r>
          </w:p>
        </w:tc>
        <w:tc>
          <w:tcPr>
            <w:tcW w:w="9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10007</w:t>
            </w:r>
          </w:p>
        </w:tc>
      </w:tr>
      <w:tr>
        <w:trPr/>
        <w:tc>
          <w:tcPr>
            <w:tcW w:w="286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9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(212)</w:t>
      </w:r>
      <w:r>
        <w:rPr>
          <w:rFonts w:ascii="Times New Roman" w:hAnsi="Times New Roman"/>
          <w:color w:val="000000"/>
          <w:sz w:val="20"/>
        </w:rPr>
        <w:t xml:space="preserve"> </w:t>
      </w:r>
      <w:r>
        <w:rPr>
          <w:rFonts w:ascii="Times New Roman" w:hAnsi="Times New Roman"/>
          <w:b/>
          <w:color w:val="000000"/>
          <w:sz w:val="18"/>
        </w:rPr>
        <w:t>332-3241</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301"/>
        <w:gridCol w:w="146"/>
        <w:gridCol w:w="1426"/>
        <w:gridCol w:w="146"/>
        <w:gridCol w:w="327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327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30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AXSM</w:t>
            </w:r>
          </w:p>
        </w:tc>
        <w:tc>
          <w:tcPr>
            <w:tcW w:w="146"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There were 48,000,205</w:t>
      </w:r>
      <w:r>
        <w:rPr>
          <w:rFonts w:ascii="Times New Roman" w:hAnsi="Times New Roman"/>
          <w:color w:val="000000"/>
          <w:sz w:val="20"/>
        </w:rPr>
        <w:t xml:space="preserve"> </w:t>
      </w:r>
      <w:r>
        <w:rPr>
          <w:rFonts w:ascii="Times New Roman" w:hAnsi="Times New Roman"/>
          <w:color w:val="000000"/>
          <w:sz w:val="16"/>
        </w:rPr>
        <w:t>shares of the registrant’s common stock, $0.0001 par value, outstanding as of July 29, 2024.</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aps/>
          <w:color w:val="000000"/>
          <w:sz w:val="20"/>
        </w:rPr>
      </w:pPr>
      <w:r>
        <w:rPr>
          <w:rFonts w:ascii="Times New Roman" w:hAnsi="Times New Roman"/>
          <w:b/>
          <w:caps/>
          <w:color w:val="000000"/>
          <w:sz w:val="20"/>
        </w:rPr>
        <w:t>FOR THE QUARTER ENDED June 30, 2024</w:t>
      </w:r>
    </w:p>
    <w:p>
      <w:pPr>
        <w:pStyle w:val="TextBody"/>
        <w:bidi w:val="0"/>
        <w:jc w:val="center"/>
        <w:rPr/>
      </w:pPr>
      <w:r>
        <w:rPr/>
        <w:t> </w:t>
      </w:r>
    </w:p>
    <w:p>
      <w:pPr>
        <w:pStyle w:val="TextBody"/>
        <w:bidi w:val="0"/>
        <w:jc w:val="center"/>
        <w:rPr>
          <w:rFonts w:ascii="Times New Roman" w:hAnsi="Times New Roman"/>
          <w:sz w:val="20"/>
        </w:rPr>
      </w:pPr>
      <w:bookmarkStart w:id="2" w:name="table_contents"/>
      <w:bookmarkEnd w:id="2"/>
      <w:r>
        <w:rPr>
          <w:rFonts w:ascii="Times New Roman" w:hAnsi="Times New Roman"/>
          <w:b/>
          <w:color w:val="000000"/>
          <w:sz w:val="20"/>
        </w:rPr>
        <w:t>TABLE</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C</w:t>
      </w:r>
      <w:bookmarkStart w:id="3" w:name="toc_page"/>
      <w:bookmarkEnd w:id="3"/>
      <w:r>
        <w:rPr>
          <w:rFonts w:ascii="Times New Roman" w:hAnsi="Times New Roman"/>
          <w:b/>
          <w:color w:val="000000"/>
          <w:sz w:val="20"/>
        </w:rPr>
        <w:t>ONTENTS</w:t>
      </w:r>
    </w:p>
    <w:p>
      <w:pPr>
        <w:pStyle w:val="TextBody"/>
        <w:bidi w:val="0"/>
        <w:jc w:val="left"/>
        <w:rPr/>
      </w:pPr>
      <w:r>
        <w:rPr/>
        <w:t> </w:t>
      </w:r>
    </w:p>
    <w:tbl>
      <w:tblPr>
        <w:tblW w:w="8969" w:type="dxa"/>
        <w:jc w:val="left"/>
        <w:tblInd w:w="0" w:type="dxa"/>
        <w:tblLayout w:type="fixed"/>
        <w:tblCellMar>
          <w:top w:w="28" w:type="dxa"/>
          <w:left w:w="28" w:type="dxa"/>
          <w:bottom w:w="28" w:type="dxa"/>
          <w:right w:w="28" w:type="dxa"/>
        </w:tblCellMar>
      </w:tblPr>
      <w:tblGrid>
        <w:gridCol w:w="886"/>
        <w:gridCol w:w="7366"/>
        <w:gridCol w:w="14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252" w:type="dxa"/>
            <w:gridSpan w:val="2"/>
            <w:tcBorders/>
            <w:vAlign w:val="center"/>
          </w:tcPr>
          <w:p>
            <w:pPr>
              <w:pStyle w:val="TableContents"/>
              <w:bidi w:val="0"/>
              <w:spacing w:before="0" w:after="283"/>
              <w:jc w:val="left"/>
              <w:rPr/>
            </w:pPr>
            <w:hyperlink w:anchor="cautionary_note_regarding_forwardlooking">
              <w:r>
                <w:rPr>
                  <w:rStyle w:val="InternetLink"/>
                  <w:rFonts w:ascii="Times New Roman" w:hAnsi="Times New Roman"/>
                  <w:color w:val="000000"/>
                  <w:sz w:val="20"/>
                </w:rPr>
                <w:t>CAUTIONARY NOTE REGARDING FORWARD LOOKING STATEMENTS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5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8252"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rPr>
                <w:t>PART I — FINANCIAL INFORMATION</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8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00"/>
                  <w:sz w:val="20"/>
                </w:rPr>
                <w:t>Financial Statements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00"/>
                  <w:sz w:val="20"/>
                </w:rPr>
                <w:t>Quantitative and Qualitative Disclosure About Market Risk</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00"/>
                  <w:sz w:val="20"/>
                </w:rPr>
                <w:t>Controls and Procedures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25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8252" w:type="dxa"/>
            <w:gridSpan w:val="2"/>
            <w:tcBorders/>
            <w:vAlign w:val="center"/>
          </w:tcPr>
          <w:p>
            <w:pPr>
              <w:pStyle w:val="TableContents"/>
              <w:bidi w:val="0"/>
              <w:spacing w:before="0" w:after="283"/>
              <w:jc w:val="left"/>
              <w:rPr/>
            </w:pPr>
            <w:hyperlink w:anchor="part_ii_or_information">
              <w:r>
                <w:rPr>
                  <w:rStyle w:val="InternetLink"/>
                  <w:rFonts w:ascii="Times New Roman" w:hAnsi="Times New Roman"/>
                  <w:b/>
                  <w:color w:val="000000"/>
                  <w:sz w:val="20"/>
                </w:rPr>
                <w:t>PART II — OTHER INFORMATION</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8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vAlign w:val="center"/>
          </w:tcPr>
          <w:p>
            <w:pPr>
              <w:pStyle w:val="TableContents"/>
              <w:bidi w:val="0"/>
              <w:spacing w:before="0" w:after="283"/>
              <w:jc w:val="left"/>
              <w:rPr/>
            </w:pPr>
            <w:hyperlink w:anchor="item1a_risk_factors">
              <w:r>
                <w:rPr>
                  <w:rStyle w:val="InternetLink"/>
                  <w:rFonts w:ascii="Times New Roman" w:hAnsi="Times New Roman"/>
                  <w:color w:val="000000"/>
                  <w:sz w:val="20"/>
                </w:rPr>
                <w:t>Risk Factors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00"/>
                  <w:sz w:val="20"/>
                </w:rPr>
                <w:t>Other Information</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88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signatures">
              <w:r>
                <w:rPr>
                  <w:rStyle w:val="InternetLink"/>
                  <w:rFonts w:ascii="Times New Roman" w:hAnsi="Times New Roman"/>
                  <w:color w:val="000000"/>
                  <w:sz w:val="20"/>
                </w:rPr>
                <w:t>Signatures</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cautionary_note_regarding_forwardlooking"/>
      <w:bookmarkEnd w:id="4"/>
      <w:r>
        <w:rPr>
          <w:rFonts w:ascii="Times New Roman" w:hAnsi="Times New Roman"/>
          <w:b/>
          <w:color w:val="000000"/>
          <w:sz w:val="20"/>
        </w:rPr>
        <w:t>CAUTIONARY NOTE</w:t>
      </w:r>
      <w:r>
        <w:rPr>
          <w:rFonts w:ascii="Times New Roman" w:hAnsi="Times New Roman"/>
          <w:color w:val="000000"/>
          <w:sz w:val="20"/>
        </w:rPr>
        <w:t xml:space="preserve"> </w:t>
      </w:r>
      <w:r>
        <w:rPr>
          <w:rFonts w:ascii="Times New Roman" w:hAnsi="Times New Roman"/>
          <w:b/>
          <w:color w:val="000000"/>
          <w:sz w:val="20"/>
        </w:rPr>
        <w:t>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increases or decreases in expenses;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the clinical and preclinical development, manufacturing and regulatory approval of our product candidates, and commercialization of our pharmaceutical products or any other products that we may acquire or in-license;</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estimates of the sufficiency of our existing capital resources combined with future anticipated cash flows to finance our operating requirements;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incurring capital expenditures to expand our research and development and manufacturing capabilities;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unforeseen circumstances or other disruptions to normal business operations arising from or related to geopolitical conflicts or pandemics;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future revenue projections, sales forecasts, and potential peak market data;</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generating revenue or becoming profitable on a sustained basis;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enter into marketing and other partnership agreements;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enter into product acquisitions and in-licensing transactions;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or ability to build our own commercial infrastructure to manufacture, market and sell our products;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expected losses;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the acceptance of our products by doctors, patients, or payors;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stock price and its volatility;</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the performance of third-party manufacturers;</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expectations for future capital requirements; and</w:t>
      </w:r>
    </w:p>
    <w:p>
      <w:pPr>
        <w:pStyle w:val="TextBody"/>
        <w:bidi w:val="0"/>
        <w:spacing w:before="110" w:after="283"/>
        <w:jc w:val="left"/>
        <w:rPr>
          <w:color w:val="000000"/>
        </w:rPr>
      </w:pPr>
      <w:r>
        <w:rPr>
          <w:color w:val="000000"/>
        </w:rPr>
        <w:t>•</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our ability to successfully implement our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art_i_financial_information"/>
      <w:bookmarkEnd w:id="5"/>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504,263</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 operating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53,286</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138,854</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73,300</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178,070</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397,259</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none issued and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per share (150,000,000 shares authorized, 47,801,578 and 47,351,363 shares issued and outstanding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47,573,229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43,597,131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3428"/>
        <w:gridCol w:w="146"/>
        <w:gridCol w:w="146"/>
        <w:gridCol w:w="916"/>
        <w:gridCol w:w="146"/>
        <w:gridCol w:w="146"/>
        <w:gridCol w:w="249"/>
        <w:gridCol w:w="442"/>
        <w:gridCol w:w="146"/>
        <w:gridCol w:w="146"/>
        <w:gridCol w:w="225"/>
        <w:gridCol w:w="952"/>
        <w:gridCol w:w="166"/>
        <w:gridCol w:w="146"/>
        <w:gridCol w:w="217"/>
        <w:gridCol w:w="834"/>
        <w:gridCol w:w="166"/>
        <w:gridCol w:w="146"/>
        <w:gridCol w:w="227"/>
        <w:gridCol w:w="801"/>
        <w:gridCol w:w="414"/>
      </w:tblGrid>
      <w:tr>
        <w:trPr/>
        <w:tc>
          <w:tcPr>
            <w:tcW w:w="3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414" w:type="dxa"/>
            <w:tcBorders/>
            <w:shd w:fill="FFFFFF" w:val="clear"/>
            <w:vAlign w:val="center"/>
          </w:tcPr>
          <w:p>
            <w:pPr>
              <w:pStyle w:val="TableContents"/>
              <w:bidi w:val="0"/>
              <w:spacing w:before="0" w:after="283"/>
              <w:jc w:val="center"/>
              <w:rPr/>
            </w:pPr>
            <w:r>
              <w:rPr/>
              <w:t> </w:t>
            </w:r>
          </w:p>
        </w:tc>
      </w:tr>
      <w:tr>
        <w:trPr/>
        <w:tc>
          <w:tcPr>
            <w:tcW w:w="3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43,498,617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(596,333</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109,556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warrants upon debt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(11,218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43,548,466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(607,551</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111,812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15,922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211,378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warrants upon debt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(67,170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46,726,794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278,804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47,351,363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1,026,543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(835,571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190,977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(1,618</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(68,357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47,464,575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(903,928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144,036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21,709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exercise of options and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6,741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common stock upon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4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(1,328</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(1,328</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(79,345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4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47,801,578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1,086,120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(983,273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102,852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292"/>
        <w:gridCol w:w="146"/>
        <w:gridCol w:w="211"/>
        <w:gridCol w:w="841"/>
        <w:gridCol w:w="166"/>
        <w:gridCol w:w="146"/>
        <w:gridCol w:w="211"/>
        <w:gridCol w:w="781"/>
        <w:gridCol w:w="411"/>
      </w:tblGrid>
      <w:tr>
        <w:trPr/>
        <w:tc>
          <w:tcPr>
            <w:tcW w:w="7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amortization for finance lease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2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2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draw down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principal portion of finance lease obligation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common stock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exercise of options and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tax withholdings on stock award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236,271</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411" w:type="dxa"/>
            <w:tcBorders/>
            <w:shd w:fill="CFF0FC"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7,764</w:t>
            </w:r>
          </w:p>
        </w:tc>
        <w:tc>
          <w:tcPr>
            <w:tcW w:w="411" w:type="dxa"/>
            <w:tcBorders/>
            <w:shd w:fill="FFFFFF" w:val="clear"/>
            <w:vAlign w:val="center"/>
          </w:tcPr>
          <w:p>
            <w:pPr>
              <w:pStyle w:val="TableContents"/>
              <w:bidi w:val="0"/>
              <w:spacing w:before="0" w:after="283"/>
              <w:jc w:val="left"/>
              <w:rPr/>
            </w:pPr>
            <w:r>
              <w:rPr/>
              <w:t> </w:t>
            </w:r>
          </w:p>
        </w:tc>
      </w:tr>
      <w:tr>
        <w:trPr/>
        <w:tc>
          <w:tcPr>
            <w:tcW w:w="7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 obtained in exchange for finance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Business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three not yet approved product candidates, AXS-07, AXS-12, and AXS-14, which are being developed for multiple indications, and two approved products - Auvelity® (the components of which are referred to as “AXS-05”) and Sunosi® - both of which are also being developed for further indications. The Company refers herein to Sunosi, Auvelity, AXS-07, AXS-12, AXS-14 and its programs to develop additional indications for AXS-05 and solriamfetol as the Company’s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announced the FDA approval of Auvelity, and in October 2022, the U.S. commercial availability of Auvelity for the treatment of major depressive disorder in adults.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2023 filed with the SEC on February 23,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2024 are not necessarily indicative of the operating results for the full fiscal year or any future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operating losses since its inception and expects to continue to incur operating losses and may never become profitable. As of June 30, 2024, the Company had an accumulated deficit of $983.3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is listed on The Nasdaq Global Market and trades under the symbol “AXSM.”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13. 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Sales,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product sales are recorded net of reserves for variable consideration. These reserves reflect the Company's best estimate of the amount of consideration to which the Company is entitled based on the terms of the contracts. The Company sells Sunosi and Auvelity in the United States to wholesale distributors with whom the Company has entered into formal agreements (collectively, the “Distributors”). These Distributors subsequently resell the Company's products to retail pharmacies. The Company sells Sunosi, on a product supply basis, to Pharmanovia, and Sunosi is subsequently sold within the licensed territories. The Company does not sell products under consignment arrangements, and the collection of proceeds from product sales is not contingent upon customers’ sale of the goods to third parties. See Note 13. Revenues for a further breakout of product sales, net, for the three and six months ended June 30, 2024 and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Reserves for Variable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receivables,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pStyle w:val="TextBody"/>
        <w:bidi w:val="0"/>
        <w:spacing w:before="240" w:after="283"/>
        <w:jc w:val="left"/>
        <w:rPr>
          <w:rFonts w:ascii="Times New Roman" w:hAnsi="Times New Roman"/>
          <w:sz w:val="20"/>
        </w:rPr>
      </w:pPr>
      <w:r>
        <w:rPr>
          <w:rFonts w:ascii="Times New Roman" w:hAnsi="Times New Roman"/>
          <w:i/>
          <w:color w:val="000000"/>
          <w:sz w:val="20"/>
        </w:rPr>
        <w:t>Trade Discounts and Allowances -</w:t>
      </w:r>
      <w:r>
        <w:rPr>
          <w:rFonts w:ascii="Times New Roman" w:hAnsi="Times New Roman"/>
          <w:color w:val="000000"/>
          <w:sz w:val="20"/>
        </w:rPr>
        <w:t xml:space="preserve"> The Company generally provides discounts which include incentive fees that are explicitly stated in the 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pStyle w:val="TextBody"/>
        <w:bidi w:val="0"/>
        <w:spacing w:before="240" w:after="283"/>
        <w:jc w:val="left"/>
        <w:rPr>
          <w:rFonts w:ascii="Times New Roman" w:hAnsi="Times New Roman"/>
          <w:sz w:val="20"/>
        </w:rPr>
      </w:pPr>
      <w:r>
        <w:rPr>
          <w:rFonts w:ascii="Times New Roman" w:hAnsi="Times New Roman"/>
          <w:i/>
          <w:color w:val="000000"/>
          <w:sz w:val="20"/>
        </w:rPr>
        <w:t>Product Returns -</w:t>
      </w:r>
      <w:r>
        <w:rPr>
          <w:rFonts w:ascii="Times New Roman" w:hAnsi="Times New Roman"/>
          <w:color w:val="000000"/>
          <w:sz w:val="20"/>
        </w:rPr>
        <w:t xml:space="preserve"> The Company generally offers a limited right of return for product that has been purchased from the Company based on the 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pStyle w:val="TextBody"/>
        <w:bidi w:val="0"/>
        <w:spacing w:before="240" w:after="283"/>
        <w:jc w:val="left"/>
        <w:rPr>
          <w:rFonts w:ascii="Times New Roman" w:hAnsi="Times New Roman"/>
          <w:sz w:val="20"/>
        </w:rPr>
      </w:pPr>
      <w:r>
        <w:rPr>
          <w:rFonts w:ascii="Times New Roman" w:hAnsi="Times New Roman"/>
          <w:i/>
          <w:color w:val="000000"/>
          <w:sz w:val="20"/>
        </w:rPr>
        <w:t>Chargebacks and Discounts -</w:t>
      </w:r>
      <w:r>
        <w:rPr>
          <w:rFonts w:ascii="Times New Roman" w:hAnsi="Times New Roman"/>
          <w:color w:val="000000"/>
          <w:sz w:val="20"/>
        </w:rPr>
        <w:t xml:space="preserve"> Chargebacks for fees and discounts to providers represent the estimated obligations resulting from contractual 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Rebates -</w:t>
      </w:r>
      <w:r>
        <w:rPr>
          <w:rFonts w:ascii="Times New Roman" w:hAnsi="Times New Roman"/>
          <w:color w:val="000000"/>
          <w:sz w:val="20"/>
        </w:rPr>
        <w:t xml:space="preserve">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are recognized, resulting in a reduction to product sales as well as a component of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Coverage Gap -</w:t>
      </w:r>
      <w:r>
        <w:rPr>
          <w:rFonts w:ascii="Times New Roman" w:hAnsi="Times New Roman"/>
          <w:color w:val="000000"/>
          <w:sz w:val="20"/>
        </w:rPr>
        <w:t xml:space="preserve"> The Medicare Part D coverage gap is a period of consumer payment for prescription 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Incentives -</w:t>
      </w:r>
      <w:r>
        <w:rPr>
          <w:rFonts w:ascii="Times New Roman" w:hAnsi="Times New Roman"/>
          <w:color w:val="000000"/>
          <w:sz w:val="20"/>
        </w:rPr>
        <w:t xml:space="preserve"> Other incentives which the Company offers include voluntary patient assistance programs, 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cost of revenue consists of cost of product sales and a fee sharing expense related to the upfront license revenue received. Cost of product sales primarily include direct costs (inclusive of material, shipping, handling, and manufacturing costs), overhead and product royalties. Cost of product sales excludes depreciation and amortization. In the first quarter of 2023, the Company recorded a $5.0 million fee sharing expense related to the upfront license revenue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2024, the balance of cash and cash equivalents was $315.7 million, which approximates fair value and was determined based upon Level 1 inputs. The sweep account is valued using quoted market prices with no valuation adjustments applied. Accordingly, these securities are categorized as Level 1 on the fair value hierarchy.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a concentration of credit risk consist of cash and cash equivalents. The Company maintains its cash deposits at financial institutions, which cash deposits exceed insured limits. At June 30, 2024,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Concentration of Risk, Other </w:t>
      </w:r>
      <w:r>
        <w:rPr>
          <w:rFonts w:ascii="Times New Roman" w:hAnsi="Times New Roman"/>
          <w:color w:val="000000"/>
          <w:sz w:val="20"/>
        </w:rPr>
        <w:t>- The Company has a limited number of contract manufacturers for its products. At times, the Company may have only one manufacturer or supplier for its products.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Acquisition, the Company recorded goodwill and an intangible asset.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June 30, 2024, the Company has determined that it has one reporting unit. The Company has not identified any events or changes in circumstances that indicate the existence of potential impairment of goodwill during the six months ended June 30, 2024. The balance of goodwill at June 30, 2024 and December 31, 2023 remains unchanged at $12.0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Intangible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six months ended June 30,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noBreakHyphen/>
        <w:t>level fair value hierarchy that prioritizes the inputs used to measure fair value. This hierarchy maximizes the use of observable inputs and minimizes the use of unobservable inputs. The three levels of inputs used to measure fair value are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2—Inputs other than quoted prices in active markets that are observable for the asset or liability, either directly or indirectly.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3—Unobservable inputs for which there is little or no market data, which require the reporting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6. Fair Value of Financial Instruments for further detail.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accounts receivable, net, arise from product sales and represent amounts due from its customers. They are generally stated at the gross sales amount, less reserves resulting from trade discounts and allowances and chargebacks. Accounts receivables typically have a standard payment term of 60 days or less and do not bear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June 30, 2024, the Company has not recorded any allowances for doubtful accounts receivable. For further information about accounts receivable, see Note 3. Accounts Receivable, net.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levels are evaluated for amounts that would be sold within one year. If the level of inventory exceeds the estimated amount that would be sold beyond the next 12 months, the Company classifies the estimate of such inventory as non-current.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Equipment consists primarily of computer equipment and is recorded at cost. Equipment is depreciated on a straight</w:t>
        <w:noBreakHyphen/>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Advertising costs are included in selling, general and administrative expenses and are expensed as incurred. The Company considers advertising costs as expenses related to the promotion of the Company's commercial products. For the three and six months ended June 30, 2024, advertising costs were $30.3 million and $54.3 million, respectively. For the three and six months ended June 30, 2023, advertising costs were $26.7 million and $48.1 million, respectively.</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an annual effective tax rate of 0% for the year ending December 31, 2024 and has not recorded an income tax benefit for the three and six months ended June 30, 2024 since it is projecting losses and has incurred year to date losses in all jurisdictions from which the Company does not benefit due to the full valuation allowance position against the Company’s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2024, the Company does not believe any material uncertain tax positions are present. In the event the Company determines that accrual of interest or penalties are necessary in the future, the amount will be presented as a component of income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stock options issued, the Company estimates the grant date fair value of each option using the Black</w:t>
        <w:noBreakHyphen/>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restricted stock units (“RSUs”), the Company issues them in the form of Company common stock. The fair market value of these awards is based on the market closing price per share on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upon exercise of stock options and RSUs is that shares will be issued as new shares drawing on the Company’s 2015 Omnibus Incentive Compensation Plan share pool that was adopted by the stockholders in November 2015.</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Basic and Diluted Net Loss per Common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six months ended June 30, 2024 and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Standards Update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Accounts receivable, net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6572" w:type="dxa"/>
        <w:jc w:val="left"/>
        <w:tblInd w:w="0" w:type="dxa"/>
        <w:tblLayout w:type="fixed"/>
        <w:tblCellMar>
          <w:top w:w="28" w:type="dxa"/>
          <w:left w:w="28" w:type="dxa"/>
          <w:bottom w:w="28" w:type="dxa"/>
          <w:right w:w="28" w:type="dxa"/>
        </w:tblCellMar>
      </w:tblPr>
      <w:tblGrid>
        <w:gridCol w:w="3636"/>
        <w:gridCol w:w="146"/>
        <w:gridCol w:w="211"/>
        <w:gridCol w:w="781"/>
        <w:gridCol w:w="166"/>
        <w:gridCol w:w="146"/>
        <w:gridCol w:w="233"/>
        <w:gridCol w:w="862"/>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Reserves for variable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customers with the largest accounts receivable balances are Cardinal Health, Inc., Cencora, Inc., and McKesson Corporation, which represented approximately 95% of total accounts receivable as of June 30, 2024. For further information, see the section titled “Accounts Receivable, net” Note 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Inventory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Inventory consisted of the following:</w:t>
      </w:r>
    </w:p>
    <w:tbl>
      <w:tblPr>
        <w:tblW w:w="4037"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60"/>
        <w:gridCol w:w="835"/>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inventory reserves or write downs of any excess and obsolete inventory as of June 30, 2024. Non-current inventory, which consists of raw materials and work in progress inventory, is included in non-current inventory and other assets on the accompanying consolidated balance sheets. Non-current inventory is anticipated to be consumed beyond the Company's normal operating cycle.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balance sheet classification of the Company's inventory for each of the periods indicated:</w:t>
      </w:r>
    </w:p>
    <w:tbl>
      <w:tblPr>
        <w:tblW w:w="6267" w:type="dxa"/>
        <w:jc w:val="left"/>
        <w:tblInd w:w="0" w:type="dxa"/>
        <w:tblLayout w:type="fixed"/>
        <w:tblCellMar>
          <w:top w:w="28" w:type="dxa"/>
          <w:left w:w="28" w:type="dxa"/>
          <w:bottom w:w="28" w:type="dxa"/>
          <w:right w:w="28" w:type="dxa"/>
        </w:tblCellMar>
      </w:tblPr>
      <w:tblGrid>
        <w:gridCol w:w="3456"/>
        <w:gridCol w:w="146"/>
        <w:gridCol w:w="211"/>
        <w:gridCol w:w="676"/>
        <w:gridCol w:w="146"/>
        <w:gridCol w:w="146"/>
        <w:gridCol w:w="260"/>
        <w:gridCol w:w="835"/>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sheet classification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Intangible Asset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the Company's carrying amount of the intangible asset for each of the periods indicated.</w:t>
      </w:r>
    </w:p>
    <w:tbl>
      <w:tblPr>
        <w:tblW w:w="10205" w:type="dxa"/>
        <w:jc w:val="left"/>
        <w:tblInd w:w="0" w:type="dxa"/>
        <w:tblLayout w:type="fixed"/>
        <w:tblCellMar>
          <w:top w:w="28" w:type="dxa"/>
          <w:left w:w="28" w:type="dxa"/>
          <w:bottom w:w="28" w:type="dxa"/>
          <w:right w:w="28" w:type="dxa"/>
        </w:tblCellMar>
      </w:tblPr>
      <w:tblGrid>
        <w:gridCol w:w="2096"/>
        <w:gridCol w:w="146"/>
        <w:gridCol w:w="356"/>
        <w:gridCol w:w="1142"/>
        <w:gridCol w:w="146"/>
        <w:gridCol w:w="146"/>
        <w:gridCol w:w="407"/>
        <w:gridCol w:w="1306"/>
        <w:gridCol w:w="146"/>
        <w:gridCol w:w="146"/>
        <w:gridCol w:w="330"/>
        <w:gridCol w:w="1057"/>
        <w:gridCol w:w="146"/>
        <w:gridCol w:w="146"/>
        <w:gridCol w:w="2489"/>
      </w:tblGrid>
      <w:tr>
        <w:trPr/>
        <w:tc>
          <w:tcPr>
            <w:tcW w:w="2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2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weighted-average useful life</w:t>
            </w:r>
          </w:p>
        </w:tc>
      </w:tr>
      <w:tr>
        <w:trPr/>
        <w:tc>
          <w:tcPr>
            <w:tcW w:w="2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9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9" w:type="dxa"/>
            <w:tcBorders/>
            <w:shd w:fill="CFF0FC" w:val="clear"/>
            <w:vAlign w:val="center"/>
          </w:tcPr>
          <w:p>
            <w:pPr>
              <w:pStyle w:val="TableContents"/>
              <w:bidi w:val="0"/>
              <w:spacing w:before="0" w:after="283"/>
              <w:jc w:val="left"/>
              <w:rPr/>
            </w:pPr>
            <w:r>
              <w:rPr/>
              <w:t> </w:t>
            </w:r>
          </w:p>
        </w:tc>
      </w:tr>
      <w:tr>
        <w:trPr/>
        <w:tc>
          <w:tcPr>
            <w:tcW w:w="2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9-years</w:t>
            </w:r>
          </w:p>
        </w:tc>
      </w:tr>
      <w:tr>
        <w:trPr/>
        <w:tc>
          <w:tcPr>
            <w:tcW w:w="2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9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9" w:type="dxa"/>
            <w:tcBorders/>
            <w:shd w:fill="CFF0FC" w:val="clear"/>
            <w:vAlign w:val="center"/>
          </w:tcPr>
          <w:p>
            <w:pPr>
              <w:pStyle w:val="TableContents"/>
              <w:bidi w:val="0"/>
              <w:spacing w:before="0" w:after="283"/>
              <w:jc w:val="right"/>
              <w:rPr/>
            </w:pPr>
            <w:r>
              <w:rPr/>
              <w:t> </w:t>
            </w:r>
          </w:p>
        </w:tc>
      </w:tr>
      <w:tr>
        <w:trPr/>
        <w:tc>
          <w:tcPr>
            <w:tcW w:w="2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8-years</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Based on the finite-lived intangible asset recorded as of June 30, 2024, and assuming the underlying asset will not be impaired and that the Company will not change the expected life of the asset, future amortization expenses over the next five years and periods thereafter are estimated to be as follows:</w:t>
      </w:r>
    </w:p>
    <w:tbl>
      <w:tblPr>
        <w:tblW w:w="3698" w:type="dxa"/>
        <w:jc w:val="left"/>
        <w:tblInd w:w="0" w:type="dxa"/>
        <w:tblLayout w:type="fixed"/>
        <w:tblCellMar>
          <w:top w:w="28" w:type="dxa"/>
          <w:left w:w="28" w:type="dxa"/>
          <w:bottom w:w="28" w:type="dxa"/>
          <w:right w:w="28" w:type="dxa"/>
        </w:tblCellMar>
      </w:tblPr>
      <w:tblGrid>
        <w:gridCol w:w="946"/>
        <w:gridCol w:w="146"/>
        <w:gridCol w:w="574"/>
        <w:gridCol w:w="184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$7.0 million and non-current contingent consideration liability of $69.6 million in the consolidated balance sheet as of June 30,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 of financial instruments measured on a recurring basis is as follows:</w:t>
      </w:r>
    </w:p>
    <w:tbl>
      <w:tblPr>
        <w:tblW w:w="9180" w:type="dxa"/>
        <w:jc w:val="left"/>
        <w:tblInd w:w="0" w:type="dxa"/>
        <w:tblLayout w:type="fixed"/>
        <w:tblCellMar>
          <w:top w:w="28" w:type="dxa"/>
          <w:left w:w="28" w:type="dxa"/>
          <w:bottom w:w="28" w:type="dxa"/>
          <w:right w:w="28" w:type="dxa"/>
        </w:tblCellMar>
      </w:tblPr>
      <w:tblGrid>
        <w:gridCol w:w="4266"/>
        <w:gridCol w:w="146"/>
        <w:gridCol w:w="211"/>
        <w:gridCol w:w="781"/>
        <w:gridCol w:w="146"/>
        <w:gridCol w:w="146"/>
        <w:gridCol w:w="239"/>
        <w:gridCol w:w="391"/>
        <w:gridCol w:w="146"/>
        <w:gridCol w:w="146"/>
        <w:gridCol w:w="211"/>
        <w:gridCol w:w="676"/>
        <w:gridCol w:w="146"/>
        <w:gridCol w:w="146"/>
        <w:gridCol w:w="211"/>
        <w:gridCol w:w="781"/>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 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238,204</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76,660</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80" w:type="dxa"/>
        <w:jc w:val="left"/>
        <w:tblInd w:w="0" w:type="dxa"/>
        <w:tblLayout w:type="fixed"/>
        <w:tblCellMar>
          <w:top w:w="28" w:type="dxa"/>
          <w:left w:w="28" w:type="dxa"/>
          <w:bottom w:w="28" w:type="dxa"/>
          <w:right w:w="28" w:type="dxa"/>
        </w:tblCellMar>
      </w:tblPr>
      <w:tblGrid>
        <w:gridCol w:w="4266"/>
        <w:gridCol w:w="146"/>
        <w:gridCol w:w="211"/>
        <w:gridCol w:w="781"/>
        <w:gridCol w:w="146"/>
        <w:gridCol w:w="146"/>
        <w:gridCol w:w="239"/>
        <w:gridCol w:w="391"/>
        <w:gridCol w:w="146"/>
        <w:gridCol w:w="146"/>
        <w:gridCol w:w="211"/>
        <w:gridCol w:w="676"/>
        <w:gridCol w:w="146"/>
        <w:gridCol w:w="146"/>
        <w:gridCol w:w="211"/>
        <w:gridCol w:w="781"/>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 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251,768</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Contingent Consideration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 of the contingent consideration liabilities is marked-to-market each reporting period and was remeasured at June 30, 2024. Changes in fair value of the contingent consideration liabilities as of June 30, 2024 are as follows:</w:t>
      </w:r>
    </w:p>
    <w:tbl>
      <w:tblPr>
        <w:tblW w:w="5413" w:type="dxa"/>
        <w:jc w:val="left"/>
        <w:tblInd w:w="0" w:type="dxa"/>
        <w:tblLayout w:type="fixed"/>
        <w:tblCellMar>
          <w:top w:w="28" w:type="dxa"/>
          <w:left w:w="28" w:type="dxa"/>
          <w:bottom w:w="28" w:type="dxa"/>
          <w:right w:w="28" w:type="dxa"/>
        </w:tblCellMar>
      </w:tblPr>
      <w:tblGrid>
        <w:gridCol w:w="2941"/>
        <w:gridCol w:w="146"/>
        <w:gridCol w:w="460"/>
        <w:gridCol w:w="1475"/>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 to fair value</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 (Level 3)</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76,660</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recurring Level 3 fair value measurements of contingent consideration for which a liability is recorded include the following significant unobservable inputs:</w:t>
      </w:r>
    </w:p>
    <w:tbl>
      <w:tblPr>
        <w:tblW w:w="10205" w:type="dxa"/>
        <w:jc w:val="left"/>
        <w:tblInd w:w="0" w:type="dxa"/>
        <w:tblLayout w:type="fixed"/>
        <w:tblCellMar>
          <w:top w:w="28" w:type="dxa"/>
          <w:left w:w="28" w:type="dxa"/>
          <w:bottom w:w="28" w:type="dxa"/>
          <w:right w:w="28" w:type="dxa"/>
        </w:tblCellMar>
      </w:tblPr>
      <w:tblGrid>
        <w:gridCol w:w="1739"/>
        <w:gridCol w:w="146"/>
        <w:gridCol w:w="2201"/>
        <w:gridCol w:w="146"/>
        <w:gridCol w:w="1715"/>
        <w:gridCol w:w="146"/>
        <w:gridCol w:w="1959"/>
        <w:gridCol w:w="146"/>
        <w:gridCol w:w="2007"/>
      </w:tblGrid>
      <w:tr>
        <w:trPr/>
        <w:tc>
          <w:tcPr>
            <w:tcW w:w="1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1739" w:type="dxa"/>
            <w:tcBorders/>
            <w:shd w:fill="FFFFFF" w:val="clear"/>
            <w:vAlign w:val="center"/>
          </w:tcPr>
          <w:p>
            <w:pPr>
              <w:pStyle w:val="TableContents"/>
              <w:bidi w:val="0"/>
              <w:spacing w:before="0" w:after="283"/>
              <w:jc w:val="left"/>
              <w:rPr>
                <w:color w:val="000000"/>
              </w:rPr>
            </w:pPr>
            <w:r>
              <w:rPr>
                <w:color w:val="00000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r>
      <w:tr>
        <w:trPr/>
        <w:tc>
          <w:tcPr>
            <w:tcW w:w="1739" w:type="dxa"/>
            <w:tcBorders/>
            <w:shd w:fill="FFFFFF" w:val="clear"/>
            <w:vAlign w:val="center"/>
          </w:tcPr>
          <w:p>
            <w:pPr>
              <w:pStyle w:val="TableContents"/>
              <w:bidi w:val="0"/>
              <w:spacing w:before="0" w:after="283"/>
              <w:jc w:val="left"/>
              <w:rPr>
                <w:color w:val="000000"/>
              </w:rPr>
            </w:pPr>
            <w:r>
              <w:rPr>
                <w:color w:val="00000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(range, if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(range, if applicable)</w:t>
            </w:r>
          </w:p>
        </w:tc>
      </w:tr>
      <w:tr>
        <w:trPr/>
        <w:tc>
          <w:tcPr>
            <w:tcW w:w="173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vAlign w:val="center"/>
          </w:tcPr>
          <w:p>
            <w:pPr>
              <w:pStyle w:val="TableContents"/>
              <w:bidi w:val="0"/>
              <w:spacing w:before="0" w:after="283"/>
              <w:jc w:val="right"/>
              <w:rPr/>
            </w:pPr>
            <w:r>
              <w:rPr/>
              <w:t> </w:t>
            </w:r>
          </w:p>
        </w:tc>
        <w:tc>
          <w:tcPr>
            <w:tcW w:w="22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Probability weighted income approach</w:t>
            </w:r>
          </w:p>
        </w:tc>
        <w:tc>
          <w:tcPr>
            <w:tcW w:w="146" w:type="dxa"/>
            <w:tcBorders/>
            <w:shd w:fill="CFF0FC" w:val="clear"/>
            <w:vAlign w:val="center"/>
          </w:tcPr>
          <w:p>
            <w:pPr>
              <w:pStyle w:val="TableContents"/>
              <w:bidi w:val="0"/>
              <w:spacing w:before="0" w:after="283"/>
              <w:jc w:val="right"/>
              <w:rPr/>
            </w:pPr>
            <w:r>
              <w:rPr/>
              <w:t> </w:t>
            </w:r>
          </w:p>
        </w:tc>
        <w:tc>
          <w:tcPr>
            <w:tcW w:w="171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right"/>
              <w:rPr/>
            </w:pPr>
            <w:r>
              <w:rPr/>
              <w:t> </w:t>
            </w:r>
          </w:p>
        </w:tc>
        <w:tc>
          <w:tcPr>
            <w:tcW w:w="195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15.9%</w:t>
            </w:r>
          </w:p>
        </w:tc>
        <w:tc>
          <w:tcPr>
            <w:tcW w:w="146" w:type="dxa"/>
            <w:tcBorders/>
            <w:shd w:fill="CFF0FC" w:val="clear"/>
            <w:vAlign w:val="center"/>
          </w:tcPr>
          <w:p>
            <w:pPr>
              <w:pStyle w:val="TableContents"/>
              <w:bidi w:val="0"/>
              <w:spacing w:before="0" w:after="283"/>
              <w:jc w:val="right"/>
              <w:rPr/>
            </w:pPr>
            <w:r>
              <w:rPr/>
              <w:t> </w:t>
            </w:r>
          </w:p>
        </w:tc>
        <w:tc>
          <w:tcPr>
            <w:tcW w:w="200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r>
      <w:tr>
        <w:trPr/>
        <w:tc>
          <w:tcPr>
            <w:tcW w:w="17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1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Revenue discount rate</w:t>
            </w:r>
          </w:p>
        </w:tc>
        <w:tc>
          <w:tcPr>
            <w:tcW w:w="146" w:type="dxa"/>
            <w:tcBorders/>
            <w:shd w:fill="FFFFFF" w:val="clear"/>
            <w:vAlign w:val="center"/>
          </w:tcPr>
          <w:p>
            <w:pPr>
              <w:pStyle w:val="TableContents"/>
              <w:bidi w:val="0"/>
              <w:spacing w:before="0" w:after="283"/>
              <w:jc w:val="right"/>
              <w:rPr/>
            </w:pPr>
            <w:r>
              <w:rPr/>
              <w:t> </w:t>
            </w:r>
          </w:p>
        </w:tc>
        <w:tc>
          <w:tcPr>
            <w:tcW w:w="195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 - 19.1%</w:t>
            </w:r>
          </w:p>
        </w:tc>
        <w:tc>
          <w:tcPr>
            <w:tcW w:w="146" w:type="dxa"/>
            <w:tcBorders/>
            <w:shd w:fill="FFFFFF" w:val="clear"/>
            <w:vAlign w:val="center"/>
          </w:tcPr>
          <w:p>
            <w:pPr>
              <w:pStyle w:val="TableContents"/>
              <w:bidi w:val="0"/>
              <w:spacing w:before="0" w:after="283"/>
              <w:jc w:val="right"/>
              <w:rPr/>
            </w:pPr>
            <w:r>
              <w:rPr/>
              <w:t> </w:t>
            </w:r>
          </w:p>
        </w:tc>
        <w:tc>
          <w:tcPr>
            <w:tcW w:w="200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 - 19.4%</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6722" w:type="dxa"/>
        <w:jc w:val="left"/>
        <w:tblInd w:w="0" w:type="dxa"/>
        <w:tblLayout w:type="fixed"/>
        <w:tblCellMar>
          <w:top w:w="28" w:type="dxa"/>
          <w:left w:w="28" w:type="dxa"/>
          <w:bottom w:w="28" w:type="dxa"/>
          <w:right w:w="28" w:type="dxa"/>
        </w:tblCellMar>
      </w:tblPr>
      <w:tblGrid>
        <w:gridCol w:w="4006"/>
        <w:gridCol w:w="146"/>
        <w:gridCol w:w="211"/>
        <w:gridCol w:w="781"/>
        <w:gridCol w:w="146"/>
        <w:gridCol w:w="146"/>
        <w:gridCol w:w="260"/>
        <w:gridCol w:w="835"/>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20,457</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discounts, rebates and allowances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46,713</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Loan and Security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Hercules Capital, Inc.</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Fourth Amendment to the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8, 2023, the Company entered into the Waiver and Fourth Amendment (the “Fourth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 (the “Loan Agreement”) with Hercules Capital, Inc., a Maryland corporation (“Hercules”), in its capacity as administrative agent and collateral agent, and the other financial institutions or entities party thereto as lenders, with respect to the term loan thereunder (the “2020 Term Loan”).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Fourth Amendment increased the amount of cash that could be held by Axsome Malta Ltd. (“Axsome Malta”) outside of the United States from $3.0 million to $15.0 million for a 45-day period after the closing of the Fourth Amendment and to $10.0 million thereafter. The Fourth Amendment also waived any purported default with respect to the amount of cash held by Axsome Malta prior to the date of the Fourth Amendment. In August 2023, Hercules granted the Company a waiver to the Fourth Amendment, permitting Axsome Malta to hold up to $12.5 million in Cash outside of the United States until December 31, 2023.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Third Amendment to the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2023, the Company entered into a Third Amendment (the “Third Amendment”) to the Loan Agreement with Hercules, in its capacity as administrative agent and collateral agent, and the other financial institutions or entities party thereto as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Third Amendment amended the terms of the Loan Agreement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Extend the maturity date to January 1, 2028, unless the Company meets certain revenue targets as described in the Loan Agreement, in which case the Company can extend the maturity date to January 1, 2029;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aggregate principal amount under the Loan Agreement from $300.0 million to $350.0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terms and conditions in the Loan Agreement, change the term loan advance amounts and dates available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to one tranche of $25.0 million, changing the tranche 3 advance from two sub-tranches of $15.0 million and $5.0 million to one tranche of $75.0 million and removing the tranche 4 advance and tranche 5 advance entirely;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minimum cash requirement of the Company to $30.0 million;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Company to pay a facility fee equal to 0.75% of the amount of principal actually funded pursuant to the tranche 1B advance, tranche 1C advance, tranche 1D advance, tranche 1E advance, tranche 2 advance and tranche 3 advance.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Company had allowed tranches 1D, 1E, and 2 which totaled $95 million, to expire undrawn.</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Third Amendment of the Loan Agreement in January 2023, the following limited financial covenants applied: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upon closing of the Third Amendment of the Loan Agreement, the Company at all times thereafter must maintain cash in an account or accounts in which Hercules has a first priority security interest, in an aggregate amount greater than or equal to $30.0 million, plus the amount of the Company’s accounts payable under U.S. GAAP not paid after the 180th day following the invoice for such account payable (such amount, the “Qualified Cash A/P Amount”).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must meet, beginning June 30, 2023, any of the following conditions: (A) ensure that at all times its market capitalization exceeds $1.5 billion, and that it maintains cash in an account which Hercules has a first priority security interest in an amount not less than 50% of the sum of the outstanding principal amount of the term loan advances </w:t>
      </w:r>
      <w:r>
        <w:rPr>
          <w:rFonts w:ascii="Times New Roman" w:hAnsi="Times New Roman"/>
          <w:i/>
          <w:color w:val="000000"/>
          <w:sz w:val="20"/>
        </w:rPr>
        <w:t xml:space="preserve">plus </w:t>
      </w:r>
      <w:r>
        <w:rPr>
          <w:rFonts w:ascii="Times New Roman" w:hAnsi="Times New Roman"/>
          <w:color w:val="000000"/>
          <w:sz w:val="20"/>
        </w:rPr>
        <w:t xml:space="preserve">the Qualified Cash A/P Amount, (B) ensure that at all times that it maintains cash in an account which Hercules has a first priority security interest in an amount not less than 95% of the sum of the outstanding principal amount of the term loan advances </w:t>
      </w:r>
      <w:r>
        <w:rPr>
          <w:rFonts w:ascii="Times New Roman" w:hAnsi="Times New Roman"/>
          <w:i/>
          <w:color w:val="000000"/>
          <w:sz w:val="20"/>
        </w:rPr>
        <w:t>plus</w:t>
      </w:r>
      <w:r>
        <w:rPr>
          <w:rFonts w:ascii="Times New Roman" w:hAnsi="Times New Roman"/>
          <w:color w:val="000000"/>
          <w:sz w:val="20"/>
        </w:rPr>
        <w:t xml:space="preserve"> the Qualified Cash A/P Amount, or (C) achieve at least 60% of the net product revenue per the Board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Axsome Malta, a company organized under the laws of the Republic of Malta, shall not hold cash outside of the United States in excess of $3.0 million in the aggregate at any time. This amount, however, was increased by the Fourth Amendment to $15.0 million for a 45-day period after the closing of the Fourth Amendment and to $10.0 million thereafter. Furthermore, in August 2023, Hercules granted the Company a waiver to the Fourth Amendment, permitting Axsome Malta to hold up to $12.5 million in Cash outside of the United States until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Company’s ability to incur additional indebtedness, pay dividends, encumber its intellectual property, or engage in certain fundamental business transactions, such as mergers or acquisitions of other businesses, with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Company is required to pay certain end of term charges, including (A) an initial end of term charge of $4.45 million and (B) a subsequent end of term charge of (i) 1.10% of the aggregate amount of all tranche 1A advances </w:t>
      </w:r>
      <w:r>
        <w:rPr>
          <w:rFonts w:ascii="Times New Roman" w:hAnsi="Times New Roman"/>
          <w:i/>
          <w:color w:val="000000"/>
          <w:sz w:val="20"/>
        </w:rPr>
        <w:t>plus</w:t>
      </w:r>
      <w:r>
        <w:rPr>
          <w:rFonts w:ascii="Times New Roman" w:hAnsi="Times New Roman"/>
          <w:color w:val="000000"/>
          <w:sz w:val="20"/>
        </w:rPr>
        <w:t xml:space="preserve"> (ii) 4.95% of the aggregate amount of all term loan advances (other than tranche 1A advances) funded. The end of term charges are being accreted into interest expense using the effective interest rate method over the term of the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evaluated whether the Third Amendment entered into in January 2023 represented a debt modification or extinguishment in accordance with ASC 470-50, </w:t>
      </w:r>
      <w:r>
        <w:rPr>
          <w:rFonts w:ascii="Times New Roman" w:hAnsi="Times New Roman"/>
          <w:i/>
          <w:color w:val="000000"/>
          <w:sz w:val="20"/>
        </w:rPr>
        <w:t>Debt – Modifications and Extinguishments</w:t>
      </w:r>
      <w:r>
        <w:rPr>
          <w:rFonts w:ascii="Times New Roman" w:hAnsi="Times New Roman"/>
          <w:color w:val="000000"/>
          <w:sz w:val="20"/>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Loan Interest Expense and Amortization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Long-term debt and unamortized debt discount balances are as follows:</w:t>
      </w:r>
    </w:p>
    <w:tbl>
      <w:tblPr>
        <w:tblW w:w="6802" w:type="dxa"/>
        <w:jc w:val="left"/>
        <w:tblInd w:w="0" w:type="dxa"/>
        <w:tblLayout w:type="fixed"/>
        <w:tblCellMar>
          <w:top w:w="28" w:type="dxa"/>
          <w:left w:w="28" w:type="dxa"/>
          <w:bottom w:w="28" w:type="dxa"/>
          <w:right w:w="28" w:type="dxa"/>
        </w:tblCellMar>
      </w:tblPr>
      <w:tblGrid>
        <w:gridCol w:w="3846"/>
        <w:gridCol w:w="146"/>
        <w:gridCol w:w="211"/>
        <w:gridCol w:w="781"/>
        <w:gridCol w:w="166"/>
        <w:gridCol w:w="146"/>
        <w:gridCol w:w="233"/>
        <w:gridCol w:w="862"/>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 accreted final payment fee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unamortized debt discount, long-term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book value of debt approximates its fair value given its variable interest rate.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Interest expense, amortization of the final payment fee, amortization of the debt discount related to the issuance costs and warrants for the Company’s debt are as follows:</w:t>
      </w:r>
    </w:p>
    <w:tbl>
      <w:tblPr>
        <w:tblW w:w="10205" w:type="dxa"/>
        <w:jc w:val="left"/>
        <w:tblInd w:w="0" w:type="dxa"/>
        <w:tblLayout w:type="fixed"/>
        <w:tblCellMar>
          <w:top w:w="28" w:type="dxa"/>
          <w:left w:w="28" w:type="dxa"/>
          <w:bottom w:w="28" w:type="dxa"/>
          <w:right w:w="28" w:type="dxa"/>
        </w:tblCellMar>
      </w:tblPr>
      <w:tblGrid>
        <w:gridCol w:w="5343"/>
        <w:gridCol w:w="146"/>
        <w:gridCol w:w="251"/>
        <w:gridCol w:w="681"/>
        <w:gridCol w:w="173"/>
        <w:gridCol w:w="173"/>
        <w:gridCol w:w="251"/>
        <w:gridCol w:w="681"/>
        <w:gridCol w:w="146"/>
        <w:gridCol w:w="146"/>
        <w:gridCol w:w="229"/>
        <w:gridCol w:w="622"/>
        <w:gridCol w:w="158"/>
        <w:gridCol w:w="158"/>
        <w:gridCol w:w="229"/>
        <w:gridCol w:w="622"/>
        <w:gridCol w:w="196"/>
      </w:tblGrid>
      <w:tr>
        <w:trPr/>
        <w:tc>
          <w:tcPr>
            <w:tcW w:w="5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w:t>
            </w:r>
          </w:p>
        </w:tc>
        <w:tc>
          <w:tcPr>
            <w:tcW w:w="196" w:type="dxa"/>
            <w:tcBorders/>
            <w:shd w:fill="CFF0FC" w:val="clear"/>
            <w:vAlign w:val="center"/>
          </w:tcPr>
          <w:p>
            <w:pPr>
              <w:pStyle w:val="TableContents"/>
              <w:bidi w:val="0"/>
              <w:spacing w:before="0" w:after="283"/>
              <w:jc w:val="left"/>
              <w:rPr/>
            </w:pPr>
            <w:r>
              <w:rPr/>
              <w:t> </w:t>
            </w:r>
          </w:p>
        </w:tc>
      </w:tr>
      <w:tr>
        <w:trPr/>
        <w:tc>
          <w:tcPr>
            <w:tcW w:w="5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final payment fee</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6" w:type="dxa"/>
            <w:tcBorders/>
            <w:shd w:fill="FFFFFF" w:val="clear"/>
            <w:vAlign w:val="center"/>
          </w:tcPr>
          <w:p>
            <w:pPr>
              <w:pStyle w:val="TableContents"/>
              <w:bidi w:val="0"/>
              <w:spacing w:before="0" w:after="283"/>
              <w:jc w:val="left"/>
              <w:rPr/>
            </w:pPr>
            <w:r>
              <w:rPr/>
              <w:t> </w:t>
            </w:r>
          </w:p>
        </w:tc>
      </w:tr>
      <w:tr>
        <w:trPr/>
        <w:tc>
          <w:tcPr>
            <w:tcW w:w="5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related issuance costs and warrants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9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Scheduled principal payments on outstanding debt, as of June 30, 2024, are as follows:</w:t>
      </w:r>
    </w:p>
    <w:tbl>
      <w:tblPr>
        <w:tblW w:w="4510" w:type="dxa"/>
        <w:jc w:val="left"/>
        <w:tblInd w:w="0" w:type="dxa"/>
        <w:tblLayout w:type="fixed"/>
        <w:tblCellMar>
          <w:top w:w="28" w:type="dxa"/>
          <w:left w:w="28" w:type="dxa"/>
          <w:bottom w:w="28" w:type="dxa"/>
          <w:right w:w="28" w:type="dxa"/>
        </w:tblCellMar>
      </w:tblPr>
      <w:tblGrid>
        <w:gridCol w:w="3181"/>
        <w:gridCol w:w="146"/>
        <w:gridCol w:w="211"/>
        <w:gridCol w:w="7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Leases are accounted for under ASC Topic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NY. The lease does not include any restrictions or covenants that had to be accounted for under the lease guidance.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2023, the Company entered into a ten-year agreement to sublease office space at One World Trade Center, which began in April 2023. Based on the Company's past experience and current expectation for administrative office needs, the Company determined the lease term to be five years. As of June 30, 2024 and June 30, 2023, the remaining lease term for the Company's operating lease was 3.8 years and 4.8 years, respectively, with the discount rate unchanged at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six months ended June 30, 2024, the Company recognized a right-of-use asset and lease liability, both, of $4.6 million in connection to this lease. As of June 30, 2024, right-of-use asset and lease liability related to the finance lease were both $4.2 million, and the weighted average remaining lease term was 3.5 years, with a weighted average discount rate of 9.6%.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expenses recognized were as follows:</w:t>
      </w:r>
    </w:p>
    <w:tbl>
      <w:tblPr>
        <w:tblW w:w="7982" w:type="dxa"/>
        <w:jc w:val="left"/>
        <w:tblInd w:w="0" w:type="dxa"/>
        <w:tblLayout w:type="fixed"/>
        <w:tblCellMar>
          <w:top w:w="28" w:type="dxa"/>
          <w:left w:w="28" w:type="dxa"/>
          <w:bottom w:w="28" w:type="dxa"/>
          <w:right w:w="28" w:type="dxa"/>
        </w:tblCellMar>
      </w:tblPr>
      <w:tblGrid>
        <w:gridCol w:w="3011"/>
        <w:gridCol w:w="146"/>
        <w:gridCol w:w="301"/>
        <w:gridCol w:w="600"/>
        <w:gridCol w:w="208"/>
        <w:gridCol w:w="208"/>
        <w:gridCol w:w="301"/>
        <w:gridCol w:w="600"/>
        <w:gridCol w:w="146"/>
        <w:gridCol w:w="146"/>
        <w:gridCol w:w="230"/>
        <w:gridCol w:w="623"/>
        <w:gridCol w:w="159"/>
        <w:gridCol w:w="159"/>
        <w:gridCol w:w="230"/>
        <w:gridCol w:w="623"/>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91" w:type="dxa"/>
            <w:tcBorders/>
            <w:shd w:fill="CFF0FC" w:val="cle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minimum lease payments of the Company’s leases as of June 30, 2024 were as follows:</w:t>
      </w:r>
    </w:p>
    <w:tbl>
      <w:tblPr>
        <w:tblW w:w="5865" w:type="dxa"/>
        <w:jc w:val="left"/>
        <w:tblInd w:w="0" w:type="dxa"/>
        <w:tblLayout w:type="fixed"/>
        <w:tblCellMar>
          <w:top w:w="28" w:type="dxa"/>
          <w:left w:w="28" w:type="dxa"/>
          <w:bottom w:w="28" w:type="dxa"/>
          <w:right w:w="28" w:type="dxa"/>
        </w:tblCellMar>
      </w:tblPr>
      <w:tblGrid>
        <w:gridCol w:w="2786"/>
        <w:gridCol w:w="146"/>
        <w:gridCol w:w="296"/>
        <w:gridCol w:w="949"/>
        <w:gridCol w:w="166"/>
        <w:gridCol w:w="146"/>
        <w:gridCol w:w="287"/>
        <w:gridCol w:w="778"/>
        <w:gridCol w:w="3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11"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11"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the Company entered into a sales agreement (the “March 2022 Sales Agreement”) with Leerink and filed a prospectus supplement, pursuant to which the Company could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shares of the Company’s common stock under its prior at-the-market offering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March 2022 Sales Agreement, for the three months ended June 30, 2024, the Company received approximately $11.3 million in gross proceeds through the sale of 148,875 shares, of which net proceeds were approximately $11.0 million. The Company did not utilize the March 2022 Sales Agreement with Leerink during the three months ended March 31, 2024.</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utilize the March 2022 Sales Agreement with Leerink during the year ended December 31, 2023. Under the December 2019 Sales Agreement and March 2022 Sales Agreement, the Company received approximately $238.8 million in gross proceeds through the sale of 5,167,973 shares, of which net proceeds were approximately $231.8 million for the year ended December 31, 2022. Under the December 2019 Sales Agreement, the Company received approximately $7.4 million in gross proceeds through the sale of 110,296 shares, of which net proceeds were approximately $7.2 million for the year ended December 31,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June 2023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Shelf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2015, the 2015 Omnibus Incentive Compensation Plan (the “2015 Plan”) was adopted by the Company’s stockholders. As of June 30, 2024, there were 1,183,992 shares available for future grant under the 2015 Plan.</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stock option activity as of June 30, 2024:</w:t>
      </w:r>
    </w:p>
    <w:tbl>
      <w:tblPr>
        <w:tblW w:w="9294"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90"/>
        <w:gridCol w:w="790"/>
        <w:gridCol w:w="146"/>
        <w:gridCol w:w="146"/>
        <w:gridCol w:w="272"/>
        <w:gridCol w:w="674"/>
        <w:gridCol w:w="146"/>
        <w:gridCol w:w="146"/>
        <w:gridCol w:w="211"/>
        <w:gridCol w:w="78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of options granted was $64.42 per option for the six months ended June 30, 2024. As of June 30, 2024, there was $177.5 million of total unrecognized compensation cost related to non-vested stock options which is expected to be recognized over a weighted average period of 2.7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RSUs is determined on the date of the grant based on the market price of its shares of common stock as of that date. The fair value of the RSUs is recognized as an expense ratably over the vesting period of four years. As of June 30, 2024, total compensation cost not yet recognized related to unvested RSUs was $44.8 million, which is expected to be recognized over a weighted-average period of 2.8 years. The intrinsic value of RSUs lapsed during the six months ended June 30, 2024 was $7.6 million.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RSU activity for the six months ended June 30, 2024:</w:t>
      </w:r>
    </w:p>
    <w:tbl>
      <w:tblPr>
        <w:tblW w:w="5647" w:type="dxa"/>
        <w:jc w:val="left"/>
        <w:tblInd w:w="0" w:type="dxa"/>
        <w:tblLayout w:type="fixed"/>
        <w:tblCellMar>
          <w:top w:w="28" w:type="dxa"/>
          <w:left w:w="28" w:type="dxa"/>
          <w:bottom w:w="28" w:type="dxa"/>
          <w:right w:w="28" w:type="dxa"/>
        </w:tblCellMar>
      </w:tblPr>
      <w:tblGrid>
        <w:gridCol w:w="2941"/>
        <w:gridCol w:w="146"/>
        <w:gridCol w:w="146"/>
        <w:gridCol w:w="841"/>
        <w:gridCol w:w="166"/>
        <w:gridCol w:w="146"/>
        <w:gridCol w:w="234"/>
        <w:gridCol w:w="63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first offering period pursuant to the ESPP on June 1, 2023, and such offering ended on May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52,368 common shares have been purchased and issued pursuant to the ESPP, and $0.4 million and $0.8 million of expense was recorded for the three and six months ended June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recognized was as follows:</w:t>
      </w:r>
    </w:p>
    <w:tbl>
      <w:tblPr>
        <w:tblW w:w="7867" w:type="dxa"/>
        <w:jc w:val="left"/>
        <w:tblInd w:w="0" w:type="dxa"/>
        <w:tblLayout w:type="fixed"/>
        <w:tblCellMar>
          <w:top w:w="28" w:type="dxa"/>
          <w:left w:w="28" w:type="dxa"/>
          <w:bottom w:w="28" w:type="dxa"/>
          <w:right w:w="28" w:type="dxa"/>
        </w:tblCellMar>
      </w:tblPr>
      <w:tblGrid>
        <w:gridCol w:w="2956"/>
        <w:gridCol w:w="146"/>
        <w:gridCol w:w="226"/>
        <w:gridCol w:w="726"/>
        <w:gridCol w:w="156"/>
        <w:gridCol w:w="156"/>
        <w:gridCol w:w="226"/>
        <w:gridCol w:w="72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capitalized into inventory totaled $0.3 million and $0.7 million for the three and six months ended June 30, 2024, respectively, and $0.9 million and $1.6 million for the three and six months ended June 30, 2023,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warrant activity for the six months ended June 30, 2024:</w:t>
      </w:r>
    </w:p>
    <w:tbl>
      <w:tblPr>
        <w:tblW w:w="6017" w:type="dxa"/>
        <w:jc w:val="left"/>
        <w:tblInd w:w="0" w:type="dxa"/>
        <w:tblLayout w:type="fixed"/>
        <w:tblCellMar>
          <w:top w:w="28" w:type="dxa"/>
          <w:left w:w="28" w:type="dxa"/>
          <w:bottom w:w="28" w:type="dxa"/>
          <w:right w:w="28" w:type="dxa"/>
        </w:tblCellMar>
      </w:tblPr>
      <w:tblGrid>
        <w:gridCol w:w="2941"/>
        <w:gridCol w:w="146"/>
        <w:gridCol w:w="146"/>
        <w:gridCol w:w="676"/>
        <w:gridCol w:w="146"/>
        <w:gridCol w:w="146"/>
        <w:gridCol w:w="383"/>
        <w:gridCol w:w="1042"/>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Outstanding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Net Loss per Common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common share:</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47,573,229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43,597,131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 average shares outstanding, as they would be anti-dilutive:</w:t>
      </w:r>
    </w:p>
    <w:tbl>
      <w:tblPr>
        <w:tblW w:w="4659"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93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7,930,579</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776,708</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79,220</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8,786,507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sells Sunosi and Auvelity in the United States through the Distributors. The Company sells Sunosi, on a product supply basis, to Pharmanovia, and Sunosi is subsequently sold within the licensed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revenue consists of the recognition of the upfront payment the Company received from Pharmanovia in February 2023 and royalty revenue is related to sales of Sunosi by Pharmanovia in certain ex-U.S. markets.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a summary of total revenues by product: </w:t>
      </w:r>
    </w:p>
    <w:tbl>
      <w:tblPr>
        <w:tblW w:w="7332" w:type="dxa"/>
        <w:jc w:val="left"/>
        <w:tblInd w:w="0" w:type="dxa"/>
        <w:tblLayout w:type="fixed"/>
        <w:tblCellMar>
          <w:top w:w="28" w:type="dxa"/>
          <w:left w:w="28" w:type="dxa"/>
          <w:bottom w:w="28" w:type="dxa"/>
          <w:right w:w="28" w:type="dxa"/>
        </w:tblCellMar>
      </w:tblPr>
      <w:tblGrid>
        <w:gridCol w:w="2011"/>
        <w:gridCol w:w="146"/>
        <w:gridCol w:w="226"/>
        <w:gridCol w:w="726"/>
        <w:gridCol w:w="156"/>
        <w:gridCol w:w="156"/>
        <w:gridCol w:w="226"/>
        <w:gridCol w:w="726"/>
        <w:gridCol w:w="146"/>
        <w:gridCol w:w="146"/>
        <w:gridCol w:w="211"/>
        <w:gridCol w:w="78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Auvelity</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65,025</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Sunosi</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86,520</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74,586</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Sunosi license revenue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Sunosi royalty revenue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87,166</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a summary of total revenues by geographic location:</w:t>
      </w:r>
    </w:p>
    <w:tbl>
      <w:tblPr>
        <w:tblW w:w="7907" w:type="dxa"/>
        <w:jc w:val="left"/>
        <w:tblInd w:w="0" w:type="dxa"/>
        <w:tblLayout w:type="fixed"/>
        <w:tblCellMar>
          <w:top w:w="28" w:type="dxa"/>
          <w:left w:w="28" w:type="dxa"/>
          <w:bottom w:w="28" w:type="dxa"/>
          <w:right w:w="28" w:type="dxa"/>
        </w:tblCellMar>
      </w:tblPr>
      <w:tblGrid>
        <w:gridCol w:w="2586"/>
        <w:gridCol w:w="146"/>
        <w:gridCol w:w="226"/>
        <w:gridCol w:w="726"/>
        <w:gridCol w:w="156"/>
        <w:gridCol w:w="156"/>
        <w:gridCol w:w="226"/>
        <w:gridCol w:w="726"/>
        <w:gridCol w:w="146"/>
        <w:gridCol w:w="146"/>
        <w:gridCol w:w="211"/>
        <w:gridCol w:w="781"/>
        <w:gridCol w:w="146"/>
        <w:gridCol w:w="146"/>
        <w:gridCol w:w="211"/>
        <w:gridCol w:w="781"/>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85,444</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Outside of the United States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86,520</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74,586</w:t>
            </w:r>
          </w:p>
        </w:tc>
        <w:tc>
          <w:tcPr>
            <w:tcW w:w="39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Outside of the United States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39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Outside of the United States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87,166</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2024, product sales, net, includes adjustments for provisions for product sales made in 2023 resulting from changes in estimates of $1.1 million for Auvelity and $0.6 million for Sunosi. For the six months ended June 30, 2023, product sales, net, includes adjustments for provisions for product sales made in 2022 resulting from changes in estimates of $0.8 million for Auvelity and $0.1 million for Sunosi.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14. License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Pharmanovia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$0.6 million and $0.7 million for the three months ended June 30, 2024 and 2023, respectively, and $1.5 million and $1.0 million for the six months ended June 30, 2024 and 2023, respectively, related to Pharmanovia’s sales of Sunosi. No other development or sales-based milestones were recognized during the six months ended June 30, 2024 and 2023.</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Exclusive License Agreement with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six months ended June 30, 2024 and 2023, no milestone payments or royalties were paid to Pfizer by the Company.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Exclusive License Agreements with Antecip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six months ended June 30, 2024 and 2023, the Company recorded royalty expense of $3.6 million and $1.3 million, respectively, for royalty due to Antecip, which is equal to 3.0% of net sales of Auvelity. This is considered to be a related party transaction.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connection with the Loan Agreement, the Company entered into the Direct Agreement with Antecip and Hercules, pursuant to which Antecip consented to the collateral assignment of the License Agreement under the Loan Agreement, among other things.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Income Taxes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presents the Company's loss before income taxes and effective tax rates for all periods presented:</w:t>
      </w:r>
    </w:p>
    <w:tbl>
      <w:tblPr>
        <w:tblW w:w="8127" w:type="dxa"/>
        <w:jc w:val="left"/>
        <w:tblInd w:w="0" w:type="dxa"/>
        <w:tblLayout w:type="fixed"/>
        <w:tblCellMar>
          <w:top w:w="28" w:type="dxa"/>
          <w:left w:w="28" w:type="dxa"/>
          <w:bottom w:w="28" w:type="dxa"/>
          <w:right w:w="28" w:type="dxa"/>
        </w:tblCellMar>
      </w:tblPr>
      <w:tblGrid>
        <w:gridCol w:w="2461"/>
        <w:gridCol w:w="146"/>
        <w:gridCol w:w="211"/>
        <w:gridCol w:w="736"/>
        <w:gridCol w:w="271"/>
        <w:gridCol w:w="146"/>
        <w:gridCol w:w="211"/>
        <w:gridCol w:w="736"/>
        <w:gridCol w:w="331"/>
        <w:gridCol w:w="146"/>
        <w:gridCol w:w="211"/>
        <w:gridCol w:w="841"/>
        <w:gridCol w:w="271"/>
        <w:gridCol w:w="146"/>
        <w:gridCol w:w="211"/>
        <w:gridCol w:w="736"/>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record a tax expense for the three and six months ended June 30, 2024. The Company recorded a tax benefit of $0.6 million for the three months ended June 30, 2023 and a Maltese tax expense of $2.0 million for the six months ended June 30, 2023 on income earned in Malta in relation to the license revenue recognized from the Pharmanovia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unrecognized tax benefits as of June 30, 2024 related to uncertain tax positions that would impact the effective income tax rate if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$2.0 million and $3.6 million for the three and six months ended June 30, 2024, respectively, and $0.8 million and $1.3 million for the three and six months ended June 30, 2023, respectively, which equal 3.0% of net sales of Auvelity.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three exclusive license agreements with Antecip Bioventures II LLC, an entity owned by Dr. Tabuteau. See Note 14. License Agreements for further information regarding the license agreements.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7" w:name="item_2_managements_discussion_analysis_f"/>
      <w:bookmarkEnd w:id="7"/>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 which was filed with the Securities and Exchange Commission, or SEC, on February 23, 2024</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The Company’s CNS portfolio includes three not yet approved product candidates, AXS-07, AXS-12, and AXS-14, which are being developed for multiple indications, and two approved products - Auvelity® and Sunosi® - both of which are also being developed for further indications. In May 2022, the Company completed the U.S. acquisition of Sunosi from Jazz Pharmaceuticals, or Jazz, and in November 2022, the Company acquired the ex-U.S. assets of Sunosi from Jazz for certain international markets, or, collectively, the Acquisition. Sunosi is a product approved by the U.S. Food and Drug Administration, or the FDA, and marketed in the U.S. to improve wakefulness in adult patients with excessive daytime sleepiness associated with narcolepsy or obstructive sleep apnea, and also approved in Europe in January 2020 by the European Commission. In August 2022, the Company announced the FDA approval, and in October 2022, the U.S. commercial availability of Auvelity. Auvelity is indicated to the treatment of major depressive disorder in adults.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Commercial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120" w:after="283"/>
        <w:jc w:val="left"/>
        <w:rPr/>
      </w:pPr>
      <w:r>
        <w:rPr>
          <w:rFonts w:ascii="Times New Roman" w:hAnsi="Times New Roman"/>
          <w:b/>
          <w:i/>
          <w:color w:val="000000"/>
          <w:sz w:val="20"/>
        </w:rPr>
        <w:t xml:space="preserve">Auvelity®. </w:t>
      </w:r>
      <w:r>
        <w:rPr>
          <w:rFonts w:ascii="Times New Roman" w:hAnsi="Times New Roman"/>
          <w:color w:val="000000"/>
          <w:sz w:val="20"/>
        </w:rPr>
        <w:t>Auvelity (dextromethorphan-bupropion) is a novel, oral, N-methyl-D-aspartate (NMDA) receptor antagonist with multimodal activity indicated to the treatment of major depressive disorder, also known as MDD. Auvelity was developed by the Company and approved by the U.S. Food and Drug Administration, or the FDA, for the treatment of MDD in August 2022. We commenced the commercial sale of Auvelity in the United States in October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120" w:after="283"/>
        <w:jc w:val="left"/>
        <w:rPr/>
      </w:pPr>
      <w:r>
        <w:rPr>
          <w:rFonts w:ascii="Times New Roman" w:hAnsi="Times New Roman"/>
          <w:b/>
          <w:i/>
          <w:color w:val="000000"/>
          <w:sz w:val="20"/>
        </w:rPr>
        <w:t xml:space="preserve">Sunosi®. </w:t>
      </w:r>
      <w:r>
        <w:rPr>
          <w:rFonts w:ascii="Times New Roman" w:hAnsi="Times New Roman"/>
          <w:color w:val="000000"/>
          <w:sz w:val="20"/>
        </w:rPr>
        <w:t>Sunosi (solriamfetol) is a novel, oral medication indicated to the treatment of excessive daytime sleepiness, also known as EDS, in patients with narcolepsy or obstructive sleep apnea. Sunosi was approved for the treatment of EDS in the United States in 2019 and by the European Commission in 2022.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announced a licensing transaction, or the Pharmanovia License Agreement, with Atnahs Pharma UK Limited, or Pharmanovia, to market Sunosi in Europe and certain countries in the Middle East and North Africa, or the Territory.</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or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ACCORD-1 trial, a Phase 3, double blind, placebo-controlled, randomized withdrawal trial in patients with AD agitation, and we are conducting an open-label long-term safety study in AD agitation. We are currently conducting the ADVANCE-2 trial, another Phase 3, double blind, placebo-controlled, trial in patients with AD agitation. We are also conducting the ACCORD-2 study, a Phase 3, double-blind, placebo-controlled, randomized withdrawal trial in patients with AD agitation. A positive Phase 2 trial for the use of AXS-05 in smoking cessation has been completed under a research collaboration with Duke University.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are currently conducting the EMERGE study, a multicenter, Phase 3, single-group trial evaluating the efficacy and safety of AXS-07 in the acute treatment of migraine in adults with a prior inadequate response to an oral CGRP inhibitor. We submitted a new drug application, or NDA, for AXS-07 in 2021, which was accepted, and received a complete response letter, or CRL, from the FDA in April 2022. The principal reasons given in the CRL relate to chemistry, manufacturing, and controls, or CMC considerations. We resubmitted the NDA for AXS-07 for the acute treatment of migraine to the FDA, which the FDA is expected to classify as a Class 2 resubmission.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recently completed the randomized, placebo-controlled Phase 3 trial with AXS-12 in narcolepsy, which we refer to as the SYMPHONY study, where AXS-12 achieved the primary endpoint in the trial of reducing cataplexy attacks. We are currently conducting one open-label long-term safety extension study with AXS-12.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which includes a completed Phase 2 trial and Phase 3 trial in fibromyalgia, both of which were positive.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Solriamfetol is the active ingredient in Sunosi. It is an oral, dual-acting dopamine and norepinephrine reuptake inhibitor and TAAR1 agonist. We are currently conducting three Phase 3, double blind, placebo-controlled, randomized multicenter trials with solriamfetol: one in MDD, which we refer to as the PARADIGM study and the second in binge eating disorder, or BED, which we refer to as the ENGAGE study, and the third in adults with attention-deficit/hyperactivity disorder, which we refer to as the FOCUS study. We also recently initiated a fourth study, a randomized, double-blind, placebo-controlled Phase 3 trial of solriamfetol in shift work disorder, or SWD, which we refer to as the SUSTAIN study.</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2040, 2041, and 2043 for AXS-05, to 2038 for AXS-07, and to 2040 for AXS-12, as well as U.S. and foreign patent applications for AXS-05, AXS-07, AXS-12, and AXS-14. As with respect to Sunosi, Orange Book listed patents in the United States extend out to 2042. We also have patents in various other countries pertaining to Sunosi. In June 2024, we entered into a settlement agreement with Unichem Laboratories Ltd. (Unichem) resolving patent litigation related to Sunosi that permits Unichem to begin selling its generic version of Sunosi on June 30, 2042, or earlier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incorporation in January 2012, our operations to date have included organizing and staffing our company, business planning, raising capital, developing our compounds, engaging in other discovery and preclinical activities, and the commercial launches of Sunosi and Auvelity. Subsequent to our IPO, we financed our operations primarily through proceeds from sales of our common stock to equity investors and debt borrowings. For a further discussion, see the section entitled “Liquidity and Capital Resources”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become profitable depends on our ability to generate revenue. We have begun commercial sales of Sunosi and Auvelity, but we have limited experience with commercializing these, or any,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and net losses since inception. We incurred net losses of $147.7 million and $78.4 million for the six months ended June 30, 2024 and 2023, respectively. Our accumulated deficit as of June 30, 2024 was $983.3 million, and we expect to incur significant expenses and continuing operating losses. We expect our expenses to increase in connection with our ongoing activities as we continue the commercialization of our currently marketed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Year to Date and 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AXS-05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announced the initiation of the ACCORD-2 study, a Phase 3, double-blind, placebo-controlled, randomized withdrawal trial to evaluate the efficacy and safety of AXS-05 in the treatment of AD agitation.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Solriamfetol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we announced the initiation of the PARADIGM study, a Phase 3, randomized, double-blind, placebo-controlled, multicenter trial of solriamfetol for the treatment of MDD.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we announced the initiation of the ENGAGE study, a Phase 3, randomized, double-blind, placebo-controlled, multicenter trial of solriamfetol for the treatment of BED.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we announced the initiation of the SUSTAIN study, a Phase 3, randomized, double-blind, placebo-controlled, multicenter trial of solriamfetol for the treatment of SWD.</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AXS-12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we reported positive top-line data from the Phase 3 trial of AXS-12 in narcolepsy, which we call the SYMPHONY study.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generated net revenue from product sales of $86.5 million and $46.0 million in the three months ended June 30, 2024 and 2023, respectively, and $160.6 million and $74.6 million in the six months ended June 30,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the first quarter of 2023, we recorded license revenue of $65.7 million related to the Pharmanovia License Agreement (as defined below). See below for more detail.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Pharmanovia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$0.6 million and $0.7 million for the three months ended June 30, 2024 and 2023, respectively, and $1.5 million and $1.0 million for the six months ended June 30, 2024 and 2023, related to Pharmanovia’s sales of Sunosi.</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primarily include preclinical studies, clinical trials, manufacturing costs, employee-related expenses including salaries, benefits, travel, and stock</w:t>
        <w:noBreakHyphen/>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the critical accounting policies disclosed in our 2023 Annual Report on Form 10-K, except for revenue recognition related to license agreements. Our critical accounting policies are described in the notes to the consolidated financial statements appearing elsewhere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47,573,229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43,597,131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sales, net. </w:t>
      </w:r>
      <w:r>
        <w:rPr>
          <w:rFonts w:ascii="Times New Roman" w:hAnsi="Times New Roman"/>
          <w:color w:val="000000"/>
          <w:sz w:val="20"/>
        </w:rPr>
        <w:t>Auvelity U.S. net sales were $65.0 million and $118.4 million for the three and six months ended June 30, 2024, respectively, as compared to $27.6 million and $43.3 million for the same periods in 2023. Sunosi net sales were $21.5 million and $42.2 million for the three and six months ended June 30, 2024, respectively, as compared to $18.4 million and $31.1 million for the same periods in 2023. The increases in both comparable periods were primarily due to the increase in unit sales volume for both Auvelity and Sunosi.</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activity of our sales allowance and reserves as of and for the six months ended June 30, 2024 (in thousands):</w:t>
      </w:r>
    </w:p>
    <w:tbl>
      <w:tblPr>
        <w:tblW w:w="10205" w:type="dxa"/>
        <w:jc w:val="left"/>
        <w:tblInd w:w="0" w:type="dxa"/>
        <w:tblLayout w:type="fixed"/>
        <w:tblCellMar>
          <w:top w:w="28" w:type="dxa"/>
          <w:left w:w="28" w:type="dxa"/>
          <w:bottom w:w="28" w:type="dxa"/>
          <w:right w:w="28" w:type="dxa"/>
        </w:tblCellMar>
      </w:tblPr>
      <w:tblGrid>
        <w:gridCol w:w="1881"/>
        <w:gridCol w:w="146"/>
        <w:gridCol w:w="523"/>
        <w:gridCol w:w="1936"/>
        <w:gridCol w:w="166"/>
        <w:gridCol w:w="146"/>
        <w:gridCol w:w="381"/>
        <w:gridCol w:w="1332"/>
        <w:gridCol w:w="166"/>
        <w:gridCol w:w="146"/>
        <w:gridCol w:w="386"/>
        <w:gridCol w:w="1237"/>
        <w:gridCol w:w="166"/>
        <w:gridCol w:w="146"/>
        <w:gridCol w:w="211"/>
        <w:gridCol w:w="841"/>
        <w:gridCol w:w="395"/>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 discounts and rebates, returns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discounts and chargebacks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Medicaid and Medicare rebates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59,215</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168,341</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Payments/credits</w:t>
            </w:r>
          </w:p>
        </w:tc>
        <w:tc>
          <w:tcPr>
            <w:tcW w:w="146" w:type="dxa"/>
            <w:tcBorders/>
            <w:shd w:fill="CFF0FC" w:val="cle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License revenue. </w:t>
      </w:r>
      <w:r>
        <w:rPr>
          <w:rFonts w:ascii="Times New Roman" w:hAnsi="Times New Roman"/>
          <w:color w:val="000000"/>
          <w:sz w:val="20"/>
        </w:rPr>
        <w:t>In February 2023, we entered into the Pharmanovia License Agreement to commercialize Sunosi in certain ex-U.S. markets. We recognized the upfront payment of $65.7 million from Pharmanovia as license revenue during the first quarter of 2023. We did not have license revenue during the six months ended June 30, 2024.</w:t>
      </w:r>
    </w:p>
    <w:p>
      <w:pPr>
        <w:pStyle w:val="TextBody"/>
        <w:bidi w:val="0"/>
        <w:spacing w:before="240" w:after="283"/>
        <w:jc w:val="left"/>
        <w:rPr>
          <w:rFonts w:ascii="Times New Roman" w:hAnsi="Times New Roman"/>
          <w:sz w:val="20"/>
        </w:rPr>
      </w:pPr>
      <w:r>
        <w:rPr>
          <w:rFonts w:ascii="Times New Roman" w:hAnsi="Times New Roman"/>
          <w:i/>
          <w:color w:val="000000"/>
          <w:sz w:val="20"/>
        </w:rPr>
        <w:t>Royalty revenue.</w:t>
      </w:r>
      <w:r>
        <w:rPr>
          <w:rFonts w:ascii="Times New Roman" w:hAnsi="Times New Roman"/>
          <w:color w:val="000000"/>
          <w:sz w:val="20"/>
        </w:rPr>
        <w:t xml:space="preserve"> In connection with the February 2023 Pharmanovia License Agreement to commercialize Sunosi in certain ex-U.S. markets, we recognized royalty revenue of $0.6 million and $1.5 million for the three and six months ended June 30, 2024, respectively, as compared to $0.7 million and $1.0 million for the same periods in 2023 attributable to Pharmanovia sales of Sunosi in the out-licensed markets.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was $8.1 million and $14.4 million for the three and six months ended June 30, 2024, respectively, as compared to $4.6 million and $12.2 million for the same periods in 2023. The increases in both comparable periods were in line with the increase in sales of Auvelity and Sunosi. Cost of revenue for the six months ended June 30, 2023 includes $5.0 million in-license revenue sharing expense related to the Pharmanovia License Agreement.</w:t>
      </w:r>
    </w:p>
    <w:p>
      <w:pPr>
        <w:pStyle w:val="TextBody"/>
        <w:bidi w:val="0"/>
        <w:spacing w:before="240" w:after="240"/>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The following table summarizes our research and development expenses for our primary products for the three and six months ended June 30, 2024 and 2023 (in thousands):</w:t>
      </w:r>
    </w:p>
    <w:tbl>
      <w:tblPr>
        <w:tblW w:w="8607" w:type="dxa"/>
        <w:jc w:val="left"/>
        <w:tblInd w:w="0" w:type="dxa"/>
        <w:tblLayout w:type="fixed"/>
        <w:tblCellMar>
          <w:top w:w="28" w:type="dxa"/>
          <w:left w:w="28" w:type="dxa"/>
          <w:bottom w:w="28" w:type="dxa"/>
          <w:right w:w="28" w:type="dxa"/>
        </w:tblCellMar>
      </w:tblPr>
      <w:tblGrid>
        <w:gridCol w:w="3496"/>
        <w:gridCol w:w="146"/>
        <w:gridCol w:w="226"/>
        <w:gridCol w:w="726"/>
        <w:gridCol w:w="156"/>
        <w:gridCol w:w="156"/>
        <w:gridCol w:w="226"/>
        <w:gridCol w:w="726"/>
        <w:gridCol w:w="146"/>
        <w:gridCol w:w="146"/>
        <w:gridCol w:w="211"/>
        <w:gridCol w:w="676"/>
        <w:gridCol w:w="146"/>
        <w:gridCol w:w="146"/>
        <w:gridCol w:w="211"/>
        <w:gridCol w:w="676"/>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Solriamfetol</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AXS-05</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AXS-07</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AXS-12</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AXS-14</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49,853</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 Other research and development expenses primarily consist of costs related to other product candidates, facilities and overhead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$29.3 million and $48.3 million for the three and six months ended June 30, 2024, respectively, as compared to the same periods in 2023. The increases in both comparable periods were primarily related to the Phase 3 trials for additional indications, including studies in ADHD, MDD, and BED, for solriamfetol, the advancement of ongoing Phase 3 trials of AXS-05 and AXS-12, higher manufacturing costs for AXS-07 and AXS-14, and higher personnel costs due to organizational growth. We expect research and development costs to stabilize as we continue to conduct non-clinical and pre-clinical testing, conduct ongoing and planned clinical trials, and manufacture drug products in anticipation of FDA approvals for the further development of our current and future product candidates.</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Selling, general and administrative expenses were $103.6 million and $202.5 million for the three and six months ended June 30, 2024, respectively, as compared to $78.9 million and $153.1 million for the same periods in 2023. The increases in both comparable periods were primarily related to greater commercial activities for Auvelity and Sunosi, and higher personnel costs related to organizational growth, including non-cash stock-based compensation. We expect selling, general and administrative expenses to increase slightly as we expand marketing, promotional, and advertising costs for Auvelity, Sunosi, and anticipated product launches as we continue to educate physicians and expand market access.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Loss in Fair Value of Contingent Consideration. </w:t>
      </w:r>
      <w:r>
        <w:rPr>
          <w:rFonts w:ascii="Times New Roman" w:hAnsi="Times New Roman"/>
          <w:color w:val="000000"/>
          <w:sz w:val="20"/>
        </w:rPr>
        <w:t xml:space="preserve">The loss positions of $2.2 million and $0.7 million for the three and six months ended June 30, 2024, respectively, as compared to the loss positions of $6.0 million and $5.9 million for the same periods in 2023, respectively, are related to changes in significant assumptions, including future sales estimates and changes in significant unobservable inputs, including discount rates. </w:t>
      </w:r>
    </w:p>
    <w:p>
      <w:pPr>
        <w:pStyle w:val="TextBody"/>
        <w:bidi w:val="0"/>
        <w:spacing w:before="240" w:after="283"/>
        <w:jc w:val="left"/>
        <w:rPr>
          <w:rFonts w:ascii="Times New Roman" w:hAnsi="Times New Roman"/>
          <w:sz w:val="20"/>
        </w:rPr>
      </w:pPr>
      <w:r>
        <w:rPr>
          <w:rFonts w:ascii="Times New Roman" w:hAnsi="Times New Roman"/>
          <w:i/>
          <w:color w:val="000000"/>
          <w:sz w:val="20"/>
        </w:rPr>
        <w:t>Intangible asset amortization</w:t>
      </w:r>
      <w:r>
        <w:rPr>
          <w:rFonts w:ascii="Times New Roman" w:hAnsi="Times New Roman"/>
          <w:color w:val="000000"/>
          <w:sz w:val="20"/>
        </w:rPr>
        <w:t>. We amortize the intangible asset, which we recognized as part of the Acquisition, over its useful life of 10 years. Intangible asset amortization was $1.6 million for both the three months ended June 30, 2024 and 2023, and $3.2 million for both the six months ended June 30, 2024 and 2023.</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Interest expense, net, was $1.3 million and $2.4 million for the three and six months ended June 30, 2024, respectively, as compared to $2.7 million and $5.0 million for the same periods in 2023. The decreases in both comparable periods were mainly due to greater interest income on higher cash balances, which partially offset the interest expense, issuance costs, and fees related to the Loan Agreement (as defined below) with Hercules (as defined below).</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We did not record an income tax expense for the three and six months ended June 30, 2024 due to losses incurred in all jurisdictions during the quarter from which we do not benefit due to the full valuation allowance position against our deferred tax assets. We recorded a tax benefit of $0.6 million for the three months ended June 30, 2023 and tax expense of $2.0 million for the six months ended June 30, 2023 due to income earned in Malta in relation to the license revenue recognized from the Pharmanovia License Agreement.</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loss. </w:t>
      </w:r>
      <w:r>
        <w:rPr>
          <w:rFonts w:ascii="Times New Roman" w:hAnsi="Times New Roman"/>
          <w:color w:val="000000"/>
          <w:sz w:val="20"/>
        </w:rPr>
        <w:t>Net loss was $79.3 million and $147.7 million for the three and six months ended June 30, 2024, respectively, as compared to $67.2 million and $78.4 million for the same periods in 2023. The increases in both comparable periods are primarily due to higher research and development spend from pre-clinical and ongoing clinical trial expenses, higher selling, general and administrative expenses from commercial activities related to Sunosi and Auvelity, including sales force and marketing spend, and higher personnel costs due to organizational growth, including non-cash stock compensation expense. Additionally, the increase in net loss for the six months ended June 30, 2024, in comparison to the same period in 2023, was impacted by the upfront payment of $65.7 million received from Pharmanovia in the first quarter of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through June 30, 2024, we have financed our operations primarily through proceeds from equity offerings, debt borrowings, and proceeds from product sales. See discussion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entered into a sales agreement, or the March 2022 Sales Agreement with Leerink, and filed a prospectus supplement,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us and Leerink. We exhausted sales of shares of our common stock under our prior at-the-market offering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March 2022 Sales Agreement, for the three months ended June 30, 2024, we received approximately $11.3 million in gross proceeds through the sale of 148,875 shares, of which net proceeds were approximately $11.0 million. We did not utilize the March 2022 Sales Agreement with Leerink during the three months ended March 31, 2024. We also did not utilize the March 2022 Sales Agreement with Leerink during the year ended December 31, 2023.</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we entered into a Third Amendment to the Loan Agreement, or the Third Amendment, with Hercules. The Third Amendment increases the size of the Term Loan Advance (as defined in the Loan Agreement) to $350.0 million, reduces the interest rate, and extends the maturity and interest-only period of the Loan Agreement. The Company drew down upon Tranche 1C of the 2020 Term Loan (as defined below), and as of June 30, 2024, the Company had approximately $180 million outstanding and $170 million remaining under the 2020 Term Loan. See the “Contractual Obligations and Commitments – January 2023 Third Amendment to the Loan and Security Agreement – Hercules” section below for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indicated (in thousands):</w:t>
      </w:r>
    </w:p>
    <w:tbl>
      <w:tblPr>
        <w:tblW w:w="5464" w:type="dxa"/>
        <w:jc w:val="left"/>
        <w:tblInd w:w="0" w:type="dxa"/>
        <w:tblLayout w:type="fixed"/>
        <w:tblCellMar>
          <w:top w:w="28" w:type="dxa"/>
          <w:left w:w="28" w:type="dxa"/>
          <w:bottom w:w="28" w:type="dxa"/>
          <w:right w:w="28" w:type="dxa"/>
        </w:tblCellMar>
      </w:tblPr>
      <w:tblGrid>
        <w:gridCol w:w="2656"/>
        <w:gridCol w:w="146"/>
        <w:gridCol w:w="211"/>
        <w:gridCol w:w="736"/>
        <w:gridCol w:w="166"/>
        <w:gridCol w:w="146"/>
        <w:gridCol w:w="211"/>
        <w:gridCol w:w="781"/>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used in operating activities for the six months ended June 30, 2024 was $83.6 million, as compared to $61.2 million for the six months ended June 30, 2023. The increase of $22.4 million was impacted by the upfront payment of $65.7 million received from Pharmanovia in the first quarter of 2023 and cash used in commercial and clinical activities in 2024, which were partially offset by higher net product revenues from Auvelity and Sunosi in 2024.</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for the six months ended June 30, 2024 was $150 thousand, as compared to $204 thousand for the six months ended June 30, 2023. Our investing activities for both comparable periods primarily relate to purchases of equipment in connection to commercial and clinical activities.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Cash provided by financing activities was $13.2 million for the six months ended June 30, 2024, which included net proceeds of $11.0 million from issuance of common stock for financing purposes as well as proceeds of $9.2 million from the issuance of common stock upon the exercise of employee stock options and under the ESPP, which was partially offset by payments of contingent consideration and tax withholdings on stock awards, for a total of $6.7 million. Cash provided by financing activities was $297.6 million for the six months ended June 30, 2023, which included net proceeds related to the June 2023 Public Offering of $211.3 million, net proceeds of $83.6 million related to drawing upon tranches of the 2020 Term Loan, and proceeds from the issuance of common stock upon exercise of employee stock options of $7.0 million, which was partially offset by payment of contingent consideration and tax withholdings on stock awards, for a total of $4.2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achieved profitability since our inception, and we expect to continue to have losses as we continue the development of, and seek regulatory approvals for, our product candidates, and begin to commercialize any additional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rate of progress, results, and cost of our clinical studies and other related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collaborative agreements for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development requirements of any other product candidates that we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timing, and outcome of regulatory reviews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timing of our commercialization activities, including product manufacturing, marketing, sales, and distribution, for any of our products and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liability or other lawsuits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expenses needed to attract and retain skilled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general and administrative expenses related to being a public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received from commercial sales of our products and product candidates for which we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involved in preparing, filing, and prosecuting patent applications, maintaining and enforcing our intellectual property rights, and defending our intellectual property</w:t>
        <w:noBreakHyphen/>
        <w:t>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“Risk Factors” for additional risks associated with our substantial capital requirements.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 with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agreements with Antecip Bioventures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Loan Agreement (see below), Antecip consented to the collateral assignment of one of the license agreements, among other things, under a direct agreement with us and Hercules.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May 2023 Fourth Amendment to the Loan and Security Agreement - Hercules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2023, we entered into the Waiver and Fourth Amendment to the Loan Agreement, or the Fourth Amendment, with Hercules, in its capacity as administrative agent and collateral agent, and the other financial institutions or entities party thereto as lenders. The Fourth Amendment increased the amount of Cash (as defined in the Loan Agreement) that could be held by Axsome Malta Ltd., or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Axsome a waiver to the Fourth Amendment, permitting the Malta Subsidiary to hold up to $12.5 million in Cash outside of the United States until December 31,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January 2023 Third Amendment to the Loan and Security Agreement – Hercules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2023, we entered into the Third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Third Amendment amended the terms of the Loan Agreement to,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Extend the maturity date to January 1, 2028, unless the Company meets certain revenue targets as described in the Loan Agreement, in which case the Company can extend the maturity date to January 1, 2029;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 the aggregate principal amount under the Loan Agreement from $300.0 million to $350.0 million;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 the minimum cash requirement of the Company to $30.0 million;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initial closing, we assumed all of the commitments of Jazz to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World Trade Center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 and Human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29, 2024, we had 589 full</w:t>
        <w:noBreakHyphen/>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by applicable SEC regulations.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 ABOUT MARKET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market risks are principally limited to interest rate fluctuations. We had cash of $315.7 million and $386.2 million as of June 30, 2024 and December 31, 2023,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a 10% change in these currencies on June 30, 2024 would have had a material effect on our results of operations or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Inflation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pricing of contracts. We do not believe that inflation has had a material effect on our business, financial condition, or results of operations during the six months ended June 30, 2024.</w:t>
      </w:r>
    </w:p>
    <w:p>
      <w:pPr>
        <w:pStyle w:val="TextBody"/>
        <w:bidi w:val="0"/>
        <w:spacing w:before="240" w:after="283"/>
        <w:jc w:val="left"/>
        <w:rPr>
          <w:rFonts w:ascii="Times New Roman" w:hAnsi="Times New Roman"/>
          <w:sz w:val="20"/>
        </w:rPr>
      </w:pPr>
      <w:bookmarkStart w:id="9" w:name="item_4_controls_procedures"/>
      <w:bookmarkEnd w:id="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xml:space="preserve"> Our management, with the participation of our principal executive officer and 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During the quarter ended June 30, 2024, there have been no changes in internal controls over financial reporting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0" w:name="part_ii_or_information"/>
      <w:bookmarkEnd w:id="10"/>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pStyle w:val="TextBody"/>
        <w:bidi w:val="0"/>
        <w:spacing w:before="240" w:after="283"/>
        <w:jc w:val="left"/>
        <w:rPr>
          <w:rFonts w:ascii="Times New Roman" w:hAnsi="Times New Roman"/>
          <w:sz w:val="20"/>
        </w:rPr>
      </w:pPr>
      <w:r>
        <w:rPr>
          <w:rFonts w:ascii="Times New Roman" w:hAnsi="Times New Roman"/>
          <w:i/>
          <w:color w:val="000000"/>
          <w:sz w:val="20"/>
        </w:rPr>
        <w:t>Securities Class Action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w:t>
        <w:br/>
        <w:br/>
      </w:r>
      <w:r>
        <w:rPr>
          <w:rFonts w:ascii="Times New Roman" w:hAnsi="Times New Roman"/>
          <w:i/>
          <w:color w:val="000000"/>
          <w:sz w:val="20"/>
        </w:rPr>
        <w:t>Shareholder Derivative 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br/>
        <w:br/>
      </w:r>
      <w:r>
        <w:rPr>
          <w:rFonts w:ascii="Times New Roman" w:hAnsi="Times New Roman"/>
          <w:i/>
          <w:color w:val="000000"/>
          <w:sz w:val="20"/>
        </w:rPr>
        <w:t>Auvelity Paragraph IV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24, 2023, we commenced a patent infringement action against Teva relating to Teva's ANDA for Auvelity. This action is captioned Axsome Therapeutics, Inc. and Antecip Bioventures II LLC v. Teva Pharmaceuticals, Inc. No. 2:23-CV-01695 in the United States District Court for the District of New Jersey, or the NJ District Court. On December 15, 2023, we commenced a second patent infringement action against Teva relating to Teva’s ANDA. This action is captioned Axsome Therapeutics, Inc., and Antecip Bioventures II LLC v. Teva Pharmaceuticals, Inc. No. 2:23-cv-23142 in the NJ District Court. On February 26, 2024, the NJ District Court consolidated the actions. Fact discovery is currently scheduled to close on February 7, 2025 in the consolidated action. On May 28, 2024, we commenced a third patent infringement action against Teva relating to Teva’s ANDA. This action is captioned Axsome Therapeutics, Inc., and Antecip Bioventures II LLC v. Teva Pharmaceuticals, Inc. No. 2:24-cv-06489 in the NJ District Court. All actions are currently pending.</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Sunosi Paragraph IV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13, 2023, we commenced a patent infringement action against Hikma and five other drug companies relating to each defendant's ANDA for Sunosi. This action is captioned Axsome Malta Ltd. &amp; Axsome Therapeutics, Inc. v. Alkem Laboratories Ltd., et al. No. 2:23-CV-20354 in the NJ District Court. We commenced related patent infringement actions against the defendants relating to their ANDAs on December 20, 2023, January 11, 2024, January 18, 2024, February 14, 2024, March 19, 2024 (2 actions filed), April 5, 2024, and July 2, 2024. Those actions are captioned Axsome Malta Ltd. &amp; Axsome Therapeutics, Inc. v. Unichem Laboratories Ltd. No. 2:23-cv-23255; Axsome Malta Ltd. &amp; Axsome Therapeutics, Inc. v. Hetero USA, Inc. et al. No 2:24-cv-00196; Axsome Malta Ltd. &amp; Axsome Therapeutics, Inc. v. Aurobindo Pharma USA, Inc. et al. No. 2:24-cv-00309; Axsome Malta Ltd. &amp; Axsome Therapeutics, Inc. v. Sandoz, Inc. No. 2:24-cv-00860; Axsome Malta Ltd. &amp; Axsome Therapeutics, Inc. v. Hetero USA, Inc. et al. No 2:24-cv-03999; Axsome Malta Ltd. &amp; Axsome Therapeutics, Inc. v. Aurobindo Pharma USA, Inc. et al. No. 2:24-cv-04002; Axsome Malta Ltd. &amp; Axsome Therapeutics, Inc. v. Alkem Laboratories Ltd., et al. No. 2:24-CV-04608; Axsome Malta Ltd. &amp; Axsome Therapeutics, Inc. v. Aurobindo Pharma USA, Inc. et al. No. 2-24-cv-07511, respectively, all of which are in the NJ District Court. On June 4, 2024, Axsome Malta Ltd. and Axsome Therapeutics, Inc. entered into a settlement agreement with Unichem Laboratories Ltd. under which agreement Unichem Laboratories Ltd. agreed not to launch its generic solriamfetol product until June 30, 2042, or earlier under certain circumstances. All other actions are currently pending. </w:t>
      </w:r>
    </w:p>
    <w:p>
      <w:pPr>
        <w:pStyle w:val="TextBody"/>
        <w:bidi w:val="0"/>
        <w:spacing w:before="240" w:after="283"/>
        <w:jc w:val="left"/>
        <w:rPr>
          <w:rFonts w:ascii="Times New Roman" w:hAnsi="Times New Roman"/>
          <w:b/>
          <w:color w:val="000000"/>
          <w:sz w:val="20"/>
        </w:rPr>
      </w:pPr>
      <w:bookmarkStart w:id="12" w:name="item1a_risk_factors"/>
      <w:bookmarkEnd w:id="12"/>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2024. Investors should carefully consider all of the information set forth in this Quarterly Report on Form 10-Q, including the following risk factors, before deciding to invest in any of the Company’s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a number of risks and uncertainties, including those risks discussed at length below. These risks include, among others,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anticipate that we will continue to have losses, and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of commercializing products, which may make it difficult to evaluate our business and prospects.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establish effective marketing, sales and distribution capabilities or enter into agreements with third parties to market, sell and distribute our products, we may be unable to generate substantial product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our products do not achieve broad market acceptance, the revenues that we generate from their sales will be limited.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use of our net operating loss carryforwards and research tax credits may be limited.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anticipate that we will continue to have losses,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with a limited operating history. Since inception, we have incurred significant operating losses. Our net loss was $147.7 million and $78.4 million for the six months ended June 30, 2024 and 2023, respectively. As of June 30, 2024, we had an accumulated deficit of $983.3 million. In 2022, we commenced the commercial sale of Auvelity in the United States and Sunosi in the United States and select global markets. Apart from Sunosi and Auvelity, we have no other products which have received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expenses and operating losses,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regulatory approval for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additional commercial, clinical, medical, quality, regulatory,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sales, marketing, and distribution infrastructure;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expand external manufacturing capabilities and production to commercialize any additional products for which we may obtain regulatory approval and that we choose not to license to a third party;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undertake additional manufacturing activities of our product candidates to satisfy FDA requirements for marketing application submissions;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our clinical trials with AXS</w:t>
        <w:noBreakHyphen/>
        <w:t>05 in AD agitation;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conduct clinical trials for AXS-05 as an aid to smoking cessation treatment and other CNS disorders;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conduct clinical trials for solriamfetol in additional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evaluate, plan for, and potentially submit NDAs for AXS-12 in narcolepsy and AXS-14 in fibromyalgia;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 to expand commercial sales of Sunosi and Auvelity;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 in</w:t>
        <w:noBreakHyphen/>
        <w:t>license, or acquire additional product candidates;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late</w:t>
        <w:noBreakHyphen/>
        <w:t>stage clinical trials for any product candidates that successfully complete early</w:t>
        <w:noBreakHyphen/>
        <w:t>stage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additional non</w:t>
        <w:noBreakHyphen/>
        <w:t>clinical studies with any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clinical trials, pursuing regulatory approvals, establishing outsourced manufacturing relationships, and successfully manufacturing and commercializing our product candidates is a time</w:t>
        <w:noBreakHyphen/>
        <w:t>consuming, expensive, and uncertain process that takes years to complete. We may need to raise additional capital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 our future clinical trials for our current product candidates, especially if we encounter any unforeseen delays or difficulties in our planned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 our operations and continue to commercialize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qualify and outsource the commercial</w:t>
        <w:noBreakHyphen/>
        <w:t>scale manufacturing of our products under current good manufacturing practices, or cGMP;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 additional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w:t>
        <w:noBreakHyphen/>
        <w:t>license other product candidates.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of progress and costs related to the development of our product candidates, including the costs of preparing filings for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conducting additional clinical and non-clinical studies with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delays in our efforts to seek regulatory approval for our product candidates, and any costs associated with such delays;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selling, marketing, and distributing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 associated with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and timing of manufacturing, or having third parties manufacture, sufficient supplies of our product candidates in preparation for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commercial sales of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and timing of any collaborative, licensing, co</w:t>
        <w:noBreakHyphen/>
        <w:t>promotion, or other arrangements that we may establish;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the commercialization of any of our current products and, if approved,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Axsome Malta Ltd., or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covenants under the Loan Agreement also requiring maintaining a minimum amount of cash in an account or accounts in which the Lenders have a first priority security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of commercializing products, which may make it difficult to evaluate our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early-stage commercial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It is possible that other terrorist and/or regional organizations will join the hostilities as well, resulting in a widening of the conflict, which could negatively impact the global economy.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recent bill titled the Biosecure Act, to discourage contracting with Chinese companies on the development or manufacturing of pharmaceutical products. Any additional executive orders or legislative action regarding or potential sanctions on China could materially impact our current manufacturing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Climate change or legal, regulatory or market measures to address climate change may negatively affect our business, results of operations, cash flows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THE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submitted NDAs to the FDA for Auvelity (which was approved) and for AXS-07 for the acute treatment of migraines (which received a CRL and has now been resubmitted),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for marketing by applicable regulatory authorities, our ability to generate revenues from our product candidates depend on our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create market demand for our product candidates through our own marketing and sales activities, and any other arrangements to promote these product candidates that we may otherwise establish;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receive regulatory approval for claims that are necessary or desirable for successful marketing;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train, and deploy a sales force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(or have manufactured by third parties) our product candidates in sufficient quantities and at acceptable quality and manufacturing cost to meet commercial demand at launch and thereafter;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and group purchasing organizations on commercially reasonable terms;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create partnerships with, or offer licenses to, third parties to promote and sell our product candidates in foreign markets where we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launch commercial sales of our product candidates,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market acceptance of our product candidates by patients, the medical community, and government and private third</w:t>
        <w:noBreakHyphen/>
        <w:t>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appropriate reimbursement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effectively compete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a continued acceptable safety profile of our product candidates following launch.</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Potential conflicts of interest exist with respect to the intellectual property rights that we license from an entity owned by our Chief Executive Officer and Chairman of the Board, and it is possible that our interests and their interests may diverge.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growth may depend on our ability to identify and develop product candidates, and if we do not successfully identify and develop product candidates or integrate them into our operations, we may have limited growth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difficulty or inability to secure financing to fund business activities for such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 of our business and diversion of our management’s time and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higher than expected development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difficulty in managing multiple product development programs;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successfully develop new products or clinical failure.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our prior efforts have resulted in our decision not to further develop certain product candidates that, at one time, appeared to be promising. Likewise, we received a CRL from the FDA relating to the Company’s AXS-07 portfolio product in 2022 (we have since resubmitted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noBreakHyphen/>
        <w:t>wide warnings. For instance, antidepressants, including Auvelity, include a class</w:t>
        <w:noBreakHyphen/>
        <w:t>wide black box warning regarding the increased risk of suicidal thoughts and behavior.</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 NDA submitted under Section 505(b)(2) subjects us to the risk that we may be subject to a patent infringement lawsuit or regulatory actions that would delay or prevent the review or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months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noBreakHyphen/>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noBreakHyphen/>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or IRBs may not authorize us or our investigators to commence a clinical trial or conduct a clinical trial at a prospective trial site or amend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 and our CROs;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w:t>
        <w:noBreakHyphen/>
        <w:t>party contractors may fail to comply with regulatory requirements or the clinical trial protocol, or meet their contractual obligations to us in a timely manner, or at all, or we may be required to engage in additional clinical trial site monitoring;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marketing approval policies during the development period rendering our data insufficient to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or the enactment of additional statutes or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regulatory review for each submitted product application;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 or we may have insufficient funds for a clinical trial or to pay the substantial user fees required by the FDA upon the filing of an NDA;</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fail to reach an agreement with regulators regarding the scope or design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delays in adding new investigators or clinical trial sites, or we may experience a withdrawal of clinical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regulatory questions regarding interpretations of data and results, or new information may emerge regarding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data from studies with clinical trial sites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our manufacturing facilities for clinical and future commercial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CMC data necessary for our NDA filing and approval, we will need to conduct stability studies and provide stability data to establish appropriate retest or expiration dating periods;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demonstrate sufficient long-term stability to support an NDA filing or obtain approval, or the product shelf life may be limited by stability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delays in the FDA’s ability to conduct necessary Pre-Approval Inspections, or PAIs, and more generally the FDA or comparable foreign regulatory authorities may take longer than we anticipate to make a decision on our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demonstrate that a product candidate provides an advantage over current standards of care or current or future competitive therapies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are not covered by our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subject to additional post</w:t>
        <w:noBreakHyphen/>
        <w:t>marketing testing and surveillance requirements, including REMS;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cannot demonstrate an acceptable safety and toxicity profile for our product candidates, we will not be able to continue our clinical trials of or obtain approval for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preclinical or nonclinical testing may produce inconclusive or negative safety results, which may require us to conduct additional nonclinical testing or to abandon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have unfavorable pharmacology or toxicity characteristics or suggest possible drug-drug interaction;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cause undesirable side effects;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may determine that additional safety testing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events would increase our costs and could delay or prevent our ability to commercialize our product candidates, which could adversely impact our business, financial condition and results of operation.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FDA may determine that any of our current or future product candidates have undesirable side effects that could delay or prevent their regulatory approval or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noBreakHyphen/>
        <w:t>marketing testing and surveillance, or other requirements, including REMS, to monitor the safety or efficacy of the products, and in turn prevent us from commercializing and generating revenues from the sale of any of our current or future product candidates.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noBreakHyphen/>
        <w:t>containing or rizatriptan-containing products including Anjeso, Vivlodex, Mobic, and Maxalt.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noBreakHyphen/>
        <w:t>benefit perspective. The drug</w:t>
        <w:noBreakHyphen/>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eligibility criteria for, and design of, the clinical trial in question, including factors such as frequency of required assessments, length of the study, and ongoing monitoring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 including the potential advantages or disadvantages of the product candidate being studied in relation to other available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recruiting and enrolling patients in clinical trials;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effectiveness of publicity created by clinical trial sites regarding the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ability to comply with the specific instructions related to the trial protocol, proper documentation, and use of the drug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obtain or maintain patient informed consents;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that enrolled patients will drop out before completion;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identify patients for enrollment and maintain a sufficient level of patient participants in our clinical studies;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Development of combination product candidates may present more or different challenges than development of single agent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product candidate manufacturing or formulation may result in additional costs or delay.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obtain marketing approval in international jurisdictions would prevent our products from being marketed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the European Union, or EU, and many other jurisdictions, we or our third</w:t>
        <w:noBreakHyphen/>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noBreakHyphen/>
        <w:t>label” uses, resulting in damage to our reputation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noBreakHyphen/>
        <w:t>label uses, and our business may be adversely affected. We further must be able to sufficiently substantiate any claims that we make for our products including claims comparing our products to other companies’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noBreakHyphen/>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noBreakHyphen/>
        <w:t>label use.</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noBreakHyphen/>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noBreakHyphen/>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engaging in the impermissible promotion of our products, following approval, for off</w:t>
        <w:noBreakHyphen/>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noBreakHyphen/>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manufacturing or distribution, or marketing of such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labeling, including required additional warnings, such as black box warnings, contraindications, precautions, and restrictions on the approved indication or 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modifications to promotional pieces;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to conduct post</w:t>
        <w:noBreakHyphen/>
        <w:t>marketing studies or clinical trials; clinical holds or termination of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the way the drug is administered;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harm caused to patients or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reputational harm;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becoming less competitive;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of marketing or withdrawal of the products from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authority issuance of safety alerts, Dear Healthcare Provider letters, press releases, or other communications containing warnings or other safety information about the drug;</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fines, damages, restitution, or disgorgement of profits or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seizure or detention;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debarment, debarment from government contracts, and refusal of future orders under existing contracts, exclusion from federal healthcare programs, consent decrees, or corporate integrity agreements;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 or the imposition of civil or criminal penalties, including imprisonment.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 above actions take place, they could adversely affect our ability to achieve or sustain profitability. Further, the cost of compliance with post</w:t>
        <w:noBreakHyphen/>
        <w:t>approval regulations may have a negative effect on our operating results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variety of risks associated with international operations could materially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different regulatory requirements for approval of drugs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so</w:t>
        <w:noBreakHyphen/>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unexpected changes in tariffs, trade barriers, and regulatory requirements and in the health care policies of foreign jurisdictions;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 and worker rights tend to be stronger;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of compliance with U.S. laws and regulations for foreign operations, including the Foreign Corrupt Practices Act or comparable foreign regulations, and the risks and costs of noncompliance;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obtain FDA approval (and that of comparable foreign regulatory authorities) of any proposed product names, and any failure or delay associated with such approval may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COMMERCIALIZATION OF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Otsuka Pharmaceutical Co. Ltd.; Pfizer Inc.; Relmada Therapeutics Inc.; Sage Therapeutics, Inc.; and Takeda Pharmaceutical Company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noBreakHyphen/>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noBreakHyphen/>
        <w:t>party payors. Thus, following the introduction of a generic drug, a significant percentage of the sales of any branded product or reference listed drug is typically lost to the generic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we do not file a patent infringement lawsuit against a generic manufacturer within 45 days of receiving notice of its paragraph IV certification, the ANDA or 505(b)(2) applicant may not be subject to a 30</w:t>
        <w:noBreakHyphen/>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AXS-12 received Orphan Drug Designation from FDA for the treatment of narcolepsy. We may also seek Orphan Drug Designation for our other products, as appropriate.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establish effective marketing, sales and distribution capabilities or enter into agreements with third parties to market, sell and distribute our products, we may be unable to generate substantial 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recruit, train, manage, and retain adequate numbers of effective sales and marketing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persuade adequate numbers of physicians to prescribe any of our current or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effectively oversee a geographically dispersed sales and marketing team;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of federal and state drug distribution and supply chain requirements to our business;</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training sales and marketing personnel on legal and regulatory compliance matters and monitoring their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inability to secure adequate coverage and reimbursement by government and private health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and labeled claims for which the product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distribution and use restrictions imposed by the FDA or to which we agree as part of a mandatory REMS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sales or marketing personnel who fail to comply with the applicable legal and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or engaging a contract sales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our products do not achieve broad market acceptance, the revenues that we generate from their sales will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prevalence and severity of adverse events associated with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the product is approved and the approved claims that we may make for the product;</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limitations or warnings contained in the product’s FDA</w:t>
        <w:noBreakHyphen/>
        <w:t>approved labeling, including potential limitations or warnings for such product candidate, that may be more restrictive than other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 which could reduce the marketing impact of any claims that we could make following FDA approval, if obtained;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relative convenience and ease of administration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treatment versus economic and clinical benefit in relation to alternative treatments or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adequate coverage or reimbursement by third parties, such as insurance companies and other healthcare payors, and by government healthcare programs, including Medicare and Medicaid;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third-party payors to prefer similar but less expensive products even if not approved for our product’s indication;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safety, efficacy, and other potential advantages over, and availability of, alternative treatments already used or that may later be approved for any of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distribution and use restrictions imposed by the FDA with respect to such product or to which we agree as part of a mandatory risk evaluation and mitigation strategy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market introduction of such product,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offer such product candidate for sale at competitive prices, including prices that are competitive with generic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and strength of our third</w:t>
        <w:noBreakHyphen/>
        <w:t>party manufacturer and supplier support;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educate the medical community and third</w:t>
        <w:noBreakHyphen/>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market opportunities for our products and/or product candidates are difficult to precisely estimate. Our estimates of the potential market opportunities are predicated on many assumptions including industry knowledge and publications, third</w:t>
        <w:noBreakHyphen/>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potential product liability exposure, and if successful claims are brought against us, we may incur substantial liability and may have to limit our products’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our business reputation or financial stability;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of related litigation;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withdrawal of clinical trial participants and potential termination of clinical trial sites or entire clinical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negative media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 in our stock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initiation of investigations and enforcement actions by regulators;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w:t>
        <w:noBreakHyphen/>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when we submit an NDA for review, we are required to report certain financial interests of our third</w:t>
        <w:noBreakHyphen/>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noBreakHyphen/>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noBreakHyphen/>
        <w:t>party manufacturers may breach, terminate, or not renew these agreements.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or delays we experience in preparing for commercial</w:t>
        <w:noBreakHyphen/>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number of contract manufacturers for our products. At times we may have only one manufacturer for a product. In addition, we do not have any long</w:t>
        <w:noBreakHyphen/>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collaboration arrangements that we are a party to or may enter into in the future may not be successful, which could adversely affect our ability to develop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could fail to make timely regulatory submissions for a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comply with all applicable regulatory requirements or may fail to report safety data in accordance with all applicable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and costly to protect our proprietary rights, and, as a result, we may not be able to ensure their protection. In addition, patents have a limited lifespan and will eventually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noBreakHyphen/>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been the first to conceive of and reduce to practice the inventions covered by each of our pending patent applications and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been the first to file patent applications for these inventions;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product candidates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none of the pending patent applications will result in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issued patents may not cover commercially viable active products, may not provide us with any competitive advantages, or may be successfully challenged by third parties;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of others may have an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noBreakHyphen/>
        <w:t>U.S. patent agencies for the patents and patent applications we own and those that we in</w:t>
        <w:noBreakHyphen/>
        <w:t>license. We also employ reputable law firms and other professionals to help us comply with the various documentary and other procedural requirements with respect to the patents and patent applications that we own and those that we in</w:t>
        <w:noBreakHyphen/>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future collaboration partner are sued for infringing intellectual property rights of third parties, it will be costly and time consuming, and an unfavorable outcome in any litigation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third-party claims that we infringe their intellectual property rights, we could face a number of issues,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and other intellectual property claims which, whether meritorious or not, can be expensive and time consuming to litigate and can divert management’s attention from our core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damages for past infringement which we may have to pay if a court decides that our product infringes on a competitor’s patent;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court prohibiting us from selling or licensing our product unless the patent holder licenses the patent to us, which it would not be required to do;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license is available from a patent holder, we may have to pay substantial royalties or grant cross licenses to our patents;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redesigning our products and processes so they do not infringe, which may not be possible or could require substantial funds and time.</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noBreakHyphen/>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 consuming, and unsuccessful.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noBreakHyphen/>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our employees, independent contractors, or consultants have wrongfully used or disclosed alleged trade secrets of their former employers or other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adequately prevent disclosure of trade secrets and other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trade secrets to protect our proprietary technological advances and know</w:t>
        <w:noBreakHyphen/>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noBreakHyphen/>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our licensors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LEGAL AND COMPLIANCE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pharmaceutical company, we are subject to many federal and state healthcare laws, including those described in the “Business—Government Regulation and Product Approval” section of our Annual Report on Form 10-K filed with the SEC on February 23, 2024, such as the federal Anti-Kickback Statute, the federal civil and criminal False Claims Act, the civil monetary penalties statute, the Medicaid Drug Rebate statute and other price reporting requirements, the Veterans Health Care Act of 1992, the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new legislation, regulatory proposals, and healthcare payor initiatives that may increase our costs of compliance, and adversely affect our ability to market our products, obtain collaborators, and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w:t>
        <w:noBreakHyphen/>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w:t>
      </w:r>
      <w:r>
        <w:rPr>
          <w:rFonts w:ascii="Times New Roman" w:hAnsi="Times New Roman"/>
          <w:i/>
          <w:color w:val="000000"/>
          <w:sz w:val="20"/>
        </w:rPr>
        <w:t>Loper Bright Enterprises v. Raimondo</w:t>
      </w:r>
      <w:r>
        <w:rPr>
          <w:rFonts w:ascii="Times New Roman" w:hAnsi="Times New Roman"/>
          <w:color w:val="000000"/>
          <w:sz w:val="20"/>
        </w:rPr>
        <w:t xml:space="preserve">, 603 U.S. ___ (2024) and </w:t>
      </w:r>
      <w:r>
        <w:rPr>
          <w:rFonts w:ascii="Times New Roman" w:hAnsi="Times New Roman"/>
          <w:i/>
          <w:color w:val="000000"/>
          <w:sz w:val="20"/>
        </w:rPr>
        <w:t>Corner Post, Inc. v. Board of Governors of the Federal Reserve System</w:t>
      </w:r>
      <w:r>
        <w:rPr>
          <w:rFonts w:ascii="Times New Roman" w:hAnsi="Times New Roman"/>
          <w:color w:val="000000"/>
          <w:sz w:val="20"/>
        </w:rPr>
        <w:t xml:space="preserve">, 603 U.S. ___ (2024), will impact the FDA’s enforcement and decision-making authority. </w:t>
      </w:r>
      <w:r>
        <w:rPr>
          <w:rFonts w:ascii="Times New Roman" w:hAnsi="Times New Roman"/>
          <w:i/>
          <w:color w:val="000000"/>
          <w:sz w:val="20"/>
        </w:rPr>
        <w:t>Loper Bright</w:t>
      </w:r>
      <w:r>
        <w:rPr>
          <w:rFonts w:ascii="Times New Roman" w:hAnsi="Times New Roman"/>
          <w:color w:val="000000"/>
          <w:sz w:val="20"/>
        </w:rPr>
        <w:t xml:space="preserve"> explicitly overturned </w:t>
      </w:r>
      <w:r>
        <w:rPr>
          <w:rFonts w:ascii="Times New Roman" w:hAnsi="Times New Roman"/>
          <w:i/>
          <w:color w:val="000000"/>
          <w:sz w:val="20"/>
        </w:rPr>
        <w:t>Chevron</w:t>
      </w:r>
      <w:r>
        <w:rPr>
          <w:rFonts w:ascii="Times New Roman" w:hAnsi="Times New Roman"/>
          <w:color w:val="000000"/>
          <w:sz w:val="20"/>
        </w:rPr>
        <w:t xml:space="preserve"> deference, which previously gave judicial deference to administrative action by agencies in the executive branch. Furthermore, the Supreme Court’s decision in </w:t>
      </w:r>
      <w:r>
        <w:rPr>
          <w:rFonts w:ascii="Times New Roman" w:hAnsi="Times New Roman"/>
          <w:i/>
          <w:color w:val="000000"/>
          <w:sz w:val="20"/>
        </w:rPr>
        <w:t>Corner Post</w:t>
      </w:r>
      <w:r>
        <w:rPr>
          <w:rFonts w:ascii="Times New Roman" w:hAnsi="Times New Roman"/>
          <w:color w:val="000000"/>
          <w:sz w:val="20"/>
        </w:rPr>
        <w:t xml:space="preserve"> may result in challenges to FDA decisions by new litigants long into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of 2022, or the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noBreakHyphen/>
        <w:t>effectiveness of our product candidate to other available therapies. There can be no assurance that our products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third</w:t>
        <w:noBreakHyphen/>
        <w:t>party manufacturers may use hazardous materials in the production of our products and if so, they must comply with environmental laws and regulations, which can be expensive and restrict how we or they do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activities for the production of our products involve the controlled storage, use, and disposal of hazardous materials, including the components of our products, and other hazardous compounds. Our third</w:t>
        <w:noBreakHyphen/>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noBreakHyphen/>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29, 2024, we had 589 full</w:t>
        <w:noBreakHyphen/>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the hiring and training of personnel for our commercial organization, and maintain appropriate systems, policies and infrastructure to support that organization;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ensure that our consultants and other service providers successfully carry out their contractual obligations, provide high quality results, and meet expected deadlines;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carry out our own contractual obligations to our licensors and other third parties;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improve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successfully implement these tasks on a larger scale and, accordingly, may not achieve our development and commercialization goals.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continued growth could strain our personnel resources and infrastructure, and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acquire businesses or products, or form strategic alliances in the future, and we may not realize the benefits of such acquisitions or alliances.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manage our business effectively if we are unable to attract and retain key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Environmental, social and governance matters may impact our business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the commencement, enrollment, and ultimate completion, of our planned and ongoing Phase 3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refusal on the part of the FDA in approving an NDA for any of our current and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and stock price performance of other companies that investors deem comparable to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news relating to our industry as a whole and news relating to trends in our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clinical trials of any of our current and future product candidates or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meet or exceed financial projections we provide to the public,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meet or exceed the estimates and projections of the investment community, including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introduction of competitive products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or developments in laws or regulations applicable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and market conditions and overall fluctuations in U.S. equity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or security breaches;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concerning our sources of manufacturing supply, warehousing, and inventory control;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or other developments relating to patents or other proprietary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commitments;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and expectations of additional financing efforts, including the issuance of debt, equity or convertible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our common stock, including sales by our directors and officers or significant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market valuations of companies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or divestitures;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conditions or trends in our industry;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quarterly operating results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FDA requires us to complete additional, unanticipated studies, tests, or other activities prior to approving any of our current and future product candidates, which may delay any such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identify and enter into third</w:t>
        <w:noBreakHyphen/>
        <w:t>party manufacturing arrangements capable of manufacturing any of our current or future product candidates in commercial quantities;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execution of other collaborative, licensing, or similar arrangements and the timing of payments we may make or receive under these arrangements;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the level of expenses related to our future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liability or intellectual property infringement lawsuit in which we may become involved;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developments affecting our current products, or the products of our competitors;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underlying demand for our products</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funds by issuing securities may cause dilution to existing stockholders and raising funds through lending and licensing arrangements may restrict our operations or require us to relinquish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29, 2024,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by our existing stockholders could cause our stock price to fall.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29, 2024, we have outstanding 48,000,205 shares of common stock and 10,021,978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40,407,846 are freely tradable. The remainder of the outstanding shares of common stock are held by our affiliates and may be considered “control securities” for purposes of Rule 144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filed, or will soon file, one or more registration statements on Form S</w:t>
        <w:noBreakHyphen/>
        <w:t>8 registering the issuance of an aggregate of 15,600,010 shares of common stock subject to options or other equity awards issued or reserved for issuance under our 2015 Omnibus Incentive Compensation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management will have broad discretion in the use of the net proceeds from our capital raises, including the proceeds from sales pursuant to our Sales Agreement, and may not use them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use of our net operating loss carryforwards and research tax credits may be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net operating loss carryforwards and any future research and development tax credits may expire and not be used. As of December 31, 2023, we had U.S. federal net operating loss, NOL, carryforwards of approximately $547.1 million and foreign NOL carryforwards of $0.7 million. U.S. federal net operating loss carry forwards amounting to $59.8 million generated before the 2018 tax year will start expiring beginning 2032, if we have not used them prior to that time, and the U.S. federal net operating losses of approximately $487.3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do not intend to pay dividends on our common stock, returns for our stockholders will be limited to any increase in the value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subject to the anti</w:t>
        <w:noBreakHyphen/>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pStyle w:val="TextBody"/>
        <w:bidi w:val="0"/>
        <w:spacing w:before="240" w:after="283"/>
        <w:jc w:val="left"/>
        <w:rPr>
          <w:rFonts w:ascii="Times New Roman" w:hAnsi="Times New Roman"/>
          <w:b/>
          <w:color w:val="000000"/>
          <w:sz w:val="20"/>
        </w:rPr>
      </w:pPr>
      <w:bookmarkStart w:id="13" w:name="item_5_other_information"/>
      <w:bookmarkEnd w:id="13"/>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2024,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pStyle w:val="TextBody"/>
        <w:bidi w:val="0"/>
        <w:spacing w:before="240" w:after="240"/>
        <w:jc w:val="left"/>
        <w:rPr>
          <w:rFonts w:ascii="Times New Roman" w:hAnsi="Times New Roman"/>
          <w:b/>
          <w:color w:val="000000"/>
          <w:sz w:val="20"/>
          <w:u w:val="single"/>
        </w:rPr>
      </w:pPr>
      <w:r>
        <w:rPr>
          <w:rFonts w:ascii="Times New Roman" w:hAnsi="Times New Roman"/>
          <w:b/>
          <w:color w:val="000000"/>
          <w:sz w:val="20"/>
          <w:u w:val="single"/>
        </w:rPr>
        <w:t>Adopted</w:t>
      </w:r>
    </w:p>
    <w:tbl>
      <w:tblPr>
        <w:tblW w:w="10205" w:type="dxa"/>
        <w:jc w:val="left"/>
        <w:tblInd w:w="0" w:type="dxa"/>
        <w:tblLayout w:type="fixed"/>
        <w:tblCellMar>
          <w:top w:w="28" w:type="dxa"/>
          <w:left w:w="28" w:type="dxa"/>
          <w:bottom w:w="28" w:type="dxa"/>
          <w:right w:w="28" w:type="dxa"/>
        </w:tblCellMar>
      </w:tblPr>
      <w:tblGrid>
        <w:gridCol w:w="1010"/>
        <w:gridCol w:w="1233"/>
        <w:gridCol w:w="2339"/>
        <w:gridCol w:w="2503"/>
        <w:gridCol w:w="3120"/>
      </w:tblGrid>
      <w:tr>
        <w:trPr/>
        <w:tc>
          <w:tcPr>
            <w:tcW w:w="101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r>
      <w:tr>
        <w:trPr/>
        <w:tc>
          <w:tcPr>
            <w:tcW w:w="1010"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233"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2339"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Date of Adoption of Rule 10b5-1 Trading Arrangement</w:t>
            </w:r>
            <w:r>
              <w:rPr>
                <w:rFonts w:ascii="Times New Roman" w:hAnsi="Times New Roman"/>
                <w:b/>
                <w:color w:val="000000"/>
                <w:sz w:val="13"/>
              </w:rPr>
              <w:t>(1)</w:t>
            </w:r>
          </w:p>
        </w:tc>
        <w:tc>
          <w:tcPr>
            <w:tcW w:w="2503"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Scheduled Expiration Date of Rule 10b5-1 Trading Arrangement</w:t>
            </w:r>
          </w:p>
        </w:tc>
        <w:tc>
          <w:tcPr>
            <w:tcW w:w="3120"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 to Be Sold</w:t>
            </w:r>
          </w:p>
        </w:tc>
      </w:tr>
      <w:tr>
        <w:trPr/>
        <w:tc>
          <w:tcPr>
            <w:tcW w:w="1010"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Jacobson</w:t>
            </w:r>
          </w:p>
        </w:tc>
        <w:tc>
          <w:tcPr>
            <w:tcW w:w="1233"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c>
          <w:tcPr>
            <w:tcW w:w="2339"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May 10, 2024</w:t>
            </w:r>
            <w:r>
              <w:rPr>
                <w:rFonts w:ascii="Times New Roman" w:hAnsi="Times New Roman"/>
                <w:color w:val="000000"/>
                <w:sz w:val="13"/>
              </w:rPr>
              <w:t>(2)</w:t>
            </w:r>
          </w:p>
        </w:tc>
        <w:tc>
          <w:tcPr>
            <w:tcW w:w="2503"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120"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80,575 shares of common stock pursuant to the exercise of non-qualified stock options</w:t>
            </w:r>
          </w:p>
        </w:tc>
      </w:tr>
    </w:tbl>
    <w:p>
      <w:pPr>
        <w:pStyle w:val="TextBody"/>
        <w:bidi w:val="0"/>
        <w:spacing w:before="80" w:after="283"/>
        <w:jc w:val="left"/>
        <w:rPr>
          <w:rFonts w:ascii="Times New Roman" w:hAnsi="Times New Roman"/>
          <w:sz w:val="20"/>
        </w:rPr>
      </w:pPr>
      <w:r>
        <w:rPr>
          <w:rFonts w:ascii="Times New Roman" w:hAnsi="Times New Roman"/>
          <w:color w:val="000000"/>
          <w:sz w:val="16"/>
        </w:rPr>
        <w:t>(1) Date of adoption of Rule 10b5-1 trading arrangements is in accordance with both the Company’s insider trading policy and applicable SEC rules and regulations.</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(2) The first trade pursuant to the Rule 10b5-1 trading arrangement will be, in accordance with both the Company’s insider trading policy and applicable SEC rules and regulations, on a date after the date of adoption of the Rule 10b5-1 trading arrangement.</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b/>
          <w:color w:val="000000"/>
          <w:sz w:val="20"/>
          <w:u w:val="single"/>
        </w:rPr>
      </w:pPr>
      <w:r>
        <w:rPr>
          <w:rFonts w:ascii="Times New Roman" w:hAnsi="Times New Roman"/>
          <w:b/>
          <w:color w:val="000000"/>
          <w:sz w:val="20"/>
          <w:u w:val="single"/>
        </w:rPr>
        <w:t>Terminated</w:t>
      </w:r>
    </w:p>
    <w:tbl>
      <w:tblPr>
        <w:tblW w:w="10205" w:type="dxa"/>
        <w:jc w:val="left"/>
        <w:tblInd w:w="0" w:type="dxa"/>
        <w:tblLayout w:type="fixed"/>
        <w:tblCellMar>
          <w:top w:w="28" w:type="dxa"/>
          <w:left w:w="28" w:type="dxa"/>
          <w:bottom w:w="28" w:type="dxa"/>
          <w:right w:w="28" w:type="dxa"/>
        </w:tblCellMar>
      </w:tblPr>
      <w:tblGrid>
        <w:gridCol w:w="968"/>
        <w:gridCol w:w="1137"/>
        <w:gridCol w:w="2168"/>
        <w:gridCol w:w="2124"/>
        <w:gridCol w:w="3808"/>
      </w:tblGrid>
      <w:tr>
        <w:trPr/>
        <w:tc>
          <w:tcPr>
            <w:tcW w:w="96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968"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137"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2168"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Date of Termination</w:t>
            </w:r>
            <w:r>
              <w:rPr>
                <w:rFonts w:ascii="Times New Roman" w:hAnsi="Times New Roman"/>
                <w:color w:val="000000"/>
                <w:sz w:val="20"/>
              </w:rPr>
              <w:t> </w:t>
            </w:r>
            <w:r>
              <w:rPr>
                <w:rFonts w:ascii="Times New Roman" w:hAnsi="Times New Roman"/>
                <w:b/>
                <w:color w:val="000000"/>
                <w:sz w:val="20"/>
              </w:rPr>
              <w:t>of Rule 10b5-1 Trading Arrangement</w:t>
            </w:r>
            <w:r>
              <w:rPr>
                <w:rFonts w:ascii="Times New Roman" w:hAnsi="Times New Roman"/>
                <w:b/>
                <w:color w:val="000000"/>
                <w:sz w:val="13"/>
              </w:rPr>
              <w:t>(1)</w:t>
            </w:r>
          </w:p>
        </w:tc>
        <w:tc>
          <w:tcPr>
            <w:tcW w:w="2124"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Scheduled Expiration Date of Rule 10b5-1 Trading Arrangement</w:t>
            </w:r>
          </w:p>
        </w:tc>
        <w:tc>
          <w:tcPr>
            <w:tcW w:w="3808"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 Number of Securities to Be Sold</w:t>
            </w:r>
          </w:p>
        </w:tc>
      </w:tr>
      <w:tr>
        <w:trPr/>
        <w:tc>
          <w:tcPr>
            <w:tcW w:w="968"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Jacobson</w:t>
            </w:r>
          </w:p>
        </w:tc>
        <w:tc>
          <w:tcPr>
            <w:tcW w:w="1137"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c>
          <w:tcPr>
            <w:tcW w:w="216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May 10, 2024</w:t>
            </w:r>
            <w:r>
              <w:rPr>
                <w:rFonts w:ascii="Times New Roman" w:hAnsi="Times New Roman"/>
                <w:color w:val="000000"/>
                <w:sz w:val="13"/>
              </w:rPr>
              <w:t>(2)</w:t>
            </w:r>
          </w:p>
        </w:tc>
        <w:tc>
          <w:tcPr>
            <w:tcW w:w="2124"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29, 2024</w:t>
            </w:r>
          </w:p>
        </w:tc>
        <w:tc>
          <w:tcPr>
            <w:tcW w:w="3808"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Up to 86,094 shares of common stock pursuant to the exercise of non-qualified stock options immediately prior to the 10-year expiration dates of such options in 2024</w:t>
            </w:r>
            <w:r>
              <w:rPr>
                <w:rFonts w:ascii="Times New Roman" w:hAnsi="Times New Roman"/>
                <w:color w:val="000000"/>
                <w:sz w:val="13"/>
              </w:rPr>
              <w:t>(3)</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(1) Date of termination of Rule 10b5-1 trading arrangements is in accordance with both the Company’s insider trading policy and applicable SEC rules and regulations.</w:t>
      </w:r>
    </w:p>
    <w:p>
      <w:pPr>
        <w:pStyle w:val="TextBody"/>
        <w:bidi w:val="0"/>
        <w:jc w:val="left"/>
        <w:rPr>
          <w:rFonts w:ascii="Times New Roman" w:hAnsi="Times New Roman"/>
          <w:color w:val="000000"/>
          <w:sz w:val="16"/>
        </w:rPr>
      </w:pPr>
      <w:r>
        <w:rPr>
          <w:rFonts w:ascii="Times New Roman" w:hAnsi="Times New Roman"/>
          <w:color w:val="000000"/>
          <w:sz w:val="16"/>
        </w:rPr>
        <w:t>(2) The date of adoption of this Rule 10b5-1 trading arrangement was August 15, 2023. The first trade pursuant to the Rule 10b5-1 trading arrangement was, in accordance with both the Company’s insider trading policy and applicable SEC rules and regulations, on a date after the date of adoption of the Rule 10b5-1 trading arrangement.</w:t>
      </w:r>
    </w:p>
    <w:p>
      <w:pPr>
        <w:pStyle w:val="TextBody"/>
        <w:bidi w:val="0"/>
        <w:jc w:val="left"/>
        <w:rPr>
          <w:rFonts w:ascii="Times New Roman" w:hAnsi="Times New Roman"/>
          <w:sz w:val="20"/>
        </w:rPr>
      </w:pPr>
      <w:r>
        <w:rPr>
          <w:rFonts w:ascii="Times New Roman" w:hAnsi="Times New Roman"/>
          <w:color w:val="000000"/>
          <w:sz w:val="16"/>
        </w:rPr>
        <w:t>(3) Prior to its termination, 38,355</w:t>
      </w:r>
      <w:r>
        <w:rPr>
          <w:rFonts w:ascii="Times New Roman" w:hAnsi="Times New Roman"/>
          <w:color w:val="000000"/>
          <w:sz w:val="20"/>
        </w:rPr>
        <w:t xml:space="preserve"> </w:t>
      </w:r>
      <w:r>
        <w:rPr>
          <w:rFonts w:ascii="Times New Roman" w:hAnsi="Times New Roman"/>
          <w:color w:val="000000"/>
          <w:sz w:val="16"/>
        </w:rPr>
        <w:t>shares of common stock pursuant to the exercise of non-qualified stock options were sold pursuant to this Rule 10b5-1 trading arrangement.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4" w:name="item_6_exhibits"/>
      <w:bookmarkEnd w:id="14"/>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filed as part of this Quarterly Report on Form 10-Q are set forth on the Exhibit Index, which is incorporated herein by reference.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OF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146"/>
        <w:gridCol w:w="9261"/>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1" w:type="dxa"/>
            <w:tcBorders/>
            <w:vAlign w:val="center"/>
          </w:tcPr>
          <w:p>
            <w:pPr>
              <w:pStyle w:val="TableContents"/>
              <w:bidi w:val="0"/>
              <w:spacing w:before="0" w:after="283"/>
              <w:jc w:val="left"/>
              <w:rPr>
                <w:sz w:val="4"/>
                <w:szCs w:val="4"/>
              </w:rPr>
            </w:pPr>
            <w:r>
              <w:rPr>
                <w:sz w:val="4"/>
                <w:szCs w:val="4"/>
              </w:rPr>
            </w:r>
          </w:p>
        </w:tc>
      </w:tr>
      <w:tr>
        <w:trPr/>
        <w:tc>
          <w:tcPr>
            <w:tcW w:w="798"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hyperlink w:anchor="axsm-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hyperlink w:anchor="axsm-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hyperlink w:anchor="axsm-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 (furnished herewith).</w:t>
              </w:r>
            </w:hyperlink>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hyperlink w:anchor="axsm-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 (furnished herewith).</w:t>
              </w:r>
            </w:hyperlink>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r>
        <w:trPr/>
        <w:tc>
          <w:tcPr>
            <w:tcW w:w="7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26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herewith.</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958" w:type="dxa"/>
        <w:jc w:val="left"/>
        <w:tblInd w:w="0" w:type="dxa"/>
        <w:tblLayout w:type="fixed"/>
        <w:tblCellMar>
          <w:top w:w="28" w:type="dxa"/>
          <w:left w:w="28" w:type="dxa"/>
          <w:bottom w:w="28" w:type="dxa"/>
          <w:right w:w="28" w:type="dxa"/>
        </w:tblCellMar>
      </w:tblPr>
      <w:tblGrid>
        <w:gridCol w:w="1846"/>
        <w:gridCol w:w="3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pPr>
            <w:r>
              <w:rPr/>
              <w:t> </w:t>
            </w:r>
          </w:p>
        </w:tc>
        <w:tc>
          <w:tcPr>
            <w:tcW w:w="411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AXSOME THERAPEUTICS, INC.</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3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Herriot Tabuteau, M.D.</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3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Pizzie</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Pizzie</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bookmarkStart w:id="16" w:name="axsm-ex31_1.htm"/>
      <w:bookmarkStart w:id="17" w:name="ksaxsmex31_1"/>
      <w:bookmarkEnd w:id="16"/>
      <w:bookmarkEnd w:id="17"/>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Herriot Tabuteau, M.D., certify that: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42" w:type="dxa"/>
        <w:jc w:val="left"/>
        <w:tblInd w:w="0" w:type="dxa"/>
        <w:tblLayout w:type="fixed"/>
        <w:tblCellMar>
          <w:top w:w="28" w:type="dxa"/>
          <w:left w:w="28" w:type="dxa"/>
          <w:bottom w:w="28" w:type="dxa"/>
          <w:right w:w="28" w:type="dxa"/>
        </w:tblCellMar>
      </w:tblPr>
      <w:tblGrid>
        <w:gridCol w:w="1651"/>
        <w:gridCol w:w="2191"/>
      </w:tblGrid>
      <w:tr>
        <w:trPr/>
        <w:tc>
          <w:tcPr>
            <w:tcW w:w="16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pPr>
            <w:r>
              <w:rPr/>
              <w:t> </w:t>
            </w:r>
          </w:p>
        </w:tc>
      </w:tr>
      <w:tr>
        <w:trPr/>
        <w:tc>
          <w:tcPr>
            <w:tcW w:w="16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2024</w:t>
            </w:r>
          </w:p>
        </w:tc>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Herriot Tabuteau, M.D.</w:t>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Herriot Tabuteau, M.D.</w:t>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Chief Executive Officer </w:t>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axsm-ex31_2.htm"/>
      <w:bookmarkStart w:id="19" w:name="ksaxsmex31_2"/>
      <w:bookmarkEnd w:id="18"/>
      <w:bookmarkEnd w:id="19"/>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Nick Pizzie, certify that: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1651"/>
        <w:gridCol w:w="3316"/>
      </w:tblGrid>
      <w:tr>
        <w:trPr/>
        <w:tc>
          <w:tcPr>
            <w:tcW w:w="165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6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2024</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Nick Pizzie</w:t>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Nick Pizzie</w:t>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axsm-ex32_1.htm"/>
      <w:bookmarkStart w:id="21" w:name="ksaxsmex32_1"/>
      <w:bookmarkEnd w:id="20"/>
      <w:bookmarkEnd w:id="21"/>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EXECUTIVE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of Axsome Therapeutics, Inc. (the “Company”) on Form 10-Q for the quarter ended June 30, 2024 as filed with the Securities and Exchange Commission (the “Report”), I, Herriot Tabuteau, M.D., Chief Executive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3842" w:type="dxa"/>
        <w:jc w:val="left"/>
        <w:tblInd w:w="0" w:type="dxa"/>
        <w:tblLayout w:type="fixed"/>
        <w:tblCellMar>
          <w:top w:w="28" w:type="dxa"/>
          <w:left w:w="28" w:type="dxa"/>
          <w:bottom w:w="28" w:type="dxa"/>
          <w:right w:w="28" w:type="dxa"/>
        </w:tblCellMar>
      </w:tblPr>
      <w:tblGrid>
        <w:gridCol w:w="1651"/>
        <w:gridCol w:w="2191"/>
      </w:tblGrid>
      <w:tr>
        <w:trPr/>
        <w:tc>
          <w:tcPr>
            <w:tcW w:w="16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pPr>
            <w:r>
              <w:rPr/>
              <w:t> </w:t>
            </w:r>
          </w:p>
        </w:tc>
      </w:tr>
      <w:tr>
        <w:trPr/>
        <w:tc>
          <w:tcPr>
            <w:tcW w:w="16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2024</w:t>
            </w:r>
          </w:p>
        </w:tc>
        <w:tc>
          <w:tcPr>
            <w:tcW w:w="219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Herriot Tabuteau, M.D.</w:t>
            </w:r>
          </w:p>
        </w:tc>
      </w:tr>
      <w:tr>
        <w:trPr/>
        <w:tc>
          <w:tcPr>
            <w:tcW w:w="1651"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Herriot Tabuteau, M.D.</w:t>
              <w:br/>
              <w:t>Chief Executive Officer</w:t>
              <w:b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axsm-ex32_2.htm"/>
      <w:bookmarkStart w:id="23" w:name="ksaxsmex32_2"/>
      <w:bookmarkEnd w:id="22"/>
      <w:bookmarkEnd w:id="23"/>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FINANCIAL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of Axsome Therapeutics, Inc. (the “Company”) on Form 10-Q for the quarter ended June 30, 2024 as filed with the Securities and Exchange Commission (the “Report”), I, Nick Pizzie, Chief Financial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1651"/>
        <w:gridCol w:w="3316"/>
      </w:tblGrid>
      <w:tr>
        <w:trPr/>
        <w:tc>
          <w:tcPr>
            <w:tcW w:w="165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6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2024</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Nick Pizzie</w:t>
            </w:r>
          </w:p>
        </w:tc>
      </w:tr>
      <w:tr>
        <w:trPr/>
        <w:tc>
          <w:tcPr>
            <w:tcW w:w="1651"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Nick Pizzie</w:t>
              <w:br/>
              <w:t>Chief Financial Officer</w:t>
              <w:b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65134</Words>
  <Characters>361156</Characters>
  <CharactersWithSpaces>426147</CharactersWithSpaces>
  <Paragraphs>5910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