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AXSOME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05464T104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ind w:left="960" w:hanging="545"/>
        <w:spacing w:after="0"/>
        <w:tabs>
          <w:tab w:leader="none" w:pos="96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9"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9" w:lineRule="exact"/>
        <w:rPr>
          <w:rFonts w:ascii="Arial" w:cs="Arial" w:eastAsia="Arial" w:hAnsi="Arial"/>
          <w:sz w:val="18"/>
          <w:szCs w:val="18"/>
          <w:color w:val="auto"/>
        </w:rPr>
      </w:pPr>
    </w:p>
    <w:p>
      <w:pPr>
        <w:ind w:left="960" w:hanging="545"/>
        <w:spacing w:after="0"/>
        <w:tabs>
          <w:tab w:leader="none" w:pos="96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9" w:lineRule="exact"/>
        <w:rPr>
          <w:rFonts w:ascii="Arial" w:cs="Arial" w:eastAsia="Arial" w:hAnsi="Arial"/>
          <w:sz w:val="18"/>
          <w:szCs w:val="18"/>
          <w:color w:val="auto"/>
        </w:rPr>
      </w:pPr>
    </w:p>
    <w:p>
      <w:pPr>
        <w:spacing w:after="0" w:line="250"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ind w:right="20"/>
        <w:spacing w:after="0" w:line="255" w:lineRule="auto"/>
        <w:rPr>
          <w:rFonts w:ascii="Arial" w:cs="Arial" w:eastAsia="Arial" w:hAnsi="Arial"/>
          <w:sz w:val="18"/>
          <w:szCs w:val="18"/>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 w:name="page2"/>
    <w:bookmarkEnd w:id="1"/>
    <w:p>
      <w:pPr>
        <w:ind w:left="52"/>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52" w:hanging="561"/>
        <w:spacing w:after="0"/>
        <w:tabs>
          <w:tab w:leader="none" w:pos="952"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Venrock Healthcare Capital Partners II, L.P.</w:t>
      </w:r>
    </w:p>
    <w:p>
      <w:pPr>
        <w:spacing w:after="0" w:line="210" w:lineRule="exact"/>
        <w:rPr>
          <w:rFonts w:ascii="Arial" w:cs="Arial" w:eastAsia="Arial" w:hAnsi="Arial"/>
          <w:sz w:val="18"/>
          <w:szCs w:val="18"/>
          <w:color w:val="auto"/>
        </w:rPr>
      </w:pPr>
    </w:p>
    <w:p>
      <w:pPr>
        <w:ind w:left="952" w:hanging="561"/>
        <w:spacing w:after="0"/>
        <w:tabs>
          <w:tab w:leader="none" w:pos="952"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652" w:hanging="694"/>
        <w:spacing w:after="0" w:line="207" w:lineRule="exact"/>
        <w:tabs>
          <w:tab w:leader="none" w:pos="1652"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10" w:lineRule="exact"/>
        <w:rPr>
          <w:rFonts w:ascii="Arial" w:cs="Arial" w:eastAsia="Arial" w:hAnsi="Arial"/>
          <w:sz w:val="18"/>
          <w:szCs w:val="18"/>
          <w:color w:val="auto"/>
        </w:rPr>
      </w:pPr>
    </w:p>
    <w:p>
      <w:pPr>
        <w:ind w:left="1652" w:hanging="694"/>
        <w:spacing w:after="0" w:line="207" w:lineRule="exact"/>
        <w:tabs>
          <w:tab w:leader="none" w:pos="1652"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52" w:hanging="561"/>
        <w:spacing w:after="0"/>
        <w:tabs>
          <w:tab w:leader="none" w:pos="952"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52" w:right="7600" w:hanging="561"/>
        <w:spacing w:after="0" w:line="277" w:lineRule="auto"/>
        <w:tabs>
          <w:tab w:leader="none" w:pos="952"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-19050</wp:posOffset>
            </wp:positionV>
            <wp:extent cx="65576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-430530</wp:posOffset>
            </wp:positionV>
            <wp:extent cx="6557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-704850</wp:posOffset>
            </wp:positionV>
            <wp:extent cx="6120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-850900</wp:posOffset>
            </wp:positionV>
            <wp:extent cx="6120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2076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-1262380</wp:posOffset>
            </wp:positionV>
            <wp:extent cx="6557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line="250" w:lineRule="auto"/>
        <w:rPr>
          <w:sz w:val="20"/>
          <w:szCs w:val="20"/>
          <w:color w:val="auto"/>
        </w:rPr>
      </w:pPr>
      <w:r>
        <w:rPr>
          <w:rFonts w:ascii="Arial" w:cs="Arial" w:eastAsia="Arial" w:hAnsi="Arial"/>
          <w:sz w:val="18"/>
          <w:szCs w:val="18"/>
          <w:color w:val="auto"/>
        </w:rPr>
        <w:t>Shares 6. Beneficially Owned by</w:t>
      </w:r>
    </w:p>
    <w:p>
      <w:pPr>
        <w:spacing w:after="0" w:line="1" w:lineRule="exact"/>
        <w:rPr>
          <w:sz w:val="20"/>
          <w:szCs w:val="20"/>
          <w:color w:val="auto"/>
        </w:rPr>
      </w:pPr>
    </w:p>
    <w:p>
      <w:pPr>
        <w:ind w:left="52"/>
        <w:spacing w:after="0"/>
        <w:tabs>
          <w:tab w:leader="none" w:pos="1512"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7.</w:t>
      </w:r>
    </w:p>
    <w:p>
      <w:pPr>
        <w:spacing w:after="0" w:line="67"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652" w:space="420"/>
            <w:col w:w="9120"/>
          </w:cols>
          <w:pgMar w:left="328" w:top="908" w:right="379" w:bottom="1440" w:gutter="0" w:footer="0" w:header="0"/>
          <w:type w:val="continuous"/>
        </w:sectPr>
      </w:pPr>
    </w:p>
    <w:p>
      <w:pPr>
        <w:ind w:left="2072" w:right="7240" w:hanging="547"/>
        <w:spacing w:after="0" w:line="260" w:lineRule="auto"/>
        <w:tabs>
          <w:tab w:leader="none" w:pos="2072" w:val="left"/>
        </w:tabs>
        <w:numPr>
          <w:ilvl w:val="3"/>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85" w:lineRule="exact"/>
        <w:rPr>
          <w:rFonts w:ascii="Arial" w:cs="Arial" w:eastAsia="Arial" w:hAnsi="Arial"/>
          <w:sz w:val="18"/>
          <w:szCs w:val="18"/>
          <w:color w:val="auto"/>
        </w:rPr>
      </w:pPr>
    </w:p>
    <w:p>
      <w:pPr>
        <w:ind w:left="952" w:right="5440" w:hanging="561"/>
        <w:spacing w:after="0" w:line="277" w:lineRule="auto"/>
        <w:tabs>
          <w:tab w:leader="none" w:pos="952" w:val="left"/>
        </w:tabs>
        <w:numPr>
          <w:ilvl w:val="2"/>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70" w:lineRule="exact"/>
        <w:rPr>
          <w:rFonts w:ascii="Arial" w:cs="Arial" w:eastAsia="Arial" w:hAnsi="Arial"/>
          <w:sz w:val="18"/>
          <w:szCs w:val="18"/>
          <w:color w:val="auto"/>
        </w:rPr>
      </w:pPr>
    </w:p>
    <w:p>
      <w:pPr>
        <w:ind w:left="952" w:hanging="561"/>
        <w:spacing w:after="0"/>
        <w:tabs>
          <w:tab w:leader="none" w:pos="952" w:val="left"/>
        </w:tabs>
        <w:numPr>
          <w:ilvl w:val="2"/>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25" w:lineRule="exact"/>
        <w:rPr>
          <w:rFonts w:ascii="Arial" w:cs="Arial" w:eastAsia="Arial" w:hAnsi="Arial"/>
          <w:sz w:val="18"/>
          <w:szCs w:val="18"/>
          <w:color w:val="auto"/>
        </w:rPr>
      </w:pPr>
    </w:p>
    <w:p>
      <w:pPr>
        <w:ind w:left="952" w:hanging="561"/>
        <w:spacing w:after="0"/>
        <w:tabs>
          <w:tab w:leader="none" w:pos="952" w:val="left"/>
        </w:tabs>
        <w:numPr>
          <w:ilvl w:val="2"/>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0.0%</w:t>
      </w:r>
    </w:p>
    <w:p>
      <w:pPr>
        <w:spacing w:after="0" w:line="210" w:lineRule="exact"/>
        <w:rPr>
          <w:rFonts w:ascii="Arial" w:cs="Arial" w:eastAsia="Arial" w:hAnsi="Arial"/>
          <w:sz w:val="18"/>
          <w:szCs w:val="18"/>
          <w:color w:val="auto"/>
        </w:rPr>
      </w:pPr>
    </w:p>
    <w:p>
      <w:pPr>
        <w:ind w:left="952" w:hanging="561"/>
        <w:spacing w:after="0"/>
        <w:tabs>
          <w:tab w:leader="none" w:pos="952" w:val="left"/>
        </w:tabs>
        <w:numPr>
          <w:ilvl w:val="2"/>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left="312" w:hanging="312"/>
        <w:spacing w:after="0" w:line="275" w:lineRule="auto"/>
        <w:tabs>
          <w:tab w:leader="none" w:pos="31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Schedule 13G/A is being filed by (i) Venrock Healthcare Capital Partners II, L.P. (“VHCP-II”), VHCP Co-Investment Holdings II, LLC (“VHCP-II Co-Invest”), Venrock Healthcare Capital Partners III, L.P. (“VHCP-III”), VHCP Co-Investment Holdings III, LLC (“VHCP-III Co-Invest”), VHCP Management II, LLC, the general partner of VHCP-II and the manager of VHCP-II Co-Invest (“VHCPM-III”), VHCP Management III, LLC, the general partner of VHCP-III and the manager of VHCP-III Co-Invest (“VHCPM-III”), Nimish Shah (“Shah”) and Bong Koh (“Koh” and together with VHCP-II, VCHCP-II Co-Invest, VHCP-III, VCHCP-III Co-Invest, VHCPM-II, VHCPM-III and Shah,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-864235</wp:posOffset>
            </wp:positionV>
            <wp:extent cx="65576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-1275715</wp:posOffset>
            </wp:positionV>
            <wp:extent cx="65576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-1687195</wp:posOffset>
            </wp:positionV>
            <wp:extent cx="65576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-1961515</wp:posOffset>
            </wp:positionV>
            <wp:extent cx="65576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-2372995</wp:posOffset>
            </wp:positionV>
            <wp:extent cx="58464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7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type w:val="continuous"/>
        </w:sectPr>
      </w:pPr>
    </w:p>
    <w:bookmarkStart w:id="2" w:name="page3"/>
    <w:bookmarkEnd w:id="2"/>
    <w:p>
      <w:pPr>
        <w:ind w:left="52"/>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52" w:hanging="561"/>
        <w:spacing w:after="0"/>
        <w:tabs>
          <w:tab w:leader="none" w:pos="952"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VHCP Co-Investment Holdings II, LLC</w:t>
      </w:r>
    </w:p>
    <w:p>
      <w:pPr>
        <w:spacing w:after="0" w:line="210" w:lineRule="exact"/>
        <w:rPr>
          <w:rFonts w:ascii="Arial" w:cs="Arial" w:eastAsia="Arial" w:hAnsi="Arial"/>
          <w:sz w:val="18"/>
          <w:szCs w:val="18"/>
          <w:color w:val="auto"/>
        </w:rPr>
      </w:pPr>
    </w:p>
    <w:p>
      <w:pPr>
        <w:ind w:left="952" w:hanging="561"/>
        <w:spacing w:after="0"/>
        <w:tabs>
          <w:tab w:leader="none" w:pos="952"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652" w:hanging="694"/>
        <w:spacing w:after="0" w:line="207" w:lineRule="exact"/>
        <w:tabs>
          <w:tab w:leader="none" w:pos="1652"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10" w:lineRule="exact"/>
        <w:rPr>
          <w:rFonts w:ascii="Arial" w:cs="Arial" w:eastAsia="Arial" w:hAnsi="Arial"/>
          <w:sz w:val="18"/>
          <w:szCs w:val="18"/>
          <w:color w:val="auto"/>
        </w:rPr>
      </w:pPr>
    </w:p>
    <w:p>
      <w:pPr>
        <w:ind w:left="1652" w:hanging="694"/>
        <w:spacing w:after="0" w:line="207" w:lineRule="exact"/>
        <w:tabs>
          <w:tab w:leader="none" w:pos="1652"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52" w:hanging="561"/>
        <w:spacing w:after="0"/>
        <w:tabs>
          <w:tab w:leader="none" w:pos="952"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52" w:right="7600" w:hanging="561"/>
        <w:spacing w:after="0" w:line="277" w:lineRule="auto"/>
        <w:tabs>
          <w:tab w:leader="none" w:pos="952"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-19050</wp:posOffset>
            </wp:positionV>
            <wp:extent cx="65576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-430530</wp:posOffset>
            </wp:positionV>
            <wp:extent cx="65576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-704850</wp:posOffset>
            </wp:positionV>
            <wp:extent cx="61207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-850900</wp:posOffset>
            </wp:positionV>
            <wp:extent cx="6120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2076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-1262380</wp:posOffset>
            </wp:positionV>
            <wp:extent cx="65576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line="250" w:lineRule="auto"/>
        <w:rPr>
          <w:sz w:val="20"/>
          <w:szCs w:val="20"/>
          <w:color w:val="auto"/>
        </w:rPr>
      </w:pPr>
      <w:r>
        <w:rPr>
          <w:rFonts w:ascii="Arial" w:cs="Arial" w:eastAsia="Arial" w:hAnsi="Arial"/>
          <w:sz w:val="18"/>
          <w:szCs w:val="18"/>
          <w:color w:val="auto"/>
        </w:rPr>
        <w:t>Shares 6. Beneficially Owned by</w:t>
      </w:r>
    </w:p>
    <w:p>
      <w:pPr>
        <w:spacing w:after="0" w:line="1" w:lineRule="exact"/>
        <w:rPr>
          <w:sz w:val="20"/>
          <w:szCs w:val="20"/>
          <w:color w:val="auto"/>
        </w:rPr>
      </w:pPr>
    </w:p>
    <w:p>
      <w:pPr>
        <w:ind w:left="52"/>
        <w:spacing w:after="0"/>
        <w:tabs>
          <w:tab w:leader="none" w:pos="1512"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7.</w:t>
      </w:r>
    </w:p>
    <w:p>
      <w:pPr>
        <w:spacing w:after="0" w:line="67"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1652" w:space="420"/>
            <w:col w:w="9120"/>
          </w:cols>
          <w:pgMar w:left="328" w:top="908" w:right="379" w:bottom="1440" w:gutter="0" w:footer="0" w:header="0"/>
          <w:type w:val="continuous"/>
        </w:sectPr>
      </w:pPr>
    </w:p>
    <w:p>
      <w:pPr>
        <w:ind w:left="2072" w:right="7240" w:hanging="547"/>
        <w:spacing w:after="0" w:line="260" w:lineRule="auto"/>
        <w:tabs>
          <w:tab w:leader="none" w:pos="2072" w:val="left"/>
        </w:tabs>
        <w:numPr>
          <w:ilvl w:val="3"/>
          <w:numId w:val="7"/>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85" w:lineRule="exact"/>
        <w:rPr>
          <w:rFonts w:ascii="Arial" w:cs="Arial" w:eastAsia="Arial" w:hAnsi="Arial"/>
          <w:sz w:val="18"/>
          <w:szCs w:val="18"/>
          <w:color w:val="auto"/>
        </w:rPr>
      </w:pPr>
    </w:p>
    <w:p>
      <w:pPr>
        <w:ind w:left="952" w:right="5440" w:hanging="561"/>
        <w:spacing w:after="0" w:line="277" w:lineRule="auto"/>
        <w:tabs>
          <w:tab w:leader="none" w:pos="952" w:val="left"/>
        </w:tabs>
        <w:numPr>
          <w:ilvl w:val="2"/>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70" w:lineRule="exact"/>
        <w:rPr>
          <w:rFonts w:ascii="Arial" w:cs="Arial" w:eastAsia="Arial" w:hAnsi="Arial"/>
          <w:sz w:val="18"/>
          <w:szCs w:val="18"/>
          <w:color w:val="auto"/>
        </w:rPr>
      </w:pPr>
    </w:p>
    <w:p>
      <w:pPr>
        <w:ind w:left="952" w:hanging="561"/>
        <w:spacing w:after="0"/>
        <w:tabs>
          <w:tab w:leader="none" w:pos="952" w:val="left"/>
        </w:tabs>
        <w:numPr>
          <w:ilvl w:val="2"/>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25" w:lineRule="exact"/>
        <w:rPr>
          <w:rFonts w:ascii="Arial" w:cs="Arial" w:eastAsia="Arial" w:hAnsi="Arial"/>
          <w:sz w:val="18"/>
          <w:szCs w:val="18"/>
          <w:color w:val="auto"/>
        </w:rPr>
      </w:pPr>
    </w:p>
    <w:p>
      <w:pPr>
        <w:ind w:left="952" w:hanging="561"/>
        <w:spacing w:after="0"/>
        <w:tabs>
          <w:tab w:leader="none" w:pos="952" w:val="left"/>
        </w:tabs>
        <w:numPr>
          <w:ilvl w:val="2"/>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0.0%</w:t>
      </w:r>
    </w:p>
    <w:p>
      <w:pPr>
        <w:spacing w:after="0" w:line="210" w:lineRule="exact"/>
        <w:rPr>
          <w:rFonts w:ascii="Arial" w:cs="Arial" w:eastAsia="Arial" w:hAnsi="Arial"/>
          <w:sz w:val="18"/>
          <w:szCs w:val="18"/>
          <w:color w:val="auto"/>
        </w:rPr>
      </w:pPr>
    </w:p>
    <w:p>
      <w:pPr>
        <w:ind w:left="952" w:hanging="561"/>
        <w:spacing w:after="0"/>
        <w:tabs>
          <w:tab w:leader="none" w:pos="952" w:val="left"/>
        </w:tabs>
        <w:numPr>
          <w:ilvl w:val="2"/>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ind w:left="312" w:hanging="312"/>
        <w:spacing w:after="0" w:line="275" w:lineRule="auto"/>
        <w:tabs>
          <w:tab w:leader="none" w:pos="31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Schedule 13G/A is being filed by (i) Venrock Healthcare Capital Partners II, L.P. (“VHCP-II”), VHCP Co-Investment Holdings II, LLC (“VHCP-II Co-Invest”), Venrock Healthcare Capital Partners III, L.P. (“VHCP-III”), VHCP Co-Investment Holdings III, LLC (“VHCP-III Co-Invest”), VHCP Management II, LLC, the general partner of VHCP-II and the manager of VHCP-II Co-Invest (“VHCPM-III”), VHCP Management III, LLC, the general partner of VHCP-III and the manager of VHCP-III Co-Invest (“VHCPM-III”), Nimish Shah (“Shah”) and Bong Koh (“Koh” and together with VHCP-II, VCHCP-II Co-Invest, VHCP-III, VCHCP-III Co-Invest, VHCPM-II, VHCPM-III and Shah,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-864235</wp:posOffset>
            </wp:positionV>
            <wp:extent cx="65576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-1275715</wp:posOffset>
            </wp:positionV>
            <wp:extent cx="65576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-1687195</wp:posOffset>
            </wp:positionV>
            <wp:extent cx="65576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-1961515</wp:posOffset>
            </wp:positionV>
            <wp:extent cx="65576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-2372995</wp:posOffset>
            </wp:positionV>
            <wp:extent cx="58464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7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type w:val="continuous"/>
        </w:sectPr>
      </w:pPr>
    </w:p>
    <w:bookmarkStart w:id="3" w:name="page4"/>
    <w:bookmarkEnd w:id="3"/>
    <w:p>
      <w:pPr>
        <w:ind w:left="52"/>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52" w:hanging="561"/>
        <w:spacing w:after="0"/>
        <w:tabs>
          <w:tab w:leader="none" w:pos="9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Venrock Healthcare Capital Partners III, L.P.</w:t>
      </w:r>
    </w:p>
    <w:p>
      <w:pPr>
        <w:spacing w:after="0" w:line="210" w:lineRule="exact"/>
        <w:rPr>
          <w:rFonts w:ascii="Arial" w:cs="Arial" w:eastAsia="Arial" w:hAnsi="Arial"/>
          <w:sz w:val="18"/>
          <w:szCs w:val="18"/>
          <w:color w:val="auto"/>
        </w:rPr>
      </w:pPr>
    </w:p>
    <w:p>
      <w:pPr>
        <w:ind w:left="952" w:hanging="561"/>
        <w:spacing w:after="0"/>
        <w:tabs>
          <w:tab w:leader="none" w:pos="9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652" w:hanging="694"/>
        <w:spacing w:after="0" w:line="207" w:lineRule="exact"/>
        <w:tabs>
          <w:tab w:leader="none" w:pos="1652"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10" w:lineRule="exact"/>
        <w:rPr>
          <w:rFonts w:ascii="Arial" w:cs="Arial" w:eastAsia="Arial" w:hAnsi="Arial"/>
          <w:sz w:val="18"/>
          <w:szCs w:val="18"/>
          <w:color w:val="auto"/>
        </w:rPr>
      </w:pPr>
    </w:p>
    <w:p>
      <w:pPr>
        <w:ind w:left="1652" w:hanging="694"/>
        <w:spacing w:after="0" w:line="207" w:lineRule="exact"/>
        <w:tabs>
          <w:tab w:leader="none" w:pos="1652"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52" w:hanging="561"/>
        <w:spacing w:after="0"/>
        <w:tabs>
          <w:tab w:leader="none" w:pos="9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52" w:right="7600" w:hanging="561"/>
        <w:spacing w:after="0" w:line="277" w:lineRule="auto"/>
        <w:tabs>
          <w:tab w:leader="none" w:pos="9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-19050</wp:posOffset>
            </wp:positionV>
            <wp:extent cx="65576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-430530</wp:posOffset>
            </wp:positionV>
            <wp:extent cx="65576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-704850</wp:posOffset>
            </wp:positionV>
            <wp:extent cx="61207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-850900</wp:posOffset>
            </wp:positionV>
            <wp:extent cx="6120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2076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-1262380</wp:posOffset>
            </wp:positionV>
            <wp:extent cx="65576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line="250" w:lineRule="auto"/>
        <w:rPr>
          <w:sz w:val="20"/>
          <w:szCs w:val="20"/>
          <w:color w:val="auto"/>
        </w:rPr>
      </w:pPr>
      <w:r>
        <w:rPr>
          <w:rFonts w:ascii="Arial" w:cs="Arial" w:eastAsia="Arial" w:hAnsi="Arial"/>
          <w:sz w:val="18"/>
          <w:szCs w:val="18"/>
          <w:color w:val="auto"/>
        </w:rPr>
        <w:t>Shares 6. Beneficially Owned by</w:t>
      </w:r>
    </w:p>
    <w:p>
      <w:pPr>
        <w:spacing w:after="0" w:line="1" w:lineRule="exact"/>
        <w:rPr>
          <w:sz w:val="20"/>
          <w:szCs w:val="20"/>
          <w:color w:val="auto"/>
        </w:rPr>
      </w:pPr>
    </w:p>
    <w:p>
      <w:pPr>
        <w:ind w:left="52"/>
        <w:spacing w:after="0"/>
        <w:tabs>
          <w:tab w:leader="none" w:pos="1512"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7.</w:t>
      </w:r>
    </w:p>
    <w:p>
      <w:pPr>
        <w:spacing w:after="0" w:line="67"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652" w:space="420"/>
            <w:col w:w="9120"/>
          </w:cols>
          <w:pgMar w:left="328" w:top="908" w:right="379" w:bottom="1440" w:gutter="0" w:footer="0" w:header="0"/>
          <w:type w:val="continuous"/>
        </w:sectPr>
      </w:pPr>
    </w:p>
    <w:p>
      <w:pPr>
        <w:ind w:left="2072" w:right="7240" w:hanging="547"/>
        <w:spacing w:after="0" w:line="260" w:lineRule="auto"/>
        <w:tabs>
          <w:tab w:leader="none" w:pos="2072" w:val="left"/>
        </w:tabs>
        <w:numPr>
          <w:ilvl w:val="3"/>
          <w:numId w:val="11"/>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85" w:lineRule="exact"/>
        <w:rPr>
          <w:rFonts w:ascii="Arial" w:cs="Arial" w:eastAsia="Arial" w:hAnsi="Arial"/>
          <w:sz w:val="18"/>
          <w:szCs w:val="18"/>
          <w:color w:val="auto"/>
        </w:rPr>
      </w:pPr>
    </w:p>
    <w:p>
      <w:pPr>
        <w:ind w:left="952" w:right="5440" w:hanging="561"/>
        <w:spacing w:after="0" w:line="277" w:lineRule="auto"/>
        <w:tabs>
          <w:tab w:leader="none" w:pos="9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70" w:lineRule="exact"/>
        <w:rPr>
          <w:rFonts w:ascii="Arial" w:cs="Arial" w:eastAsia="Arial" w:hAnsi="Arial"/>
          <w:sz w:val="18"/>
          <w:szCs w:val="18"/>
          <w:color w:val="auto"/>
        </w:rPr>
      </w:pPr>
    </w:p>
    <w:p>
      <w:pPr>
        <w:ind w:left="952" w:hanging="561"/>
        <w:spacing w:after="0"/>
        <w:tabs>
          <w:tab w:leader="none" w:pos="9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25" w:lineRule="exact"/>
        <w:rPr>
          <w:rFonts w:ascii="Arial" w:cs="Arial" w:eastAsia="Arial" w:hAnsi="Arial"/>
          <w:sz w:val="18"/>
          <w:szCs w:val="18"/>
          <w:color w:val="auto"/>
        </w:rPr>
      </w:pPr>
    </w:p>
    <w:p>
      <w:pPr>
        <w:ind w:left="952" w:hanging="561"/>
        <w:spacing w:after="0"/>
        <w:tabs>
          <w:tab w:leader="none" w:pos="9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0.0%</w:t>
      </w:r>
    </w:p>
    <w:p>
      <w:pPr>
        <w:spacing w:after="0" w:line="210" w:lineRule="exact"/>
        <w:rPr>
          <w:rFonts w:ascii="Arial" w:cs="Arial" w:eastAsia="Arial" w:hAnsi="Arial"/>
          <w:sz w:val="18"/>
          <w:szCs w:val="18"/>
          <w:color w:val="auto"/>
        </w:rPr>
      </w:pPr>
    </w:p>
    <w:p>
      <w:pPr>
        <w:ind w:left="952" w:hanging="561"/>
        <w:spacing w:after="0"/>
        <w:tabs>
          <w:tab w:leader="none" w:pos="9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ind w:left="312" w:hanging="312"/>
        <w:spacing w:after="0" w:line="275" w:lineRule="auto"/>
        <w:tabs>
          <w:tab w:leader="none" w:pos="31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Schedule 13G/A is being filed by (i) Venrock Healthcare Capital Partners II, L.P. (“VHCP-II”), VHCP Co-Investment Holdings II, LLC (“VHCP-II Co-Invest”), Venrock Healthcare Capital Partners III, L.P. (“VHCP-III”), VHCP Co-Investment Holdings III, LLC (“VHCP-III Co-Invest”), VHCP Management II, LLC, the general partner of VHCP-II and the manager of VHCP-II Co-Invest (“VHCPM-III”), VHCP Management III, LLC, the general partner of VHCP-III and the manager of VHCP-III Co-Invest (“VHCPM-III”), Nimish Shah (“Shah”) and Bong Koh (“Koh” and together with VHCP-II, VCHCP-II Co-Invest, VHCP-III, VCHCP-III Co-Invest, VHCPM-II, VHCPM-III and Shah,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-864235</wp:posOffset>
            </wp:positionV>
            <wp:extent cx="65576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-1275715</wp:posOffset>
            </wp:positionV>
            <wp:extent cx="65576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-1687195</wp:posOffset>
            </wp:positionV>
            <wp:extent cx="65576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-1961515</wp:posOffset>
            </wp:positionV>
            <wp:extent cx="65576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-2372995</wp:posOffset>
            </wp:positionV>
            <wp:extent cx="58464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7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type w:val="continuous"/>
        </w:sectPr>
      </w:pPr>
    </w:p>
    <w:bookmarkStart w:id="4" w:name="page5"/>
    <w:bookmarkEnd w:id="4"/>
    <w:p>
      <w:pPr>
        <w:ind w:left="52"/>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52" w:hanging="561"/>
        <w:spacing w:after="0"/>
        <w:tabs>
          <w:tab w:leader="none" w:pos="9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VHCP Co-Investment Holdings III, LLC</w:t>
      </w:r>
    </w:p>
    <w:p>
      <w:pPr>
        <w:spacing w:after="0" w:line="210" w:lineRule="exact"/>
        <w:rPr>
          <w:rFonts w:ascii="Arial" w:cs="Arial" w:eastAsia="Arial" w:hAnsi="Arial"/>
          <w:sz w:val="18"/>
          <w:szCs w:val="18"/>
          <w:color w:val="auto"/>
        </w:rPr>
      </w:pPr>
    </w:p>
    <w:p>
      <w:pPr>
        <w:ind w:left="952" w:hanging="561"/>
        <w:spacing w:after="0"/>
        <w:tabs>
          <w:tab w:leader="none" w:pos="9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652" w:hanging="694"/>
        <w:spacing w:after="0" w:line="207" w:lineRule="exact"/>
        <w:tabs>
          <w:tab w:leader="none" w:pos="1652"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10" w:lineRule="exact"/>
        <w:rPr>
          <w:rFonts w:ascii="Arial" w:cs="Arial" w:eastAsia="Arial" w:hAnsi="Arial"/>
          <w:sz w:val="18"/>
          <w:szCs w:val="18"/>
          <w:color w:val="auto"/>
        </w:rPr>
      </w:pPr>
    </w:p>
    <w:p>
      <w:pPr>
        <w:ind w:left="1652" w:hanging="694"/>
        <w:spacing w:after="0" w:line="207" w:lineRule="exact"/>
        <w:tabs>
          <w:tab w:leader="none" w:pos="1652"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52" w:hanging="561"/>
        <w:spacing w:after="0"/>
        <w:tabs>
          <w:tab w:leader="none" w:pos="9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52" w:right="7600" w:hanging="561"/>
        <w:spacing w:after="0" w:line="277" w:lineRule="auto"/>
        <w:tabs>
          <w:tab w:leader="none" w:pos="9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-19050</wp:posOffset>
            </wp:positionV>
            <wp:extent cx="65576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-430530</wp:posOffset>
            </wp:positionV>
            <wp:extent cx="65576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-704850</wp:posOffset>
            </wp:positionV>
            <wp:extent cx="61207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-850900</wp:posOffset>
            </wp:positionV>
            <wp:extent cx="6120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2076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-1262380</wp:posOffset>
            </wp:positionV>
            <wp:extent cx="65576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line="250" w:lineRule="auto"/>
        <w:rPr>
          <w:sz w:val="20"/>
          <w:szCs w:val="20"/>
          <w:color w:val="auto"/>
        </w:rPr>
      </w:pPr>
      <w:r>
        <w:rPr>
          <w:rFonts w:ascii="Arial" w:cs="Arial" w:eastAsia="Arial" w:hAnsi="Arial"/>
          <w:sz w:val="18"/>
          <w:szCs w:val="18"/>
          <w:color w:val="auto"/>
        </w:rPr>
        <w:t>Shares 6. Beneficially Owned by</w:t>
      </w:r>
    </w:p>
    <w:p>
      <w:pPr>
        <w:spacing w:after="0" w:line="1" w:lineRule="exact"/>
        <w:rPr>
          <w:sz w:val="20"/>
          <w:szCs w:val="20"/>
          <w:color w:val="auto"/>
        </w:rPr>
      </w:pPr>
    </w:p>
    <w:p>
      <w:pPr>
        <w:ind w:left="52"/>
        <w:spacing w:after="0"/>
        <w:tabs>
          <w:tab w:leader="none" w:pos="1512"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7.</w:t>
      </w:r>
    </w:p>
    <w:p>
      <w:pPr>
        <w:spacing w:after="0" w:line="67"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1652" w:space="420"/>
            <w:col w:w="9120"/>
          </w:cols>
          <w:pgMar w:left="328" w:top="908" w:right="379" w:bottom="1440" w:gutter="0" w:footer="0" w:header="0"/>
          <w:type w:val="continuous"/>
        </w:sectPr>
      </w:pPr>
    </w:p>
    <w:p>
      <w:pPr>
        <w:ind w:left="2072" w:right="7240" w:hanging="547"/>
        <w:spacing w:after="0" w:line="260" w:lineRule="auto"/>
        <w:tabs>
          <w:tab w:leader="none" w:pos="2072" w:val="left"/>
        </w:tabs>
        <w:numPr>
          <w:ilvl w:val="3"/>
          <w:numId w:val="1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85" w:lineRule="exact"/>
        <w:rPr>
          <w:rFonts w:ascii="Arial" w:cs="Arial" w:eastAsia="Arial" w:hAnsi="Arial"/>
          <w:sz w:val="18"/>
          <w:szCs w:val="18"/>
          <w:color w:val="auto"/>
        </w:rPr>
      </w:pPr>
    </w:p>
    <w:p>
      <w:pPr>
        <w:ind w:left="952" w:right="5440" w:hanging="561"/>
        <w:spacing w:after="0" w:line="277" w:lineRule="auto"/>
        <w:tabs>
          <w:tab w:leader="none" w:pos="952" w:val="left"/>
        </w:tabs>
        <w:numPr>
          <w:ilvl w:val="2"/>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70" w:lineRule="exact"/>
        <w:rPr>
          <w:rFonts w:ascii="Arial" w:cs="Arial" w:eastAsia="Arial" w:hAnsi="Arial"/>
          <w:sz w:val="18"/>
          <w:szCs w:val="18"/>
          <w:color w:val="auto"/>
        </w:rPr>
      </w:pPr>
    </w:p>
    <w:p>
      <w:pPr>
        <w:ind w:left="952" w:hanging="561"/>
        <w:spacing w:after="0"/>
        <w:tabs>
          <w:tab w:leader="none" w:pos="952" w:val="left"/>
        </w:tabs>
        <w:numPr>
          <w:ilvl w:val="2"/>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25" w:lineRule="exact"/>
        <w:rPr>
          <w:rFonts w:ascii="Arial" w:cs="Arial" w:eastAsia="Arial" w:hAnsi="Arial"/>
          <w:sz w:val="18"/>
          <w:szCs w:val="18"/>
          <w:color w:val="auto"/>
        </w:rPr>
      </w:pPr>
    </w:p>
    <w:p>
      <w:pPr>
        <w:ind w:left="952" w:hanging="561"/>
        <w:spacing w:after="0"/>
        <w:tabs>
          <w:tab w:leader="none" w:pos="952" w:val="left"/>
        </w:tabs>
        <w:numPr>
          <w:ilvl w:val="2"/>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0.0%</w:t>
      </w:r>
    </w:p>
    <w:p>
      <w:pPr>
        <w:spacing w:after="0" w:line="210" w:lineRule="exact"/>
        <w:rPr>
          <w:rFonts w:ascii="Arial" w:cs="Arial" w:eastAsia="Arial" w:hAnsi="Arial"/>
          <w:sz w:val="18"/>
          <w:szCs w:val="18"/>
          <w:color w:val="auto"/>
        </w:rPr>
      </w:pPr>
    </w:p>
    <w:p>
      <w:pPr>
        <w:ind w:left="952" w:hanging="561"/>
        <w:spacing w:after="0"/>
        <w:tabs>
          <w:tab w:leader="none" w:pos="952" w:val="left"/>
        </w:tabs>
        <w:numPr>
          <w:ilvl w:val="2"/>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ind w:left="312" w:hanging="312"/>
        <w:spacing w:after="0" w:line="275" w:lineRule="auto"/>
        <w:tabs>
          <w:tab w:leader="none" w:pos="31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Schedule 13G/A is being filed by (i) Venrock Healthcare Capital Partners II, L.P. (“VHCP-II”), VHCP Co-Investment Holdings II, LLC (“VHCP-II Co-Invest”), Venrock Healthcare Capital Partners III, L.P. (“VHCP-III”), VHCP Co-Investment Holdings III, LLC (“VHCP-III Co-Invest”), VHCP Management II, LLC, the general partner of VHCP-II and the manager of VHCP-II Co-Invest (“VHCPM-III”), VHCP Management III, LLC, the general partner of VHCP-III and the manager of VHCP-III Co-Invest (“VHCPM-III”), Nimish Shah (“Shah”) and Bong Koh (“Koh” and together with VHCP-II, VCHCP-II Co-Invest, VHCP-III, VCHCP-III Co-Invest, VHCPM-II, VHCPM-III and Shah,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-864235</wp:posOffset>
            </wp:positionV>
            <wp:extent cx="65576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-1275715</wp:posOffset>
            </wp:positionV>
            <wp:extent cx="65576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-1687195</wp:posOffset>
            </wp:positionV>
            <wp:extent cx="65576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-1961515</wp:posOffset>
            </wp:positionV>
            <wp:extent cx="65576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-2372995</wp:posOffset>
            </wp:positionV>
            <wp:extent cx="58464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7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type w:val="continuous"/>
        </w:sectPr>
      </w:pPr>
    </w:p>
    <w:bookmarkStart w:id="5" w:name="page6"/>
    <w:bookmarkEnd w:id="5"/>
    <w:p>
      <w:pPr>
        <w:ind w:left="52"/>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52" w:right="8180" w:hanging="561"/>
        <w:spacing w:after="0" w:line="342" w:lineRule="auto"/>
        <w:tabs>
          <w:tab w:leader="none" w:pos="952" w:val="left"/>
        </w:tabs>
        <w:numPr>
          <w:ilvl w:val="0"/>
          <w:numId w:val="18"/>
        </w:numPr>
        <w:rPr>
          <w:rFonts w:ascii="Arial" w:cs="Arial" w:eastAsia="Arial" w:hAnsi="Arial"/>
          <w:sz w:val="16"/>
          <w:szCs w:val="16"/>
          <w:color w:val="auto"/>
        </w:rPr>
      </w:pPr>
      <w:r>
        <w:rPr>
          <w:rFonts w:ascii="Arial" w:cs="Arial" w:eastAsia="Arial" w:hAnsi="Arial"/>
          <w:sz w:val="16"/>
          <w:szCs w:val="16"/>
          <w:color w:val="auto"/>
        </w:rPr>
        <w:t>Name of Reporting Persons VHCP Management II, LLC</w:t>
      </w:r>
    </w:p>
    <w:p>
      <w:pPr>
        <w:spacing w:after="0" w:line="123" w:lineRule="exact"/>
        <w:rPr>
          <w:rFonts w:ascii="Arial" w:cs="Arial" w:eastAsia="Arial" w:hAnsi="Arial"/>
          <w:sz w:val="16"/>
          <w:szCs w:val="16"/>
          <w:color w:val="auto"/>
        </w:rPr>
      </w:pPr>
    </w:p>
    <w:p>
      <w:pPr>
        <w:ind w:left="952" w:hanging="561"/>
        <w:spacing w:after="0"/>
        <w:tabs>
          <w:tab w:leader="none" w:pos="952"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652" w:hanging="694"/>
        <w:spacing w:after="0" w:line="207" w:lineRule="exact"/>
        <w:tabs>
          <w:tab w:leader="none" w:pos="1652"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10" w:lineRule="exact"/>
        <w:rPr>
          <w:rFonts w:ascii="Arial" w:cs="Arial" w:eastAsia="Arial" w:hAnsi="Arial"/>
          <w:sz w:val="18"/>
          <w:szCs w:val="18"/>
          <w:color w:val="auto"/>
        </w:rPr>
      </w:pPr>
    </w:p>
    <w:p>
      <w:pPr>
        <w:ind w:left="1652" w:hanging="694"/>
        <w:spacing w:after="0" w:line="207" w:lineRule="exact"/>
        <w:tabs>
          <w:tab w:leader="none" w:pos="1652"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52" w:hanging="561"/>
        <w:spacing w:after="0"/>
        <w:tabs>
          <w:tab w:leader="none" w:pos="9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52" w:right="7600" w:hanging="561"/>
        <w:spacing w:after="0" w:line="277" w:lineRule="auto"/>
        <w:tabs>
          <w:tab w:leader="none" w:pos="9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-19050</wp:posOffset>
            </wp:positionV>
            <wp:extent cx="65576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-430530</wp:posOffset>
            </wp:positionV>
            <wp:extent cx="65576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-704850</wp:posOffset>
            </wp:positionV>
            <wp:extent cx="61207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-850900</wp:posOffset>
            </wp:positionV>
            <wp:extent cx="61207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2076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-1262380</wp:posOffset>
            </wp:positionV>
            <wp:extent cx="65576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line="250" w:lineRule="auto"/>
        <w:rPr>
          <w:sz w:val="20"/>
          <w:szCs w:val="20"/>
          <w:color w:val="auto"/>
        </w:rPr>
      </w:pPr>
      <w:r>
        <w:rPr>
          <w:rFonts w:ascii="Arial" w:cs="Arial" w:eastAsia="Arial" w:hAnsi="Arial"/>
          <w:sz w:val="18"/>
          <w:szCs w:val="18"/>
          <w:color w:val="auto"/>
        </w:rPr>
        <w:t>Shares 6. Beneficially Owned by</w:t>
      </w:r>
    </w:p>
    <w:p>
      <w:pPr>
        <w:spacing w:after="0" w:line="1" w:lineRule="exact"/>
        <w:rPr>
          <w:sz w:val="20"/>
          <w:szCs w:val="20"/>
          <w:color w:val="auto"/>
        </w:rPr>
      </w:pPr>
    </w:p>
    <w:p>
      <w:pPr>
        <w:ind w:left="52"/>
        <w:spacing w:after="0"/>
        <w:tabs>
          <w:tab w:leader="none" w:pos="1512"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7.</w:t>
      </w:r>
    </w:p>
    <w:p>
      <w:pPr>
        <w:spacing w:after="0" w:line="67"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1652" w:space="420"/>
            <w:col w:w="9120"/>
          </w:cols>
          <w:pgMar w:left="328" w:top="908" w:right="379" w:bottom="1440" w:gutter="0" w:footer="0" w:header="0"/>
          <w:type w:val="continuous"/>
        </w:sectPr>
      </w:pPr>
    </w:p>
    <w:p>
      <w:pPr>
        <w:ind w:left="2072" w:right="7240" w:hanging="547"/>
        <w:spacing w:after="0" w:line="260" w:lineRule="auto"/>
        <w:tabs>
          <w:tab w:leader="none" w:pos="2072" w:val="left"/>
        </w:tabs>
        <w:numPr>
          <w:ilvl w:val="3"/>
          <w:numId w:val="19"/>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85" w:lineRule="exact"/>
        <w:rPr>
          <w:rFonts w:ascii="Arial" w:cs="Arial" w:eastAsia="Arial" w:hAnsi="Arial"/>
          <w:sz w:val="18"/>
          <w:szCs w:val="18"/>
          <w:color w:val="auto"/>
        </w:rPr>
      </w:pPr>
    </w:p>
    <w:p>
      <w:pPr>
        <w:ind w:left="952" w:right="5440" w:hanging="561"/>
        <w:spacing w:after="0" w:line="277" w:lineRule="auto"/>
        <w:tabs>
          <w:tab w:leader="none" w:pos="952" w:val="left"/>
        </w:tabs>
        <w:numPr>
          <w:ilvl w:val="2"/>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70" w:lineRule="exact"/>
        <w:rPr>
          <w:rFonts w:ascii="Arial" w:cs="Arial" w:eastAsia="Arial" w:hAnsi="Arial"/>
          <w:sz w:val="18"/>
          <w:szCs w:val="18"/>
          <w:color w:val="auto"/>
        </w:rPr>
      </w:pPr>
    </w:p>
    <w:p>
      <w:pPr>
        <w:ind w:left="952" w:hanging="561"/>
        <w:spacing w:after="0"/>
        <w:tabs>
          <w:tab w:leader="none" w:pos="952" w:val="left"/>
        </w:tabs>
        <w:numPr>
          <w:ilvl w:val="2"/>
          <w:numId w:val="2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25" w:lineRule="exact"/>
        <w:rPr>
          <w:rFonts w:ascii="Arial" w:cs="Arial" w:eastAsia="Arial" w:hAnsi="Arial"/>
          <w:sz w:val="18"/>
          <w:szCs w:val="18"/>
          <w:color w:val="auto"/>
        </w:rPr>
      </w:pPr>
    </w:p>
    <w:p>
      <w:pPr>
        <w:ind w:left="952" w:hanging="561"/>
        <w:spacing w:after="0"/>
        <w:tabs>
          <w:tab w:leader="none" w:pos="952" w:val="left"/>
        </w:tabs>
        <w:numPr>
          <w:ilvl w:val="2"/>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0.0%</w:t>
      </w:r>
    </w:p>
    <w:p>
      <w:pPr>
        <w:spacing w:after="0" w:line="210" w:lineRule="exact"/>
        <w:rPr>
          <w:rFonts w:ascii="Arial" w:cs="Arial" w:eastAsia="Arial" w:hAnsi="Arial"/>
          <w:sz w:val="18"/>
          <w:szCs w:val="18"/>
          <w:color w:val="auto"/>
        </w:rPr>
      </w:pPr>
    </w:p>
    <w:p>
      <w:pPr>
        <w:ind w:left="952" w:hanging="561"/>
        <w:spacing w:after="0"/>
        <w:tabs>
          <w:tab w:leader="none" w:pos="952" w:val="left"/>
        </w:tabs>
        <w:numPr>
          <w:ilvl w:val="2"/>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ind w:left="312" w:hanging="312"/>
        <w:spacing w:after="0" w:line="275" w:lineRule="auto"/>
        <w:tabs>
          <w:tab w:leader="none" w:pos="31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This Schedule 13G/A is being filed by (i) Venrock Healthcare Capital Partners II, L.P. (“VHCP-II”), VHCP Co-Investment Holdings II, LLC (“VHCP-II Co-Invest”), Venrock Healthcare Capital Partners III, L.P. (“VHCP-III”), VHCP Co-Investment Holdings III, LLC (“VHCP-III Co-Invest”), VHCP Management II, LLC, the general partner of VHCP-II and the manager of VHCP-II Co-Invest (“VHCPM-III”), VHCP Management III, LLC, the general partner of VHCP-III and the manager of VHCP-III Co-Invest (“VHCPM-III”), Nimish Shah (“Shah”) and Bong Koh (“Koh” and together with VHCP-II, VCHCP-II Co-Invest, VHCP-III, VCHCP-III Co-Invest, VHCPM-II, VHCPM-III and Shah,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-864235</wp:posOffset>
            </wp:positionV>
            <wp:extent cx="65576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-1275715</wp:posOffset>
            </wp:positionV>
            <wp:extent cx="65576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-1687195</wp:posOffset>
            </wp:positionV>
            <wp:extent cx="65576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-1961515</wp:posOffset>
            </wp:positionV>
            <wp:extent cx="65576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-2372995</wp:posOffset>
            </wp:positionV>
            <wp:extent cx="58464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7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type w:val="continuous"/>
        </w:sectPr>
      </w:pPr>
    </w:p>
    <w:bookmarkStart w:id="6" w:name="page7"/>
    <w:bookmarkEnd w:id="6"/>
    <w:p>
      <w:pPr>
        <w:ind w:left="52"/>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52" w:right="8120" w:hanging="561"/>
        <w:spacing w:after="0" w:line="308" w:lineRule="auto"/>
        <w:tabs>
          <w:tab w:leader="none" w:pos="9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Name of Reporting Persons VHCP Management III, LLC</w:t>
      </w:r>
    </w:p>
    <w:p>
      <w:pPr>
        <w:spacing w:after="0" w:line="146" w:lineRule="exact"/>
        <w:rPr>
          <w:rFonts w:ascii="Arial" w:cs="Arial" w:eastAsia="Arial" w:hAnsi="Arial"/>
          <w:sz w:val="17"/>
          <w:szCs w:val="17"/>
          <w:color w:val="auto"/>
        </w:rPr>
      </w:pPr>
    </w:p>
    <w:p>
      <w:pPr>
        <w:ind w:left="952" w:hanging="561"/>
        <w:spacing w:after="0"/>
        <w:tabs>
          <w:tab w:leader="none" w:pos="9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652" w:hanging="694"/>
        <w:spacing w:after="0" w:line="207" w:lineRule="exact"/>
        <w:tabs>
          <w:tab w:leader="none" w:pos="1652" w:val="left"/>
        </w:tabs>
        <w:numPr>
          <w:ilvl w:val="1"/>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10" w:lineRule="exact"/>
        <w:rPr>
          <w:rFonts w:ascii="Arial" w:cs="Arial" w:eastAsia="Arial" w:hAnsi="Arial"/>
          <w:sz w:val="18"/>
          <w:szCs w:val="18"/>
          <w:color w:val="auto"/>
        </w:rPr>
      </w:pPr>
    </w:p>
    <w:p>
      <w:pPr>
        <w:ind w:left="1652" w:hanging="694"/>
        <w:spacing w:after="0" w:line="207" w:lineRule="exact"/>
        <w:tabs>
          <w:tab w:leader="none" w:pos="1652" w:val="left"/>
        </w:tabs>
        <w:numPr>
          <w:ilvl w:val="1"/>
          <w:numId w:val="2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52" w:hanging="561"/>
        <w:spacing w:after="0"/>
        <w:tabs>
          <w:tab w:leader="none" w:pos="9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52" w:right="7600" w:hanging="561"/>
        <w:spacing w:after="0" w:line="277" w:lineRule="auto"/>
        <w:tabs>
          <w:tab w:leader="none" w:pos="9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-19050</wp:posOffset>
            </wp:positionV>
            <wp:extent cx="65576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-430530</wp:posOffset>
            </wp:positionV>
            <wp:extent cx="65576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-704850</wp:posOffset>
            </wp:positionV>
            <wp:extent cx="61207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-850900</wp:posOffset>
            </wp:positionV>
            <wp:extent cx="61207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2076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-1262380</wp:posOffset>
            </wp:positionV>
            <wp:extent cx="65576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line="250" w:lineRule="auto"/>
        <w:rPr>
          <w:sz w:val="20"/>
          <w:szCs w:val="20"/>
          <w:color w:val="auto"/>
        </w:rPr>
      </w:pPr>
      <w:r>
        <w:rPr>
          <w:rFonts w:ascii="Arial" w:cs="Arial" w:eastAsia="Arial" w:hAnsi="Arial"/>
          <w:sz w:val="18"/>
          <w:szCs w:val="18"/>
          <w:color w:val="auto"/>
        </w:rPr>
        <w:t>Shares 6. Beneficially Owned by</w:t>
      </w:r>
    </w:p>
    <w:p>
      <w:pPr>
        <w:spacing w:after="0" w:line="1" w:lineRule="exact"/>
        <w:rPr>
          <w:sz w:val="20"/>
          <w:szCs w:val="20"/>
          <w:color w:val="auto"/>
        </w:rPr>
      </w:pPr>
    </w:p>
    <w:p>
      <w:pPr>
        <w:ind w:left="52"/>
        <w:spacing w:after="0"/>
        <w:tabs>
          <w:tab w:leader="none" w:pos="1512"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7.</w:t>
      </w:r>
    </w:p>
    <w:p>
      <w:pPr>
        <w:spacing w:after="0" w:line="67"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1652" w:space="420"/>
            <w:col w:w="9120"/>
          </w:cols>
          <w:pgMar w:left="328" w:top="908" w:right="379" w:bottom="1440" w:gutter="0" w:footer="0" w:header="0"/>
          <w:type w:val="continuous"/>
        </w:sectPr>
      </w:pPr>
    </w:p>
    <w:p>
      <w:pPr>
        <w:ind w:left="2072" w:right="7240" w:hanging="547"/>
        <w:spacing w:after="0" w:line="260" w:lineRule="auto"/>
        <w:tabs>
          <w:tab w:leader="none" w:pos="2072" w:val="left"/>
        </w:tabs>
        <w:numPr>
          <w:ilvl w:val="3"/>
          <w:numId w:val="2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85" w:lineRule="exact"/>
        <w:rPr>
          <w:rFonts w:ascii="Arial" w:cs="Arial" w:eastAsia="Arial" w:hAnsi="Arial"/>
          <w:sz w:val="18"/>
          <w:szCs w:val="18"/>
          <w:color w:val="auto"/>
        </w:rPr>
      </w:pPr>
    </w:p>
    <w:p>
      <w:pPr>
        <w:ind w:left="952" w:right="5440" w:hanging="561"/>
        <w:spacing w:after="0" w:line="277" w:lineRule="auto"/>
        <w:tabs>
          <w:tab w:leader="none" w:pos="952" w:val="left"/>
        </w:tabs>
        <w:numPr>
          <w:ilvl w:val="2"/>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70" w:lineRule="exact"/>
        <w:rPr>
          <w:rFonts w:ascii="Arial" w:cs="Arial" w:eastAsia="Arial" w:hAnsi="Arial"/>
          <w:sz w:val="18"/>
          <w:szCs w:val="18"/>
          <w:color w:val="auto"/>
        </w:rPr>
      </w:pPr>
    </w:p>
    <w:p>
      <w:pPr>
        <w:ind w:left="952" w:hanging="561"/>
        <w:spacing w:after="0"/>
        <w:tabs>
          <w:tab w:leader="none" w:pos="952" w:val="left"/>
        </w:tabs>
        <w:numPr>
          <w:ilvl w:val="2"/>
          <w:numId w:val="2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25" w:lineRule="exact"/>
        <w:rPr>
          <w:rFonts w:ascii="Arial" w:cs="Arial" w:eastAsia="Arial" w:hAnsi="Arial"/>
          <w:sz w:val="18"/>
          <w:szCs w:val="18"/>
          <w:color w:val="auto"/>
        </w:rPr>
      </w:pPr>
    </w:p>
    <w:p>
      <w:pPr>
        <w:ind w:left="952" w:hanging="561"/>
        <w:spacing w:after="0"/>
        <w:tabs>
          <w:tab w:leader="none" w:pos="952" w:val="left"/>
        </w:tabs>
        <w:numPr>
          <w:ilvl w:val="2"/>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0.0%</w:t>
      </w:r>
    </w:p>
    <w:p>
      <w:pPr>
        <w:spacing w:after="0" w:line="210" w:lineRule="exact"/>
        <w:rPr>
          <w:rFonts w:ascii="Arial" w:cs="Arial" w:eastAsia="Arial" w:hAnsi="Arial"/>
          <w:sz w:val="18"/>
          <w:szCs w:val="18"/>
          <w:color w:val="auto"/>
        </w:rPr>
      </w:pPr>
    </w:p>
    <w:p>
      <w:pPr>
        <w:ind w:left="952" w:hanging="561"/>
        <w:spacing w:after="0"/>
        <w:tabs>
          <w:tab w:leader="none" w:pos="952" w:val="left"/>
        </w:tabs>
        <w:numPr>
          <w:ilvl w:val="2"/>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ind w:left="312" w:hanging="312"/>
        <w:spacing w:after="0" w:line="275" w:lineRule="auto"/>
        <w:tabs>
          <w:tab w:leader="none" w:pos="312"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This Schedule 13G/A is being filed by (i) Venrock Healthcare Capital Partners II, L.P. (“VHCP-II”), VHCP Co-Investment Holdings II, LLC (“VHCP-II Co-Invest”), Venrock Healthcare Capital Partners III, L.P. (“VHCP-III”), VHCP Co-Investment Holdings III, LLC (“VHCP-III Co-Invest”), VHCP Management II, LLC, the general partner of VHCP-II and the manager of VHCP-II Co-Invest (“VHCPM-III”), VHCP Management III, LLC, the general partner of VHCP-III and the manager of VHCP-III Co-Invest (“VHCPM-III”), Nimish Shah (“Shah”) and Bong Koh (“Koh” and together with VHCP-II, VCHCP-II Co-Invest, VHCP-III, VCHCP-III Co-Invest, VHCPM-II, VHCPM-III and Shah,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-864235</wp:posOffset>
            </wp:positionV>
            <wp:extent cx="65576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-1275715</wp:posOffset>
            </wp:positionV>
            <wp:extent cx="65576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-1687195</wp:posOffset>
            </wp:positionV>
            <wp:extent cx="65576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-1961515</wp:posOffset>
            </wp:positionV>
            <wp:extent cx="65576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-2372995</wp:posOffset>
            </wp:positionV>
            <wp:extent cx="58464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7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type w:val="continuous"/>
        </w:sectPr>
      </w:pPr>
    </w:p>
    <w:bookmarkStart w:id="7" w:name="page8"/>
    <w:bookmarkEnd w:id="7"/>
    <w:p>
      <w:pPr>
        <w:ind w:left="52"/>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52" w:right="8240" w:hanging="561"/>
        <w:spacing w:after="0" w:line="277" w:lineRule="auto"/>
        <w:tabs>
          <w:tab w:leader="none" w:pos="9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 of Reporting Persons Shah, Nimish</w:t>
      </w:r>
    </w:p>
    <w:p>
      <w:pPr>
        <w:spacing w:after="0" w:line="170" w:lineRule="exact"/>
        <w:rPr>
          <w:rFonts w:ascii="Arial" w:cs="Arial" w:eastAsia="Arial" w:hAnsi="Arial"/>
          <w:sz w:val="18"/>
          <w:szCs w:val="18"/>
          <w:color w:val="auto"/>
        </w:rPr>
      </w:pPr>
    </w:p>
    <w:p>
      <w:pPr>
        <w:ind w:left="952" w:hanging="561"/>
        <w:spacing w:after="0"/>
        <w:tabs>
          <w:tab w:leader="none" w:pos="952"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652" w:hanging="694"/>
        <w:spacing w:after="0" w:line="207" w:lineRule="exact"/>
        <w:tabs>
          <w:tab w:leader="none" w:pos="1652"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10" w:lineRule="exact"/>
        <w:rPr>
          <w:rFonts w:ascii="Arial" w:cs="Arial" w:eastAsia="Arial" w:hAnsi="Arial"/>
          <w:sz w:val="18"/>
          <w:szCs w:val="18"/>
          <w:color w:val="auto"/>
        </w:rPr>
      </w:pPr>
    </w:p>
    <w:p>
      <w:pPr>
        <w:ind w:left="1652" w:hanging="694"/>
        <w:spacing w:after="0" w:line="207" w:lineRule="exact"/>
        <w:tabs>
          <w:tab w:leader="none" w:pos="1652"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52" w:hanging="561"/>
        <w:spacing w:after="0"/>
        <w:tabs>
          <w:tab w:leader="none" w:pos="9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52" w:right="7600" w:hanging="561"/>
        <w:spacing w:after="0" w:line="277" w:lineRule="auto"/>
        <w:tabs>
          <w:tab w:leader="none" w:pos="9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-19050</wp:posOffset>
            </wp:positionV>
            <wp:extent cx="65576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-430530</wp:posOffset>
            </wp:positionV>
            <wp:extent cx="65576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-704850</wp:posOffset>
            </wp:positionV>
            <wp:extent cx="61207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-850900</wp:posOffset>
            </wp:positionV>
            <wp:extent cx="61207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-1262380</wp:posOffset>
            </wp:positionV>
            <wp:extent cx="65576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line="250" w:lineRule="auto"/>
        <w:rPr>
          <w:sz w:val="20"/>
          <w:szCs w:val="20"/>
          <w:color w:val="auto"/>
        </w:rPr>
      </w:pPr>
      <w:r>
        <w:rPr>
          <w:rFonts w:ascii="Arial" w:cs="Arial" w:eastAsia="Arial" w:hAnsi="Arial"/>
          <w:sz w:val="18"/>
          <w:szCs w:val="18"/>
          <w:color w:val="auto"/>
        </w:rPr>
        <w:t>Shares 6. Beneficially Owned by</w:t>
      </w:r>
    </w:p>
    <w:p>
      <w:pPr>
        <w:spacing w:after="0" w:line="1" w:lineRule="exact"/>
        <w:rPr>
          <w:sz w:val="20"/>
          <w:szCs w:val="20"/>
          <w:color w:val="auto"/>
        </w:rPr>
      </w:pPr>
    </w:p>
    <w:p>
      <w:pPr>
        <w:ind w:left="52"/>
        <w:spacing w:after="0"/>
        <w:tabs>
          <w:tab w:leader="none" w:pos="1512"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7.</w:t>
      </w:r>
    </w:p>
    <w:p>
      <w:pPr>
        <w:spacing w:after="0" w:line="67"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1652" w:space="420"/>
            <w:col w:w="9120"/>
          </w:cols>
          <w:pgMar w:left="328" w:top="908" w:right="379" w:bottom="1440" w:gutter="0" w:footer="0" w:header="0"/>
          <w:type w:val="continuous"/>
        </w:sectPr>
      </w:pPr>
    </w:p>
    <w:p>
      <w:pPr>
        <w:ind w:left="2072" w:right="7240" w:hanging="547"/>
        <w:spacing w:after="0" w:line="260" w:lineRule="auto"/>
        <w:tabs>
          <w:tab w:leader="none" w:pos="2072" w:val="left"/>
        </w:tabs>
        <w:numPr>
          <w:ilvl w:val="3"/>
          <w:numId w:val="27"/>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85" w:lineRule="exact"/>
        <w:rPr>
          <w:rFonts w:ascii="Arial" w:cs="Arial" w:eastAsia="Arial" w:hAnsi="Arial"/>
          <w:sz w:val="18"/>
          <w:szCs w:val="18"/>
          <w:color w:val="auto"/>
        </w:rPr>
      </w:pPr>
    </w:p>
    <w:p>
      <w:pPr>
        <w:ind w:left="952" w:right="5440" w:hanging="561"/>
        <w:spacing w:after="0" w:line="277" w:lineRule="auto"/>
        <w:tabs>
          <w:tab w:leader="none" w:pos="952" w:val="left"/>
        </w:tabs>
        <w:numPr>
          <w:ilvl w:val="2"/>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70" w:lineRule="exact"/>
        <w:rPr>
          <w:rFonts w:ascii="Arial" w:cs="Arial" w:eastAsia="Arial" w:hAnsi="Arial"/>
          <w:sz w:val="18"/>
          <w:szCs w:val="18"/>
          <w:color w:val="auto"/>
        </w:rPr>
      </w:pPr>
    </w:p>
    <w:p>
      <w:pPr>
        <w:ind w:left="952" w:hanging="561"/>
        <w:spacing w:after="0"/>
        <w:tabs>
          <w:tab w:leader="none" w:pos="952" w:val="left"/>
        </w:tabs>
        <w:numPr>
          <w:ilvl w:val="2"/>
          <w:numId w:val="2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25" w:lineRule="exact"/>
        <w:rPr>
          <w:rFonts w:ascii="Arial" w:cs="Arial" w:eastAsia="Arial" w:hAnsi="Arial"/>
          <w:sz w:val="18"/>
          <w:szCs w:val="18"/>
          <w:color w:val="auto"/>
        </w:rPr>
      </w:pPr>
    </w:p>
    <w:p>
      <w:pPr>
        <w:ind w:left="952" w:hanging="561"/>
        <w:spacing w:after="0"/>
        <w:tabs>
          <w:tab w:leader="none" w:pos="952" w:val="left"/>
        </w:tabs>
        <w:numPr>
          <w:ilvl w:val="2"/>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0.0%</w:t>
      </w:r>
    </w:p>
    <w:p>
      <w:pPr>
        <w:spacing w:after="0" w:line="210" w:lineRule="exact"/>
        <w:rPr>
          <w:rFonts w:ascii="Arial" w:cs="Arial" w:eastAsia="Arial" w:hAnsi="Arial"/>
          <w:sz w:val="18"/>
          <w:szCs w:val="18"/>
          <w:color w:val="auto"/>
        </w:rPr>
      </w:pPr>
    </w:p>
    <w:p>
      <w:pPr>
        <w:ind w:left="952" w:hanging="561"/>
        <w:spacing w:after="0"/>
        <w:tabs>
          <w:tab w:leader="none" w:pos="952" w:val="left"/>
        </w:tabs>
        <w:numPr>
          <w:ilvl w:val="2"/>
          <w:numId w:val="2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51" w:lineRule="exact"/>
        <w:rPr>
          <w:rFonts w:ascii="Arial" w:cs="Arial" w:eastAsia="Arial" w:hAnsi="Arial"/>
          <w:sz w:val="18"/>
          <w:szCs w:val="18"/>
          <w:color w:val="auto"/>
        </w:rPr>
      </w:pPr>
    </w:p>
    <w:p>
      <w:pPr>
        <w:ind w:left="312" w:hanging="312"/>
        <w:spacing w:after="0" w:line="275" w:lineRule="auto"/>
        <w:tabs>
          <w:tab w:leader="none" w:pos="312"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Schedule 13G/A is being filed by (i) Venrock Healthcare Capital Partners II, L.P. (“VHCP-II”), VHCP Co-Investment Holdings II, LLC (“VHCP-II Co-Invest”), Venrock Healthcare Capital Partners III, L.P. (“VHCP-III”), VHCP Co-Investment Holdings III, LLC (“VHCP-III Co-Invest”), VHCP Management II, LLC, the general partner of VHCP-II and the manager of VHCP-II Co-Invest (“VHCPM-III”), VHCP Management III, LLC, the general partner of VHCP-III and the manager of VHCP-III Co-Invest (“VHCPM-III”), Nimish Shah (“Shah”) and Bong Koh (“Koh” and together with VHCP-II, VCHCP-II Co-Invest, VHCP-III, VCHCP-III Co-Invest, VHCPM-II, VHCPM-III and Shah,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-864235</wp:posOffset>
            </wp:positionV>
            <wp:extent cx="65576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-1275715</wp:posOffset>
            </wp:positionV>
            <wp:extent cx="65576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-1687195</wp:posOffset>
            </wp:positionV>
            <wp:extent cx="65576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-1961515</wp:posOffset>
            </wp:positionV>
            <wp:extent cx="65576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-2372995</wp:posOffset>
            </wp:positionV>
            <wp:extent cx="58464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7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type w:val="continuous"/>
        </w:sectPr>
      </w:pPr>
    </w:p>
    <w:bookmarkStart w:id="8" w:name="page9"/>
    <w:bookmarkEnd w:id="8"/>
    <w:p>
      <w:pPr>
        <w:ind w:left="52"/>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52" w:right="8240" w:hanging="561"/>
        <w:spacing w:after="0" w:line="277" w:lineRule="auto"/>
        <w:tabs>
          <w:tab w:leader="none" w:pos="9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Name of Reporting Persons Koh, Bong</w:t>
      </w:r>
    </w:p>
    <w:p>
      <w:pPr>
        <w:spacing w:after="0" w:line="170" w:lineRule="exact"/>
        <w:rPr>
          <w:rFonts w:ascii="Arial" w:cs="Arial" w:eastAsia="Arial" w:hAnsi="Arial"/>
          <w:sz w:val="18"/>
          <w:szCs w:val="18"/>
          <w:color w:val="auto"/>
        </w:rPr>
      </w:pPr>
    </w:p>
    <w:p>
      <w:pPr>
        <w:ind w:left="952" w:hanging="561"/>
        <w:spacing w:after="0"/>
        <w:tabs>
          <w:tab w:leader="none" w:pos="952"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46" w:lineRule="exact"/>
        <w:rPr>
          <w:rFonts w:ascii="Arial" w:cs="Arial" w:eastAsia="Arial" w:hAnsi="Arial"/>
          <w:sz w:val="16"/>
          <w:szCs w:val="16"/>
          <w:color w:val="auto"/>
        </w:rPr>
      </w:pPr>
    </w:p>
    <w:p>
      <w:pPr>
        <w:ind w:left="1652" w:hanging="694"/>
        <w:spacing w:after="0" w:line="207" w:lineRule="exact"/>
        <w:tabs>
          <w:tab w:leader="none" w:pos="1652" w:val="left"/>
        </w:tabs>
        <w:numPr>
          <w:ilvl w:val="1"/>
          <w:numId w:val="3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10" w:lineRule="exact"/>
        <w:rPr>
          <w:rFonts w:ascii="Arial" w:cs="Arial" w:eastAsia="Arial" w:hAnsi="Arial"/>
          <w:sz w:val="18"/>
          <w:szCs w:val="18"/>
          <w:color w:val="auto"/>
        </w:rPr>
      </w:pPr>
    </w:p>
    <w:p>
      <w:pPr>
        <w:ind w:left="1652" w:hanging="694"/>
        <w:spacing w:after="0" w:line="207" w:lineRule="exact"/>
        <w:tabs>
          <w:tab w:leader="none" w:pos="1652" w:val="left"/>
        </w:tabs>
        <w:numPr>
          <w:ilvl w:val="1"/>
          <w:numId w:val="3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52" w:hanging="561"/>
        <w:spacing w:after="0"/>
        <w:tabs>
          <w:tab w:leader="none" w:pos="9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52" w:right="7600" w:hanging="561"/>
        <w:spacing w:after="0" w:line="277" w:lineRule="auto"/>
        <w:tabs>
          <w:tab w:leader="none" w:pos="9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-19050</wp:posOffset>
            </wp:positionV>
            <wp:extent cx="65576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-430530</wp:posOffset>
            </wp:positionV>
            <wp:extent cx="65576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-704850</wp:posOffset>
            </wp:positionV>
            <wp:extent cx="61207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-850900</wp:posOffset>
            </wp:positionV>
            <wp:extent cx="61207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-1262380</wp:posOffset>
            </wp:positionV>
            <wp:extent cx="65576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line="250" w:lineRule="auto"/>
        <w:rPr>
          <w:sz w:val="20"/>
          <w:szCs w:val="20"/>
          <w:color w:val="auto"/>
        </w:rPr>
      </w:pPr>
      <w:r>
        <w:rPr>
          <w:rFonts w:ascii="Arial" w:cs="Arial" w:eastAsia="Arial" w:hAnsi="Arial"/>
          <w:sz w:val="18"/>
          <w:szCs w:val="18"/>
          <w:color w:val="auto"/>
        </w:rPr>
        <w:t>Shares 6. Beneficially Owned by</w:t>
      </w:r>
    </w:p>
    <w:p>
      <w:pPr>
        <w:spacing w:after="0" w:line="1" w:lineRule="exact"/>
        <w:rPr>
          <w:sz w:val="20"/>
          <w:szCs w:val="20"/>
          <w:color w:val="auto"/>
        </w:rPr>
      </w:pPr>
    </w:p>
    <w:p>
      <w:pPr>
        <w:ind w:left="52"/>
        <w:spacing w:after="0"/>
        <w:tabs>
          <w:tab w:leader="none" w:pos="1512"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7.</w:t>
      </w:r>
    </w:p>
    <w:p>
      <w:pPr>
        <w:spacing w:after="0" w:line="67"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58464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1652" w:space="420"/>
            <w:col w:w="9120"/>
          </w:cols>
          <w:pgMar w:left="328" w:top="908" w:right="379" w:bottom="1440" w:gutter="0" w:footer="0" w:header="0"/>
          <w:type w:val="continuous"/>
        </w:sectPr>
      </w:pPr>
    </w:p>
    <w:p>
      <w:pPr>
        <w:ind w:left="2072" w:right="7240" w:hanging="547"/>
        <w:spacing w:after="0" w:line="260" w:lineRule="auto"/>
        <w:tabs>
          <w:tab w:leader="none" w:pos="2072" w:val="left"/>
        </w:tabs>
        <w:numPr>
          <w:ilvl w:val="3"/>
          <w:numId w:val="31"/>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85" w:lineRule="exact"/>
        <w:rPr>
          <w:rFonts w:ascii="Arial" w:cs="Arial" w:eastAsia="Arial" w:hAnsi="Arial"/>
          <w:sz w:val="18"/>
          <w:szCs w:val="18"/>
          <w:color w:val="auto"/>
        </w:rPr>
      </w:pPr>
    </w:p>
    <w:p>
      <w:pPr>
        <w:ind w:left="952" w:right="5440" w:hanging="561"/>
        <w:spacing w:after="0" w:line="277" w:lineRule="auto"/>
        <w:tabs>
          <w:tab w:leader="none" w:pos="952" w:val="left"/>
        </w:tabs>
        <w:numPr>
          <w:ilvl w:val="2"/>
          <w:numId w:val="3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170" w:lineRule="exact"/>
        <w:rPr>
          <w:rFonts w:ascii="Arial" w:cs="Arial" w:eastAsia="Arial" w:hAnsi="Arial"/>
          <w:sz w:val="18"/>
          <w:szCs w:val="18"/>
          <w:color w:val="auto"/>
        </w:rPr>
      </w:pPr>
    </w:p>
    <w:p>
      <w:pPr>
        <w:ind w:left="952" w:hanging="561"/>
        <w:spacing w:after="0"/>
        <w:tabs>
          <w:tab w:leader="none" w:pos="952" w:val="left"/>
        </w:tabs>
        <w:numPr>
          <w:ilvl w:val="2"/>
          <w:numId w:val="3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25" w:lineRule="exact"/>
        <w:rPr>
          <w:rFonts w:ascii="Arial" w:cs="Arial" w:eastAsia="Arial" w:hAnsi="Arial"/>
          <w:sz w:val="18"/>
          <w:szCs w:val="18"/>
          <w:color w:val="auto"/>
        </w:rPr>
      </w:pPr>
    </w:p>
    <w:p>
      <w:pPr>
        <w:ind w:left="952" w:hanging="561"/>
        <w:spacing w:after="0"/>
        <w:tabs>
          <w:tab w:leader="none" w:pos="952" w:val="left"/>
        </w:tabs>
        <w:numPr>
          <w:ilvl w:val="2"/>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0.0%</w:t>
      </w:r>
    </w:p>
    <w:p>
      <w:pPr>
        <w:spacing w:after="0" w:line="210" w:lineRule="exact"/>
        <w:rPr>
          <w:rFonts w:ascii="Arial" w:cs="Arial" w:eastAsia="Arial" w:hAnsi="Arial"/>
          <w:sz w:val="18"/>
          <w:szCs w:val="18"/>
          <w:color w:val="auto"/>
        </w:rPr>
      </w:pPr>
    </w:p>
    <w:p>
      <w:pPr>
        <w:ind w:left="952" w:hanging="561"/>
        <w:spacing w:after="0"/>
        <w:tabs>
          <w:tab w:leader="none" w:pos="952" w:val="left"/>
        </w:tabs>
        <w:numPr>
          <w:ilvl w:val="2"/>
          <w:numId w:val="3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51" w:lineRule="exact"/>
        <w:rPr>
          <w:rFonts w:ascii="Arial" w:cs="Arial" w:eastAsia="Arial" w:hAnsi="Arial"/>
          <w:sz w:val="18"/>
          <w:szCs w:val="18"/>
          <w:color w:val="auto"/>
        </w:rPr>
      </w:pPr>
    </w:p>
    <w:p>
      <w:pPr>
        <w:ind w:left="312" w:hanging="312"/>
        <w:spacing w:after="0" w:line="275" w:lineRule="auto"/>
        <w:tabs>
          <w:tab w:leader="none" w:pos="312"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This Schedule 13G/A is being filed by (i) Venrock Healthcare Capital Partners II, L.P. (“VHCP-II”), VHCP Co-Investment Holdings II, LLC (“VHCP-II Co-Invest”), Venrock Healthcare Capital Partners III, L.P. (“VHCP-III”), VHCP Co-Investment Holdings III, LLC (“VHCP-III Co-Invest”), VHCP Management II, LLC, the general partner of VHCP-II and the manager of VHCP-II Co-Invest (“VHCPM-III”), VHCP Management III, LLC, the general partner of VHCP-III and the manager of VHCP-III Co-Invest (“VHCPM-III”), Nimish Shah (“Shah”) and Bong Koh (“Koh” and together with VHCP-II, VCHCP-II Co-Invest, VHCP-III, VCHCP-III Co-Invest, VHCPM-II, VHCPM-III and Shah,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-864235</wp:posOffset>
            </wp:positionV>
            <wp:extent cx="65576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-1275715</wp:posOffset>
            </wp:positionV>
            <wp:extent cx="65576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-1687195</wp:posOffset>
            </wp:positionV>
            <wp:extent cx="65576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-1961515</wp:posOffset>
            </wp:positionV>
            <wp:extent cx="65576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-2372995</wp:posOffset>
            </wp:positionV>
            <wp:extent cx="58464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7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Introductory Note: This Schedule 13G/A is filed on behalf of (i) Venrock Healthcare Capital Partners II, L.P., a limited partnership organized under the laws of the State of Delaware (“VHCP II”), VHCP Co-Investment Holdings II, LLC, a limited liability company organized under the laws of the State of Delaware (“VHCP-II Co-Invest”), Venrock Healthcare Capital Partners III, L.P., a limited partnership organized under the laws of the State of Delaware (“VHCP-III”), VHCP Co-Investment Holdings III, LLC, a limited liability company organized under the laws of the State of Delaware (“VHCP-III Co-Invest”), VHCP Management II, LLC, a limited liability company organized under the laws of the State of Delaware (“VHCPM-II”), VHCP Management III, LLC, a limited liability company organized under the laws of the State of Delaware (“VHCPM-III”), Nimish Shah (“Shah”) and Bong Koh (“Koh” and together with VHCP-II, VCHCP-II Co-Invest, VHCP-III, VCHCP-III Co-Invest, VHCPM-II, VHCPM-III and Shah, the “Reporting Persons”) in respect of Common Stock of Axsome Therapeutics,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420" w:hanging="454"/>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Axsome Therapeutics, Inc.</w:t>
      </w:r>
    </w:p>
    <w:p>
      <w:pPr>
        <w:spacing w:after="0" w:line="183" w:lineRule="exact"/>
        <w:rPr>
          <w:rFonts w:ascii="Arial" w:cs="Arial" w:eastAsia="Arial" w:hAnsi="Arial"/>
          <w:sz w:val="18"/>
          <w:szCs w:val="18"/>
          <w:color w:val="auto"/>
        </w:rPr>
      </w:pPr>
    </w:p>
    <w:p>
      <w:pPr>
        <w:ind w:left="1420" w:right="6400" w:hanging="454"/>
        <w:spacing w:after="0" w:line="216"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Address of Issuer’s Principal Executive Offices 200 Broadway,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w:t>
      </w:r>
    </w:p>
    <w:p>
      <w:pPr>
        <w:spacing w:after="0" w:line="2"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New York, NY 10038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4445</wp:posOffset>
            </wp:positionV>
            <wp:extent cx="62661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-551815</wp:posOffset>
            </wp:positionV>
            <wp:extent cx="6266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420" w:hanging="454"/>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20" w:right="6600"/>
        <w:spacing w:after="0" w:line="265" w:lineRule="auto"/>
        <w:rPr>
          <w:rFonts w:ascii="Arial" w:cs="Arial" w:eastAsia="Arial" w:hAnsi="Arial"/>
          <w:sz w:val="18"/>
          <w:szCs w:val="18"/>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VHCP Management II, LLC</w:t>
      </w:r>
    </w:p>
    <w:p>
      <w:pPr>
        <w:ind w:left="1420" w:right="7700"/>
        <w:spacing w:after="0" w:line="250" w:lineRule="auto"/>
        <w:rPr>
          <w:rFonts w:ascii="Arial" w:cs="Arial" w:eastAsia="Arial" w:hAnsi="Arial"/>
          <w:sz w:val="18"/>
          <w:szCs w:val="18"/>
          <w:color w:val="auto"/>
        </w:rPr>
      </w:pPr>
      <w:r>
        <w:rPr>
          <w:rFonts w:ascii="Arial" w:cs="Arial" w:eastAsia="Arial" w:hAnsi="Arial"/>
          <w:sz w:val="18"/>
          <w:szCs w:val="18"/>
          <w:color w:val="auto"/>
        </w:rPr>
        <w:t>VHCP Management III, LLC Nimish Shah</w:t>
      </w:r>
    </w:p>
    <w:p>
      <w:pPr>
        <w:ind w:left="1420"/>
        <w:spacing w:after="0"/>
        <w:rPr>
          <w:rFonts w:ascii="Arial" w:cs="Arial" w:eastAsia="Arial" w:hAnsi="Arial"/>
          <w:sz w:val="18"/>
          <w:szCs w:val="18"/>
          <w:color w:val="auto"/>
        </w:rPr>
      </w:pPr>
      <w:r>
        <w:rPr>
          <w:rFonts w:ascii="Arial" w:cs="Arial" w:eastAsia="Arial" w:hAnsi="Arial"/>
          <w:sz w:val="18"/>
          <w:szCs w:val="18"/>
          <w:color w:val="auto"/>
        </w:rPr>
        <w:t>Bong Koh</w:t>
      </w:r>
    </w:p>
    <w:p>
      <w:pPr>
        <w:spacing w:after="0" w:line="183" w:lineRule="exact"/>
        <w:rPr>
          <w:rFonts w:ascii="Arial" w:cs="Arial" w:eastAsia="Arial" w:hAnsi="Arial"/>
          <w:sz w:val="18"/>
          <w:szCs w:val="18"/>
          <w:color w:val="auto"/>
        </w:rPr>
      </w:pPr>
    </w:p>
    <w:p>
      <w:pPr>
        <w:ind w:left="1420" w:hanging="454"/>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-241935</wp:posOffset>
            </wp:positionV>
            <wp:extent cx="62661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66180" cy="8890"/>
                    </a:xfrm>
                    <a:prstGeom prst="rect">
                      <a:avLst/>
                    </a:prstGeom>
                    <a:noFill/>
                  </pic:spPr>
                </pic:pic>
              </a:graphicData>
            </a:graphic>
          </wp:anchor>
        </w:drawing>
      </w:r>
    </w:p>
    <w:p>
      <w:pPr>
        <w:spacing w:after="0" w:line="205"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New York Office:</w:t>
            </w:r>
          </w:p>
        </w:tc>
        <w:tc>
          <w:tcPr>
            <w:tcW w:w="7220" w:type="dxa"/>
            <w:vAlign w:val="bottom"/>
          </w:tcPr>
          <w:p>
            <w:pPr>
              <w:ind w:left="1020"/>
              <w:spacing w:after="0"/>
              <w:rPr>
                <w:sz w:val="20"/>
                <w:szCs w:val="20"/>
                <w:color w:val="auto"/>
              </w:rPr>
            </w:pPr>
            <w:r>
              <w:rPr>
                <w:rFonts w:ascii="Arial" w:cs="Arial" w:eastAsia="Arial" w:hAnsi="Arial"/>
                <w:sz w:val="18"/>
                <w:szCs w:val="18"/>
                <w:color w:val="auto"/>
              </w:rPr>
              <w:t>Palo Alto Office:</w:t>
            </w:r>
          </w:p>
        </w:tc>
      </w:tr>
      <w:tr>
        <w:trPr>
          <w:trHeight w:val="418"/>
        </w:trPr>
        <w:tc>
          <w:tcPr>
            <w:tcW w:w="2640" w:type="dxa"/>
            <w:vAlign w:val="bottom"/>
          </w:tcPr>
          <w:p>
            <w:pPr>
              <w:ind w:left="40"/>
              <w:spacing w:after="0"/>
              <w:rPr>
                <w:sz w:val="20"/>
                <w:szCs w:val="20"/>
                <w:color w:val="auto"/>
              </w:rPr>
            </w:pPr>
            <w:r>
              <w:rPr>
                <w:rFonts w:ascii="Arial" w:cs="Arial" w:eastAsia="Arial" w:hAnsi="Arial"/>
                <w:sz w:val="18"/>
                <w:szCs w:val="18"/>
                <w:color w:val="auto"/>
              </w:rPr>
              <w:t>7 Bryant Park</w:t>
            </w:r>
          </w:p>
        </w:tc>
        <w:tc>
          <w:tcPr>
            <w:tcW w:w="7220" w:type="dxa"/>
            <w:vAlign w:val="bottom"/>
          </w:tcPr>
          <w:p>
            <w:pPr>
              <w:ind w:left="1020"/>
              <w:spacing w:after="0"/>
              <w:rPr>
                <w:sz w:val="20"/>
                <w:szCs w:val="20"/>
                <w:color w:val="auto"/>
              </w:rPr>
            </w:pPr>
            <w:r>
              <w:rPr>
                <w:rFonts w:ascii="Arial" w:cs="Arial" w:eastAsia="Arial" w:hAnsi="Arial"/>
                <w:sz w:val="18"/>
                <w:szCs w:val="18"/>
                <w:color w:val="auto"/>
              </w:rPr>
              <w:t>3340 Hillview Avenue</w:t>
            </w:r>
          </w:p>
        </w:tc>
      </w:tr>
      <w:tr>
        <w:trPr>
          <w:trHeight w:val="216"/>
        </w:trPr>
        <w:tc>
          <w:tcPr>
            <w:tcW w:w="2640" w:type="dxa"/>
            <w:vAlign w:val="bottom"/>
          </w:tcPr>
          <w:p>
            <w:pPr>
              <w:ind w:left="40"/>
              <w:spacing w:after="0"/>
              <w:rPr>
                <w:sz w:val="20"/>
                <w:szCs w:val="20"/>
                <w:color w:val="auto"/>
              </w:rPr>
            </w:pPr>
            <w:r>
              <w:rPr>
                <w:rFonts w:ascii="Arial" w:cs="Arial" w:eastAsia="Arial" w:hAnsi="Arial"/>
                <w:sz w:val="18"/>
                <w:szCs w:val="18"/>
                <w:color w:val="auto"/>
              </w:rPr>
              <w:t>23rd Floor</w:t>
            </w:r>
          </w:p>
        </w:tc>
        <w:tc>
          <w:tcPr>
            <w:tcW w:w="7220" w:type="dxa"/>
            <w:vAlign w:val="bottom"/>
          </w:tcPr>
          <w:p>
            <w:pPr>
              <w:ind w:left="1020"/>
              <w:spacing w:after="0"/>
              <w:rPr>
                <w:sz w:val="20"/>
                <w:szCs w:val="20"/>
                <w:color w:val="auto"/>
              </w:rPr>
            </w:pPr>
            <w:r>
              <w:rPr>
                <w:rFonts w:ascii="Arial" w:cs="Arial" w:eastAsia="Arial" w:hAnsi="Arial"/>
                <w:sz w:val="18"/>
                <w:szCs w:val="18"/>
                <w:color w:val="auto"/>
              </w:rPr>
              <w:t>Palo Alto, CA 94304</w:t>
            </w:r>
          </w:p>
        </w:tc>
      </w:tr>
      <w:tr>
        <w:trPr>
          <w:trHeight w:val="230"/>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New York, NY 10018</w:t>
            </w:r>
          </w:p>
        </w:tc>
        <w:tc>
          <w:tcPr>
            <w:tcW w:w="7220" w:type="dxa"/>
            <w:vAlign w:val="bottom"/>
            <w:tcBorders>
              <w:bottom w:val="single" w:sz="8" w:color="auto"/>
            </w:tcBorders>
          </w:tcPr>
          <w:p>
            <w:pPr>
              <w:spacing w:after="0"/>
              <w:rPr>
                <w:sz w:val="20"/>
                <w:szCs w:val="20"/>
                <w:color w:val="auto"/>
              </w:rPr>
            </w:pPr>
          </w:p>
        </w:tc>
      </w:tr>
    </w:tbl>
    <w:p>
      <w:pPr>
        <w:spacing w:after="0" w:line="161" w:lineRule="exact"/>
        <w:rPr>
          <w:sz w:val="20"/>
          <w:szCs w:val="20"/>
          <w:color w:val="auto"/>
        </w:rPr>
      </w:pPr>
    </w:p>
    <w:p>
      <w:pPr>
        <w:ind w:left="1420" w:hanging="454"/>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All of the Venrock Entities were organized in Delaware. The individuals are both United States citizens.</w:t>
      </w:r>
    </w:p>
    <w:p>
      <w:pPr>
        <w:spacing w:after="0" w:line="183" w:lineRule="exact"/>
        <w:rPr>
          <w:rFonts w:ascii="Arial" w:cs="Arial" w:eastAsia="Arial" w:hAnsi="Arial"/>
          <w:sz w:val="18"/>
          <w:szCs w:val="18"/>
          <w:color w:val="auto"/>
        </w:rPr>
      </w:pPr>
    </w:p>
    <w:p>
      <w:pPr>
        <w:ind w:left="1420" w:right="7900" w:hanging="454"/>
        <w:spacing w:after="0" w:line="342" w:lineRule="auto"/>
        <w:tabs>
          <w:tab w:leader="none" w:pos="1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96" w:lineRule="exact"/>
        <w:rPr>
          <w:rFonts w:ascii="Arial" w:cs="Arial" w:eastAsia="Arial" w:hAnsi="Arial"/>
          <w:sz w:val="16"/>
          <w:szCs w:val="16"/>
          <w:color w:val="auto"/>
        </w:rPr>
      </w:pPr>
    </w:p>
    <w:p>
      <w:pPr>
        <w:ind w:left="1420" w:right="8660" w:hanging="454"/>
        <w:spacing w:after="0" w:line="342" w:lineRule="auto"/>
        <w:tabs>
          <w:tab w:leader="none" w:pos="1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CUSIP Number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-48895</wp:posOffset>
            </wp:positionV>
            <wp:extent cx="62661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66180" cy="889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-443230</wp:posOffset>
            </wp:positionV>
            <wp:extent cx="62661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-837565</wp:posOffset>
            </wp:positionV>
            <wp:extent cx="6266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left="60"/>
        <w:spacing w:after="0"/>
        <w:rPr>
          <w:sz w:val="20"/>
          <w:szCs w:val="20"/>
          <w:color w:val="auto"/>
        </w:rPr>
      </w:pPr>
      <w:r>
        <w:rPr>
          <w:rFonts w:ascii="Arial" w:cs="Arial" w:eastAsia="Arial" w:hAnsi="Arial"/>
          <w:sz w:val="16"/>
          <w:szCs w:val="16"/>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this statement is filed pursuant to §§240.13d-1(b), or 240.13d-2(b) or (c), check whether the person filing is a:</w:t>
      </w:r>
    </w:p>
    <w:p>
      <w:pPr>
        <w:spacing w:after="0" w:line="211" w:lineRule="exact"/>
        <w:rPr>
          <w:sz w:val="20"/>
          <w:szCs w:val="20"/>
          <w:color w:val="auto"/>
        </w:rPr>
      </w:pPr>
    </w:p>
    <w:p>
      <w:pPr>
        <w:sectPr>
          <w:pgSz w:w="11900" w:h="16838" w:orient="portrait"/>
          <w:cols w:equalWidth="0" w:num="2">
            <w:col w:w="540" w:space="580"/>
            <w:col w:w="10120"/>
          </w:cols>
          <w:pgMar w:left="320" w:top="908" w:right="339" w:bottom="1440" w:gutter="0" w:footer="0" w:header="0"/>
          <w:type w:val="continuous"/>
        </w:sectPr>
      </w:pPr>
    </w:p>
    <w:p>
      <w:pPr>
        <w:spacing w:after="0" w:line="4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908"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211" w:lineRule="exact"/>
        <w:rPr>
          <w:sz w:val="20"/>
          <w:szCs w:val="20"/>
          <w:color w:val="auto"/>
        </w:rPr>
      </w:pPr>
    </w:p>
    <w:p>
      <w:pPr>
        <w:sectPr>
          <w:pgSz w:w="11900" w:h="16838" w:orient="portrait"/>
          <w:cols w:equalWidth="0" w:num="2">
            <w:col w:w="540" w:space="580"/>
            <w:col w:w="10120"/>
          </w:cols>
          <w:pgMar w:left="320" w:top="908" w:right="339" w:bottom="1440" w:gutter="0" w:footer="0" w:header="0"/>
          <w:type w:val="continuous"/>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gridSpan w:val="3"/>
          </w:tcPr>
          <w:p>
            <w:pPr>
              <w:ind w:left="1260"/>
              <w:spacing w:after="0"/>
              <w:rPr>
                <w:sz w:val="20"/>
                <w:szCs w:val="20"/>
                <w:color w:val="auto"/>
              </w:rPr>
            </w:pPr>
            <w:r>
              <w:rPr>
                <w:rFonts w:ascii="Arial" w:cs="Arial" w:eastAsia="Arial" w:hAnsi="Arial"/>
                <w:sz w:val="18"/>
                <w:szCs w:val="18"/>
                <w:color w:val="auto"/>
              </w:rPr>
              <w:t>(a)  Amount beneficially owned as of December 31, 2022:</w:t>
            </w:r>
          </w:p>
        </w:tc>
        <w:tc>
          <w:tcPr>
            <w:tcW w:w="1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4"/>
                <w:szCs w:val="4"/>
                <w:color w:val="auto"/>
              </w:rPr>
            </w:pPr>
          </w:p>
        </w:tc>
        <w:tc>
          <w:tcPr>
            <w:tcW w:w="1340" w:type="dxa"/>
            <w:vAlign w:val="bottom"/>
            <w:vMerge w:val="restart"/>
          </w:tcPr>
          <w:p>
            <w:pPr>
              <w:spacing w:after="0"/>
              <w:rPr>
                <w:sz w:val="4"/>
                <w:szCs w:val="4"/>
                <w:color w:val="auto"/>
              </w:rPr>
            </w:pPr>
          </w:p>
        </w:tc>
        <w:tc>
          <w:tcPr>
            <w:tcW w:w="5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8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 LLC</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VHCP Management III, LLC</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Bong Koh</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580" w:type="dxa"/>
            <w:vAlign w:val="bottom"/>
          </w:tcPr>
          <w:p>
            <w:pPr>
              <w:spacing w:after="0"/>
              <w:rPr>
                <w:sz w:val="17"/>
                <w:szCs w:val="17"/>
                <w:color w:val="auto"/>
              </w:rPr>
            </w:pPr>
          </w:p>
        </w:tc>
        <w:tc>
          <w:tcPr>
            <w:tcW w:w="6440" w:type="dxa"/>
            <w:vAlign w:val="bottom"/>
            <w:tcBorders>
              <w:bottom w:val="single" w:sz="8" w:color="auto"/>
            </w:tcBorders>
            <w:gridSpan w:val="2"/>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020" w:type="dxa"/>
            <w:vAlign w:val="bottom"/>
            <w:gridSpan w:val="3"/>
          </w:tcPr>
          <w:p>
            <w:pPr>
              <w:ind w:left="1240"/>
              <w:spacing w:after="0"/>
              <w:rPr>
                <w:sz w:val="20"/>
                <w:szCs w:val="20"/>
                <w:color w:val="auto"/>
              </w:rPr>
            </w:pPr>
            <w:r>
              <w:rPr>
                <w:rFonts w:ascii="Arial" w:cs="Arial" w:eastAsia="Arial" w:hAnsi="Arial"/>
                <w:sz w:val="18"/>
                <w:szCs w:val="18"/>
                <w:color w:val="auto"/>
              </w:rPr>
              <w:t>(b)  Percent of class as of December 31, 2022:</w:t>
            </w:r>
          </w:p>
        </w:tc>
        <w:tc>
          <w:tcPr>
            <w:tcW w:w="16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4"/>
                <w:szCs w:val="4"/>
                <w:color w:val="auto"/>
              </w:rPr>
            </w:pPr>
          </w:p>
        </w:tc>
        <w:tc>
          <w:tcPr>
            <w:tcW w:w="1340" w:type="dxa"/>
            <w:vAlign w:val="bottom"/>
            <w:vMerge w:val="restart"/>
          </w:tcPr>
          <w:p>
            <w:pPr>
              <w:spacing w:after="0"/>
              <w:rPr>
                <w:sz w:val="4"/>
                <w:szCs w:val="4"/>
                <w:color w:val="auto"/>
              </w:rPr>
            </w:pPr>
          </w:p>
        </w:tc>
        <w:tc>
          <w:tcPr>
            <w:tcW w:w="5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8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1660" w:type="dxa"/>
            <w:vAlign w:val="bottom"/>
          </w:tcPr>
          <w:p>
            <w:pPr>
              <w:jc w:val="right"/>
              <w:spacing w:after="0"/>
              <w:rPr>
                <w:sz w:val="20"/>
                <w:szCs w:val="20"/>
                <w:color w:val="auto"/>
              </w:rPr>
            </w:pPr>
            <w:r>
              <w:rPr>
                <w:rFonts w:ascii="Arial" w:cs="Arial" w:eastAsia="Arial" w:hAnsi="Arial"/>
                <w:sz w:val="18"/>
                <w:szCs w:val="18"/>
                <w:color w:val="auto"/>
              </w:rPr>
              <w:t>0.0%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1660" w:type="dxa"/>
            <w:vAlign w:val="bottom"/>
          </w:tcPr>
          <w:p>
            <w:pPr>
              <w:jc w:val="right"/>
              <w:spacing w:after="0"/>
              <w:rPr>
                <w:sz w:val="20"/>
                <w:szCs w:val="20"/>
                <w:color w:val="auto"/>
              </w:rPr>
            </w:pPr>
            <w:r>
              <w:rPr>
                <w:rFonts w:ascii="Arial" w:cs="Arial" w:eastAsia="Arial" w:hAnsi="Arial"/>
                <w:sz w:val="18"/>
                <w:szCs w:val="18"/>
                <w:color w:val="auto"/>
              </w:rPr>
              <w:t>0.0%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 LLC</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VHCP Management III, LLC</w:t>
            </w:r>
          </w:p>
        </w:tc>
        <w:tc>
          <w:tcPr>
            <w:tcW w:w="1660" w:type="dxa"/>
            <w:vAlign w:val="bottom"/>
          </w:tcPr>
          <w:p>
            <w:pPr>
              <w:jc w:val="right"/>
              <w:spacing w:after="0"/>
              <w:rPr>
                <w:sz w:val="20"/>
                <w:szCs w:val="20"/>
                <w:color w:val="auto"/>
              </w:rPr>
            </w:pPr>
            <w:r>
              <w:rPr>
                <w:rFonts w:ascii="Arial" w:cs="Arial" w:eastAsia="Arial" w:hAnsi="Arial"/>
                <w:sz w:val="18"/>
                <w:szCs w:val="18"/>
                <w:color w:val="auto"/>
              </w:rPr>
              <w:t>0.0%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Bong Koh</w:t>
            </w:r>
          </w:p>
        </w:tc>
        <w:tc>
          <w:tcPr>
            <w:tcW w:w="1660" w:type="dxa"/>
            <w:vAlign w:val="bottom"/>
          </w:tcPr>
          <w:p>
            <w:pPr>
              <w:jc w:val="right"/>
              <w:spacing w:after="0"/>
              <w:rPr>
                <w:sz w:val="20"/>
                <w:szCs w:val="20"/>
                <w:color w:val="auto"/>
              </w:rPr>
            </w:pPr>
            <w:r>
              <w:rPr>
                <w:rFonts w:ascii="Arial" w:cs="Arial" w:eastAsia="Arial" w:hAnsi="Arial"/>
                <w:sz w:val="18"/>
                <w:szCs w:val="18"/>
                <w:color w:val="auto"/>
              </w:rPr>
              <w:t>0.0%</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580" w:type="dxa"/>
            <w:vAlign w:val="bottom"/>
          </w:tcPr>
          <w:p>
            <w:pPr>
              <w:spacing w:after="0"/>
              <w:rPr>
                <w:sz w:val="17"/>
                <w:szCs w:val="17"/>
                <w:color w:val="auto"/>
              </w:rPr>
            </w:pPr>
          </w:p>
        </w:tc>
        <w:tc>
          <w:tcPr>
            <w:tcW w:w="6440" w:type="dxa"/>
            <w:vAlign w:val="bottom"/>
            <w:tcBorders>
              <w:bottom w:val="single" w:sz="8" w:color="auto"/>
            </w:tcBorders>
            <w:gridSpan w:val="2"/>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020" w:type="dxa"/>
            <w:vAlign w:val="bottom"/>
            <w:gridSpan w:val="3"/>
          </w:tcPr>
          <w:p>
            <w:pPr>
              <w:ind w:left="1260"/>
              <w:spacing w:after="0"/>
              <w:rPr>
                <w:sz w:val="20"/>
                <w:szCs w:val="20"/>
                <w:color w:val="auto"/>
              </w:rPr>
            </w:pPr>
            <w:r>
              <w:rPr>
                <w:rFonts w:ascii="Arial" w:cs="Arial" w:eastAsia="Arial" w:hAnsi="Arial"/>
                <w:sz w:val="18"/>
                <w:szCs w:val="18"/>
                <w:color w:val="auto"/>
              </w:rPr>
              <w:t>(c)  Number of shares as to which the person has, as of December 31, 2022:</w:t>
            </w:r>
          </w:p>
        </w:tc>
        <w:tc>
          <w:tcPr>
            <w:tcW w:w="16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6440" w:type="dxa"/>
            <w:vAlign w:val="bottom"/>
            <w:tcBorders>
              <w:bottom w:val="single" w:sz="8" w:color="auto"/>
            </w:tcBorders>
            <w:gridSpan w:val="2"/>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80" w:type="dxa"/>
            <w:vAlign w:val="bottom"/>
          </w:tcPr>
          <w:p>
            <w:pPr>
              <w:spacing w:after="0"/>
              <w:rPr>
                <w:sz w:val="22"/>
                <w:szCs w:val="22"/>
                <w:color w:val="auto"/>
              </w:rPr>
            </w:pPr>
          </w:p>
        </w:tc>
        <w:tc>
          <w:tcPr>
            <w:tcW w:w="6440" w:type="dxa"/>
            <w:vAlign w:val="bottom"/>
            <w:gridSpan w:val="2"/>
          </w:tcPr>
          <w:p>
            <w:pPr>
              <w:jc w:val="right"/>
              <w:ind w:right="2990"/>
              <w:spacing w:after="0"/>
              <w:rPr>
                <w:sz w:val="20"/>
                <w:szCs w:val="20"/>
                <w:color w:val="auto"/>
              </w:rPr>
            </w:pPr>
            <w:r>
              <w:rPr>
                <w:rFonts w:ascii="Arial" w:cs="Arial" w:eastAsia="Arial" w:hAnsi="Arial"/>
                <w:sz w:val="18"/>
                <w:szCs w:val="18"/>
                <w:color w:val="auto"/>
                <w:w w:val="99"/>
              </w:rPr>
              <w:t>(i)  Sole power to vote or to direct the vote</w:t>
            </w:r>
          </w:p>
        </w:tc>
        <w:tc>
          <w:tcPr>
            <w:tcW w:w="16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580" w:type="dxa"/>
            <w:vAlign w:val="bottom"/>
            <w:vMerge w:val="restart"/>
          </w:tcPr>
          <w:p>
            <w:pPr>
              <w:spacing w:after="0"/>
              <w:rPr>
                <w:sz w:val="4"/>
                <w:szCs w:val="4"/>
                <w:color w:val="auto"/>
              </w:rPr>
            </w:pPr>
          </w:p>
        </w:tc>
        <w:tc>
          <w:tcPr>
            <w:tcW w:w="1340" w:type="dxa"/>
            <w:vAlign w:val="bottom"/>
            <w:vMerge w:val="restart"/>
          </w:tcPr>
          <w:p>
            <w:pPr>
              <w:spacing w:after="0"/>
              <w:rPr>
                <w:sz w:val="4"/>
                <w:szCs w:val="4"/>
                <w:color w:val="auto"/>
              </w:rPr>
            </w:pPr>
          </w:p>
        </w:tc>
        <w:tc>
          <w:tcPr>
            <w:tcW w:w="5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8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 LLC</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VHCP Management III, LLC</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Bong Koh</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8020" w:type="dxa"/>
            <w:vAlign w:val="bottom"/>
            <w:tcBorders>
              <w:bottom w:val="single" w:sz="8" w:color="auto"/>
            </w:tcBorders>
            <w:gridSpan w:val="3"/>
          </w:tcPr>
          <w:p>
            <w:pPr>
              <w:jc w:val="right"/>
              <w:ind w:right="2210"/>
              <w:spacing w:after="0"/>
              <w:rPr>
                <w:sz w:val="20"/>
                <w:szCs w:val="20"/>
                <w:color w:val="auto"/>
              </w:rPr>
            </w:pPr>
            <w:r>
              <w:rPr>
                <w:rFonts w:ascii="Arial" w:cs="Arial" w:eastAsia="Arial" w:hAnsi="Arial"/>
                <w:sz w:val="18"/>
                <w:szCs w:val="18"/>
                <w:color w:val="auto"/>
              </w:rPr>
              <w:t>11</w:t>
            </w:r>
          </w:p>
        </w:tc>
        <w:tc>
          <w:tcPr>
            <w:tcW w:w="16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type w:val="continuous"/>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1485265</wp:posOffset>
            </wp:positionH>
            <wp:positionV relativeFrom="page">
              <wp:posOffset>723265</wp:posOffset>
            </wp:positionV>
            <wp:extent cx="5854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tbl>
      <w:tblPr>
        <w:tblLayout w:type="fixed"/>
        <w:tblInd w:w="1600" w:type="dxa"/>
        <w:tblCellMar>
          <w:top w:w="0" w:type="dxa"/>
          <w:left w:w="0" w:type="dxa"/>
          <w:bottom w:w="0" w:type="dxa"/>
          <w:right w:w="0" w:type="dxa"/>
        </w:tblCellMar>
      </w:tblPr>
      <w:tr>
        <w:trPr>
          <w:trHeight w:val="244"/>
        </w:trPr>
        <w:tc>
          <w:tcPr>
            <w:tcW w:w="6120" w:type="dxa"/>
            <w:vAlign w:val="bottom"/>
            <w:gridSpan w:val="3"/>
          </w:tcPr>
          <w:p>
            <w:pPr>
              <w:ind w:left="40"/>
              <w:spacing w:after="0"/>
              <w:rPr>
                <w:sz w:val="20"/>
                <w:szCs w:val="20"/>
                <w:color w:val="auto"/>
              </w:rPr>
            </w:pPr>
            <w:r>
              <w:rPr>
                <w:rFonts w:ascii="Arial" w:cs="Arial" w:eastAsia="Arial" w:hAnsi="Arial"/>
                <w:sz w:val="18"/>
                <w:szCs w:val="18"/>
                <w:color w:val="auto"/>
              </w:rPr>
              <w:t>(ii)  Shared power to vote or to direct the vote</w:t>
            </w:r>
          </w:p>
        </w:tc>
        <w:tc>
          <w:tcPr>
            <w:tcW w:w="19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420" w:type="dxa"/>
            <w:vAlign w:val="bottom"/>
            <w:vMerge w:val="restart"/>
          </w:tcPr>
          <w:p>
            <w:pPr>
              <w:spacing w:after="0"/>
              <w:rPr>
                <w:sz w:val="4"/>
                <w:szCs w:val="4"/>
                <w:color w:val="auto"/>
              </w:rPr>
            </w:pPr>
          </w:p>
        </w:tc>
        <w:tc>
          <w:tcPr>
            <w:tcW w:w="780" w:type="dxa"/>
            <w:vAlign w:val="bottom"/>
            <w:vMerge w:val="restart"/>
          </w:tcPr>
          <w:p>
            <w:pPr>
              <w:spacing w:after="0"/>
              <w:rPr>
                <w:sz w:val="4"/>
                <w:szCs w:val="4"/>
                <w:color w:val="auto"/>
              </w:rPr>
            </w:pPr>
          </w:p>
        </w:tc>
        <w:tc>
          <w:tcPr>
            <w:tcW w:w="49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1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1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 LLC</w:t>
            </w:r>
          </w:p>
        </w:tc>
        <w:tc>
          <w:tcPr>
            <w:tcW w:w="1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VHCP Management III, LLC</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1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Bong Koh</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700" w:type="dxa"/>
            <w:vAlign w:val="bottom"/>
            <w:tcBorders>
              <w:bottom w:val="single" w:sz="8" w:color="auto"/>
            </w:tcBorders>
            <w:gridSpan w:val="2"/>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120" w:type="dxa"/>
            <w:vAlign w:val="bottom"/>
            <w:gridSpan w:val="3"/>
          </w:tcPr>
          <w:p>
            <w:pPr>
              <w:spacing w:after="0"/>
              <w:rPr>
                <w:sz w:val="20"/>
                <w:szCs w:val="20"/>
                <w:color w:val="auto"/>
              </w:rPr>
            </w:pPr>
            <w:r>
              <w:rPr>
                <w:rFonts w:ascii="Arial" w:cs="Arial" w:eastAsia="Arial" w:hAnsi="Arial"/>
                <w:sz w:val="18"/>
                <w:szCs w:val="18"/>
                <w:color w:val="auto"/>
              </w:rPr>
              <w:t>(iii)  Sole power to dispose or to direct the disposition of</w:t>
            </w:r>
          </w:p>
        </w:tc>
        <w:tc>
          <w:tcPr>
            <w:tcW w:w="19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20" w:type="dxa"/>
            <w:vAlign w:val="bottom"/>
            <w:vMerge w:val="restart"/>
          </w:tcPr>
          <w:p>
            <w:pPr>
              <w:spacing w:after="0"/>
              <w:rPr>
                <w:sz w:val="4"/>
                <w:szCs w:val="4"/>
                <w:color w:val="auto"/>
              </w:rPr>
            </w:pPr>
          </w:p>
        </w:tc>
        <w:tc>
          <w:tcPr>
            <w:tcW w:w="780" w:type="dxa"/>
            <w:vAlign w:val="bottom"/>
            <w:vMerge w:val="restart"/>
          </w:tcPr>
          <w:p>
            <w:pPr>
              <w:spacing w:after="0"/>
              <w:rPr>
                <w:sz w:val="4"/>
                <w:szCs w:val="4"/>
                <w:color w:val="auto"/>
              </w:rPr>
            </w:pPr>
          </w:p>
        </w:tc>
        <w:tc>
          <w:tcPr>
            <w:tcW w:w="49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1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1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 LLC</w:t>
            </w:r>
          </w:p>
        </w:tc>
        <w:tc>
          <w:tcPr>
            <w:tcW w:w="1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VHCP Management III, LLC</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1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Bong Koh</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700" w:type="dxa"/>
            <w:vAlign w:val="bottom"/>
            <w:tcBorders>
              <w:bottom w:val="single" w:sz="8" w:color="auto"/>
            </w:tcBorders>
            <w:gridSpan w:val="2"/>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(iv)  Shared power to dispose or to direct the disposition of</w:t>
            </w:r>
          </w:p>
        </w:tc>
        <w:tc>
          <w:tcPr>
            <w:tcW w:w="19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20" w:type="dxa"/>
            <w:vAlign w:val="bottom"/>
            <w:vMerge w:val="restart"/>
          </w:tcPr>
          <w:p>
            <w:pPr>
              <w:spacing w:after="0"/>
              <w:rPr>
                <w:sz w:val="4"/>
                <w:szCs w:val="4"/>
                <w:color w:val="auto"/>
              </w:rPr>
            </w:pPr>
          </w:p>
        </w:tc>
        <w:tc>
          <w:tcPr>
            <w:tcW w:w="780" w:type="dxa"/>
            <w:vAlign w:val="bottom"/>
            <w:vMerge w:val="restart"/>
          </w:tcPr>
          <w:p>
            <w:pPr>
              <w:spacing w:after="0"/>
              <w:rPr>
                <w:sz w:val="4"/>
                <w:szCs w:val="4"/>
                <w:color w:val="auto"/>
              </w:rPr>
            </w:pPr>
          </w:p>
        </w:tc>
        <w:tc>
          <w:tcPr>
            <w:tcW w:w="49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1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1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 LLC</w:t>
            </w:r>
          </w:p>
        </w:tc>
        <w:tc>
          <w:tcPr>
            <w:tcW w:w="1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VHCP Management III, LLC</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1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Bong Koh</w:t>
            </w: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128270</wp:posOffset>
            </wp:positionV>
            <wp:extent cx="58547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2" w:name="page13"/>
    <w:bookmarkEnd w:id="12"/>
    <w:p>
      <w:pPr>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260" w:right="480" w:hanging="1241"/>
        <w:spacing w:after="0" w:line="282" w:lineRule="auto"/>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right="180"/>
        <w:spacing w:after="0" w:line="49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February 14,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Venrock Healthcare Capital Partners II, L.P.</w:t>
            </w:r>
          </w:p>
        </w:tc>
        <w:tc>
          <w:tcPr>
            <w:tcW w:w="5720" w:type="dxa"/>
            <w:vAlign w:val="bottom"/>
            <w:gridSpan w:val="3"/>
          </w:tcPr>
          <w:p>
            <w:pPr>
              <w:ind w:left="240"/>
              <w:spacing w:after="0"/>
              <w:rPr>
                <w:sz w:val="20"/>
                <w:szCs w:val="20"/>
                <w:color w:val="auto"/>
              </w:rPr>
            </w:pPr>
            <w:r>
              <w:rPr>
                <w:rFonts w:ascii="Arial" w:cs="Arial" w:eastAsia="Arial" w:hAnsi="Arial"/>
                <w:sz w:val="18"/>
                <w:szCs w:val="18"/>
                <w:b w:val="1"/>
                <w:bCs w:val="1"/>
                <w:color w:val="auto"/>
              </w:rPr>
              <w:t>Venrock Healthcare Capital Partners III, L.P.</w:t>
            </w:r>
          </w:p>
        </w:tc>
        <w:tc>
          <w:tcPr>
            <w:tcW w:w="0" w:type="dxa"/>
            <w:vAlign w:val="bottom"/>
          </w:tcPr>
          <w:p>
            <w:pPr>
              <w:spacing w:after="0"/>
              <w:rPr>
                <w:sz w:val="1"/>
                <w:szCs w:val="1"/>
                <w:color w:val="auto"/>
              </w:rPr>
            </w:pP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gridSpan w:val="2"/>
          </w:tcPr>
          <w:p>
            <w:pPr>
              <w:spacing w:after="0"/>
              <w:rPr>
                <w:sz w:val="20"/>
                <w:szCs w:val="20"/>
                <w:color w:val="auto"/>
              </w:rPr>
            </w:pPr>
            <w:r>
              <w:rPr>
                <w:rFonts w:ascii="Arial" w:cs="Arial" w:eastAsia="Arial" w:hAnsi="Arial"/>
                <w:sz w:val="18"/>
                <w:szCs w:val="18"/>
                <w:color w:val="auto"/>
              </w:rPr>
              <w:t>VHCP Management II, LLC</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VHCP Management III, LLC</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Its:</w:t>
            </w:r>
          </w:p>
        </w:tc>
        <w:tc>
          <w:tcPr>
            <w:tcW w:w="506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680" w:type="dxa"/>
            <w:vAlign w:val="bottom"/>
          </w:tcPr>
          <w:p>
            <w:pPr>
              <w:ind w:left="240"/>
              <w:spacing w:after="0"/>
              <w:rPr>
                <w:sz w:val="20"/>
                <w:szCs w:val="20"/>
                <w:color w:val="auto"/>
              </w:rPr>
            </w:pPr>
            <w:r>
              <w:rPr>
                <w:rFonts w:ascii="Arial" w:cs="Arial" w:eastAsia="Arial" w:hAnsi="Arial"/>
                <w:sz w:val="18"/>
                <w:szCs w:val="18"/>
                <w:color w:val="auto"/>
              </w:rPr>
              <w:t>Its:</w:t>
            </w:r>
          </w:p>
        </w:tc>
        <w:tc>
          <w:tcPr>
            <w:tcW w:w="504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5060" w:type="dxa"/>
            <w:vAlign w:val="bottom"/>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680" w:type="dxa"/>
            <w:vAlign w:val="bottom"/>
          </w:tcPr>
          <w:p>
            <w:pPr>
              <w:spacing w:after="0"/>
              <w:rPr>
                <w:sz w:val="16"/>
                <w:szCs w:val="16"/>
                <w:color w:val="auto"/>
              </w:rPr>
            </w:pPr>
          </w:p>
        </w:tc>
        <w:tc>
          <w:tcPr>
            <w:tcW w:w="5040" w:type="dxa"/>
            <w:vAlign w:val="bottom"/>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ind w:left="20"/>
              <w:spacing w:after="0"/>
              <w:rPr>
                <w:sz w:val="20"/>
                <w:szCs w:val="20"/>
                <w:color w:val="auto"/>
              </w:rPr>
            </w:pPr>
            <w:r>
              <w:rPr>
                <w:rFonts w:ascii="Arial" w:cs="Arial" w:eastAsia="Arial" w:hAnsi="Arial"/>
                <w:sz w:val="18"/>
                <w:szCs w:val="18"/>
                <w:color w:val="auto"/>
              </w:rPr>
              <w:t>Authorized Signatory</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Its:</w:t>
            </w:r>
          </w:p>
        </w:tc>
        <w:tc>
          <w:tcPr>
            <w:tcW w:w="4600" w:type="dxa"/>
            <w:vAlign w:val="bottom"/>
          </w:tcPr>
          <w:p>
            <w:pPr>
              <w:ind w:left="12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32"/>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VHCP Co-Investment Holdings II, LLC</w:t>
            </w:r>
          </w:p>
        </w:tc>
        <w:tc>
          <w:tcPr>
            <w:tcW w:w="5720" w:type="dxa"/>
            <w:vAlign w:val="bottom"/>
            <w:gridSpan w:val="3"/>
          </w:tcPr>
          <w:p>
            <w:pPr>
              <w:ind w:left="240"/>
              <w:spacing w:after="0"/>
              <w:rPr>
                <w:sz w:val="20"/>
                <w:szCs w:val="20"/>
                <w:color w:val="auto"/>
              </w:rPr>
            </w:pPr>
            <w:r>
              <w:rPr>
                <w:rFonts w:ascii="Arial" w:cs="Arial" w:eastAsia="Arial" w:hAnsi="Arial"/>
                <w:sz w:val="18"/>
                <w:szCs w:val="18"/>
                <w:b w:val="1"/>
                <w:bCs w:val="1"/>
                <w:color w:val="auto"/>
              </w:rPr>
              <w:t>VHCP Co-Investment Holdings III, LLC</w:t>
            </w:r>
          </w:p>
        </w:tc>
        <w:tc>
          <w:tcPr>
            <w:tcW w:w="0" w:type="dxa"/>
            <w:vAlign w:val="bottom"/>
          </w:tcPr>
          <w:p>
            <w:pPr>
              <w:spacing w:after="0"/>
              <w:rPr>
                <w:sz w:val="1"/>
                <w:szCs w:val="1"/>
                <w:color w:val="auto"/>
              </w:rPr>
            </w:pP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gridSpan w:val="2"/>
          </w:tcPr>
          <w:p>
            <w:pPr>
              <w:spacing w:after="0"/>
              <w:rPr>
                <w:sz w:val="20"/>
                <w:szCs w:val="20"/>
                <w:color w:val="auto"/>
              </w:rPr>
            </w:pPr>
            <w:r>
              <w:rPr>
                <w:rFonts w:ascii="Arial" w:cs="Arial" w:eastAsia="Arial" w:hAnsi="Arial"/>
                <w:sz w:val="18"/>
                <w:szCs w:val="18"/>
                <w:color w:val="auto"/>
              </w:rPr>
              <w:t>VHCP Management II, LLC</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VHCP Management III, LLC</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Its:</w:t>
            </w:r>
          </w:p>
        </w:tc>
        <w:tc>
          <w:tcPr>
            <w:tcW w:w="5060" w:type="dxa"/>
            <w:vAlign w:val="bottom"/>
            <w:gridSpan w:val="2"/>
          </w:tcPr>
          <w:p>
            <w:pPr>
              <w:spacing w:after="0"/>
              <w:rPr>
                <w:sz w:val="20"/>
                <w:szCs w:val="20"/>
                <w:color w:val="auto"/>
              </w:rPr>
            </w:pPr>
            <w:r>
              <w:rPr>
                <w:rFonts w:ascii="Arial" w:cs="Arial" w:eastAsia="Arial" w:hAnsi="Arial"/>
                <w:sz w:val="18"/>
                <w:szCs w:val="18"/>
                <w:color w:val="auto"/>
              </w:rPr>
              <w:t>Manager</w:t>
            </w:r>
          </w:p>
        </w:tc>
        <w:tc>
          <w:tcPr>
            <w:tcW w:w="680" w:type="dxa"/>
            <w:vAlign w:val="bottom"/>
          </w:tcPr>
          <w:p>
            <w:pPr>
              <w:ind w:left="240"/>
              <w:spacing w:after="0"/>
              <w:rPr>
                <w:sz w:val="20"/>
                <w:szCs w:val="20"/>
                <w:color w:val="auto"/>
              </w:rPr>
            </w:pPr>
            <w:r>
              <w:rPr>
                <w:rFonts w:ascii="Arial" w:cs="Arial" w:eastAsia="Arial" w:hAnsi="Arial"/>
                <w:sz w:val="18"/>
                <w:szCs w:val="18"/>
                <w:color w:val="auto"/>
              </w:rPr>
              <w:t>Its:</w:t>
            </w:r>
          </w:p>
        </w:tc>
        <w:tc>
          <w:tcPr>
            <w:tcW w:w="5040" w:type="dxa"/>
            <w:vAlign w:val="bottom"/>
            <w:gridSpan w:val="2"/>
          </w:tcPr>
          <w:p>
            <w:pPr>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5060" w:type="dxa"/>
            <w:vAlign w:val="bottom"/>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680" w:type="dxa"/>
            <w:vAlign w:val="bottom"/>
          </w:tcPr>
          <w:p>
            <w:pPr>
              <w:spacing w:after="0"/>
              <w:rPr>
                <w:sz w:val="16"/>
                <w:szCs w:val="16"/>
                <w:color w:val="auto"/>
              </w:rPr>
            </w:pPr>
          </w:p>
        </w:tc>
        <w:tc>
          <w:tcPr>
            <w:tcW w:w="5040" w:type="dxa"/>
            <w:vAlign w:val="bottom"/>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ind w:left="20"/>
              <w:spacing w:after="0"/>
              <w:rPr>
                <w:sz w:val="20"/>
                <w:szCs w:val="20"/>
                <w:color w:val="auto"/>
              </w:rPr>
            </w:pPr>
            <w:r>
              <w:rPr>
                <w:rFonts w:ascii="Arial" w:cs="Arial" w:eastAsia="Arial" w:hAnsi="Arial"/>
                <w:sz w:val="18"/>
                <w:szCs w:val="18"/>
                <w:color w:val="auto"/>
              </w:rPr>
              <w:t>Authorized Signatory</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Its:</w:t>
            </w:r>
          </w:p>
        </w:tc>
        <w:tc>
          <w:tcPr>
            <w:tcW w:w="4600" w:type="dxa"/>
            <w:vAlign w:val="bottom"/>
          </w:tcPr>
          <w:p>
            <w:pPr>
              <w:ind w:left="12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32"/>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VHCP Management II, LLC</w:t>
            </w:r>
          </w:p>
        </w:tc>
        <w:tc>
          <w:tcPr>
            <w:tcW w:w="5720" w:type="dxa"/>
            <w:vAlign w:val="bottom"/>
            <w:gridSpan w:val="3"/>
          </w:tcPr>
          <w:p>
            <w:pPr>
              <w:ind w:left="240"/>
              <w:spacing w:after="0"/>
              <w:rPr>
                <w:sz w:val="20"/>
                <w:szCs w:val="20"/>
                <w:color w:val="auto"/>
              </w:rPr>
            </w:pPr>
            <w:r>
              <w:rPr>
                <w:rFonts w:ascii="Arial" w:cs="Arial" w:eastAsia="Arial" w:hAnsi="Arial"/>
                <w:sz w:val="18"/>
                <w:szCs w:val="18"/>
                <w:b w:val="1"/>
                <w:bCs w:val="1"/>
                <w:color w:val="auto"/>
              </w:rPr>
              <w:t>VHCP Management III, LLC</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5060" w:type="dxa"/>
            <w:vAlign w:val="bottom"/>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680" w:type="dxa"/>
            <w:vAlign w:val="bottom"/>
          </w:tcPr>
          <w:p>
            <w:pPr>
              <w:spacing w:after="0"/>
              <w:rPr>
                <w:sz w:val="16"/>
                <w:szCs w:val="16"/>
                <w:color w:val="auto"/>
              </w:rPr>
            </w:pPr>
          </w:p>
        </w:tc>
        <w:tc>
          <w:tcPr>
            <w:tcW w:w="5040" w:type="dxa"/>
            <w:vAlign w:val="bottom"/>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ind w:left="20"/>
              <w:spacing w:after="0"/>
              <w:rPr>
                <w:sz w:val="20"/>
                <w:szCs w:val="20"/>
                <w:color w:val="auto"/>
              </w:rPr>
            </w:pPr>
            <w:r>
              <w:rPr>
                <w:rFonts w:ascii="Arial" w:cs="Arial" w:eastAsia="Arial" w:hAnsi="Arial"/>
                <w:sz w:val="18"/>
                <w:szCs w:val="18"/>
                <w:color w:val="auto"/>
              </w:rPr>
              <w:t>Authorized Signatory</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Its:</w:t>
            </w:r>
          </w:p>
        </w:tc>
        <w:tc>
          <w:tcPr>
            <w:tcW w:w="4600" w:type="dxa"/>
            <w:vAlign w:val="bottom"/>
          </w:tcPr>
          <w:p>
            <w:pPr>
              <w:ind w:left="12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91"/>
              </w:rPr>
              <w:t>Nimish Shah</w:t>
            </w:r>
          </w:p>
        </w:tc>
        <w:tc>
          <w:tcPr>
            <w:tcW w:w="4500" w:type="dxa"/>
            <w:vAlign w:val="bottom"/>
          </w:tcPr>
          <w:p>
            <w:pPr>
              <w:spacing w:after="0"/>
              <w:rPr>
                <w:sz w:val="24"/>
                <w:szCs w:val="24"/>
                <w:color w:val="auto"/>
              </w:rPr>
            </w:pPr>
          </w:p>
        </w:tc>
        <w:tc>
          <w:tcPr>
            <w:tcW w:w="1120" w:type="dxa"/>
            <w:vAlign w:val="bottom"/>
            <w:gridSpan w:val="2"/>
          </w:tcPr>
          <w:p>
            <w:pPr>
              <w:ind w:left="240"/>
              <w:spacing w:after="0"/>
              <w:rPr>
                <w:sz w:val="20"/>
                <w:szCs w:val="20"/>
                <w:color w:val="auto"/>
              </w:rPr>
            </w:pPr>
            <w:r>
              <w:rPr>
                <w:rFonts w:ascii="Arial" w:cs="Arial" w:eastAsia="Arial" w:hAnsi="Arial"/>
                <w:sz w:val="18"/>
                <w:szCs w:val="18"/>
                <w:b w:val="1"/>
                <w:bCs w:val="1"/>
                <w:color w:val="auto"/>
                <w:w w:val="99"/>
              </w:rPr>
              <w:t>Bong Koh</w:t>
            </w: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David L. Stepp, as attorney-in-fact</w:t>
            </w:r>
          </w:p>
        </w:tc>
        <w:tc>
          <w:tcPr>
            <w:tcW w:w="68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David L. Stepp, as attorney-in-fact</w:t>
            </w:r>
          </w:p>
        </w:tc>
        <w:tc>
          <w:tcPr>
            <w:tcW w:w="0" w:type="dxa"/>
            <w:vAlign w:val="bottom"/>
          </w:tcPr>
          <w:p>
            <w:pPr>
              <w:spacing w:after="0"/>
              <w:rPr>
                <w:sz w:val="1"/>
                <w:szCs w:val="1"/>
                <w:color w:val="auto"/>
              </w:rPr>
            </w:pPr>
          </w:p>
        </w:tc>
      </w:tr>
      <w:tr>
        <w:trPr>
          <w:trHeight w:val="418"/>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Venrock Opportunities Fund, L.P.</w:t>
            </w:r>
          </w:p>
        </w:tc>
        <w:tc>
          <w:tcPr>
            <w:tcW w:w="5720" w:type="dxa"/>
            <w:vAlign w:val="bottom"/>
            <w:gridSpan w:val="3"/>
          </w:tcPr>
          <w:p>
            <w:pPr>
              <w:ind w:left="240"/>
              <w:spacing w:after="0"/>
              <w:rPr>
                <w:sz w:val="20"/>
                <w:szCs w:val="20"/>
                <w:color w:val="auto"/>
              </w:rPr>
            </w:pPr>
            <w:r>
              <w:rPr>
                <w:rFonts w:ascii="Arial" w:cs="Arial" w:eastAsia="Arial" w:hAnsi="Arial"/>
                <w:sz w:val="18"/>
                <w:szCs w:val="18"/>
                <w:b w:val="1"/>
                <w:bCs w:val="1"/>
                <w:color w:val="auto"/>
              </w:rPr>
              <w:t>Venrock Opportunities Management, LLC</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gridSpan w:val="2"/>
          </w:tcPr>
          <w:p>
            <w:pPr>
              <w:spacing w:after="0"/>
              <w:rPr>
                <w:sz w:val="20"/>
                <w:szCs w:val="20"/>
                <w:color w:val="auto"/>
              </w:rPr>
            </w:pPr>
            <w:r>
              <w:rPr>
                <w:rFonts w:ascii="Arial" w:cs="Arial" w:eastAsia="Arial" w:hAnsi="Arial"/>
                <w:sz w:val="18"/>
                <w:szCs w:val="18"/>
                <w:color w:val="auto"/>
              </w:rPr>
              <w:t>Venrock Opportunities Management, LLC</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0" w:type="dxa"/>
            <w:vAlign w:val="bottom"/>
          </w:tcPr>
          <w:p>
            <w:pPr>
              <w:spacing w:after="0"/>
              <w:rPr>
                <w:sz w:val="1"/>
                <w:szCs w:val="1"/>
                <w:color w:val="auto"/>
              </w:rPr>
            </w:pPr>
          </w:p>
        </w:tc>
      </w:tr>
      <w:tr>
        <w:trPr>
          <w:trHeight w:val="195"/>
        </w:trPr>
        <w:tc>
          <w:tcPr>
            <w:tcW w:w="460" w:type="dxa"/>
            <w:vAlign w:val="bottom"/>
          </w:tcPr>
          <w:p>
            <w:pPr>
              <w:spacing w:after="0" w:line="195" w:lineRule="exact"/>
              <w:rPr>
                <w:sz w:val="20"/>
                <w:szCs w:val="20"/>
                <w:color w:val="auto"/>
              </w:rPr>
            </w:pPr>
            <w:r>
              <w:rPr>
                <w:rFonts w:ascii="Arial" w:cs="Arial" w:eastAsia="Arial" w:hAnsi="Arial"/>
                <w:sz w:val="18"/>
                <w:szCs w:val="18"/>
                <w:color w:val="auto"/>
              </w:rPr>
              <w:t>Its:</w:t>
            </w:r>
          </w:p>
        </w:tc>
        <w:tc>
          <w:tcPr>
            <w:tcW w:w="5060" w:type="dxa"/>
            <w:vAlign w:val="bottom"/>
            <w:gridSpan w:val="2"/>
          </w:tcPr>
          <w:p>
            <w:pPr>
              <w:spacing w:after="0" w:line="195" w:lineRule="exact"/>
              <w:rPr>
                <w:sz w:val="20"/>
                <w:szCs w:val="20"/>
                <w:color w:val="auto"/>
              </w:rPr>
            </w:pPr>
            <w:r>
              <w:rPr>
                <w:rFonts w:ascii="Arial" w:cs="Arial" w:eastAsia="Arial" w:hAnsi="Arial"/>
                <w:sz w:val="18"/>
                <w:szCs w:val="18"/>
                <w:color w:val="auto"/>
              </w:rPr>
              <w:t>General Partner</w:t>
            </w:r>
          </w:p>
        </w:tc>
        <w:tc>
          <w:tcPr>
            <w:tcW w:w="680" w:type="dxa"/>
            <w:vAlign w:val="bottom"/>
          </w:tcPr>
          <w:p>
            <w:pPr>
              <w:spacing w:after="0"/>
              <w:rPr>
                <w:sz w:val="16"/>
                <w:szCs w:val="16"/>
                <w:color w:val="auto"/>
              </w:rPr>
            </w:pPr>
          </w:p>
        </w:tc>
        <w:tc>
          <w:tcPr>
            <w:tcW w:w="5040" w:type="dxa"/>
            <w:vAlign w:val="bottom"/>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0" w:type="dxa"/>
            <w:vAlign w:val="bottom"/>
          </w:tcPr>
          <w:p>
            <w:pPr>
              <w:spacing w:after="0"/>
              <w:rPr>
                <w:sz w:val="1"/>
                <w:szCs w:val="1"/>
                <w:color w:val="auto"/>
              </w:rPr>
            </w:pPr>
          </w:p>
        </w:tc>
      </w:tr>
      <w:tr>
        <w:trPr>
          <w:trHeight w:val="230"/>
        </w:trPr>
        <w:tc>
          <w:tcPr>
            <w:tcW w:w="460" w:type="dxa"/>
            <w:vAlign w:val="bottom"/>
            <w:vMerge w:val="restart"/>
          </w:tcPr>
          <w:p>
            <w:pPr>
              <w:spacing w:after="0"/>
              <w:rPr>
                <w:sz w:val="20"/>
                <w:szCs w:val="20"/>
                <w:color w:val="auto"/>
              </w:rPr>
            </w:pPr>
            <w:r>
              <w:rPr>
                <w:rFonts w:ascii="Arial" w:cs="Arial" w:eastAsia="Arial" w:hAnsi="Arial"/>
                <w:sz w:val="18"/>
                <w:szCs w:val="18"/>
                <w:color w:val="auto"/>
              </w:rPr>
              <w:t>By:</w:t>
            </w:r>
          </w:p>
        </w:tc>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/s/ David L. Stepp</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Its:</w:t>
            </w:r>
          </w:p>
        </w:tc>
        <w:tc>
          <w:tcPr>
            <w:tcW w:w="4600" w:type="dxa"/>
            <w:vAlign w:val="bottom"/>
          </w:tcPr>
          <w:p>
            <w:pPr>
              <w:ind w:left="12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221"/>
        </w:trPr>
        <w:tc>
          <w:tcPr>
            <w:tcW w:w="460" w:type="dxa"/>
            <w:vAlign w:val="bottom"/>
            <w:vMerge w:val="continue"/>
          </w:tcPr>
          <w:p>
            <w:pPr>
              <w:spacing w:after="0"/>
              <w:rPr>
                <w:sz w:val="18"/>
                <w:szCs w:val="18"/>
                <w:color w:val="auto"/>
              </w:rPr>
            </w:pPr>
          </w:p>
        </w:tc>
        <w:tc>
          <w:tcPr>
            <w:tcW w:w="5060" w:type="dxa"/>
            <w:vAlign w:val="bottom"/>
            <w:tcBorders>
              <w:bottom w:val="single" w:sz="8" w:color="auto"/>
            </w:tcBorders>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5060" w:type="dxa"/>
            <w:vAlign w:val="bottom"/>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500" w:type="dxa"/>
            <w:vAlign w:val="bottom"/>
          </w:tcPr>
          <w:p>
            <w:pPr>
              <w:ind w:left="20"/>
              <w:spacing w:after="0"/>
              <w:rPr>
                <w:sz w:val="20"/>
                <w:szCs w:val="20"/>
                <w:color w:val="auto"/>
              </w:rPr>
            </w:pPr>
            <w:r>
              <w:rPr>
                <w:rFonts w:ascii="Arial" w:cs="Arial" w:eastAsia="Arial" w:hAnsi="Arial"/>
                <w:sz w:val="18"/>
                <w:szCs w:val="18"/>
                <w:color w:val="auto"/>
              </w:rPr>
              <w:t>Authorized Signatory</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14</w:t>
            </w:r>
          </w:p>
        </w:tc>
        <w:tc>
          <w:tcPr>
            <w:tcW w:w="4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14" w:name="page15"/>
    <w:bookmarkEnd w:id="14"/>
    <w:p>
      <w:pPr>
        <w:ind w:left="60"/>
        <w:spacing w:after="0"/>
        <w:rPr>
          <w:sz w:val="20"/>
          <w:szCs w:val="20"/>
          <w:color w:val="auto"/>
        </w:rPr>
      </w:pPr>
      <w:r>
        <w:rPr>
          <w:rFonts w:ascii="Arial" w:cs="Arial" w:eastAsia="Arial" w:hAnsi="Arial"/>
          <w:sz w:val="16"/>
          <w:szCs w:val="16"/>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7" w:lineRule="exact"/>
        <w:rPr>
          <w:sz w:val="20"/>
          <w:szCs w:val="20"/>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Joint Filing Agreement (incorporated by reference to Exhibit A to Schedule 13G filed January 28, 2019)</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Power of Attorney for Nimish Shah (incorporated by reference to Exhibit B to Schedule 13G filed January 28, 2019)</w:t>
      </w:r>
    </w:p>
    <w:p>
      <w:pPr>
        <w:spacing w:after="0" w:line="32" w:lineRule="exact"/>
        <w:rPr>
          <w:rFonts w:ascii="Arial" w:cs="Arial" w:eastAsia="Arial" w:hAnsi="Arial"/>
          <w:sz w:val="16"/>
          <w:szCs w:val="16"/>
          <w:color w:val="auto"/>
        </w:rPr>
      </w:pPr>
    </w:p>
    <w:p>
      <w:pPr>
        <w:ind w:left="220" w:hanging="212"/>
        <w:spacing w:after="0"/>
        <w:tabs>
          <w:tab w:leader="none" w:pos="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Power of Attorney for Bong Koh (incorporated by reference to Exhibit C to Schedule 13G filed January 28, 2019)</w:t>
      </w:r>
    </w:p>
    <w:p>
      <w:pPr>
        <w:spacing w:after="0" w:line="200" w:lineRule="exact"/>
        <w:rPr>
          <w:sz w:val="20"/>
          <w:szCs w:val="20"/>
          <w:color w:val="auto"/>
        </w:rPr>
      </w:pPr>
    </w:p>
    <w:p>
      <w:pPr>
        <w:spacing w:after="0" w:line="25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lvl w:ilvl="1">
      <w:lvlJc w:val="left"/>
      <w:lvlText w:val="o"/>
      <w:numFmt w:val="bullet"/>
      <w:start w:val="1"/>
    </w:lvl>
  </w:abstractNum>
  <w:abstractNum w:abstractNumId="1">
    <w:nsid w:val="257130A3"/>
    <w:multiLevelType w:val="hybridMultilevel"/>
    <w:lvl w:ilvl="0">
      <w:lvlJc w:val="left"/>
      <w:lvlText w:val="%1."/>
      <w:numFmt w:val="decimal"/>
      <w:start w:val="1"/>
    </w:lvl>
    <w:lvl w:ilvl="1">
      <w:lvlJc w:val="left"/>
      <w:lvlText w:val="(%2)"/>
      <w:numFmt w:val="lowerLetter"/>
      <w:start w:val="1"/>
    </w:lvl>
  </w:abstractNum>
  <w:abstractNum w:abstractNumId="2">
    <w:nsid w:val="62BBD95A"/>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decimal"/>
      <w:start w:val="8"/>
    </w:lvl>
  </w:abstractNum>
  <w:abstractNum w:abstractNumId="3">
    <w:nsid w:val="436C6125"/>
    <w:multiLevelType w:val="hybridMultilevel"/>
    <w:lvl w:ilvl="0">
      <w:lvlJc w:val="left"/>
      <w:lvlText w:val="%1"/>
      <w:numFmt w:val="decimal"/>
      <w:start w:val="1"/>
    </w:lvl>
    <w:lvl w:ilvl="1">
      <w:lvlJc w:val="left"/>
      <w:lvlText w:val="%2"/>
      <w:numFmt w:val="upperLetter"/>
      <w:start w:val="1"/>
    </w:lvl>
    <w:lvl w:ilvl="2">
      <w:lvlJc w:val="left"/>
      <w:lvlText w:val="%3."/>
      <w:numFmt w:val="decimal"/>
      <w:start w:val="9"/>
    </w:lvl>
    <w:lvl w:ilvl="3">
      <w:lvlJc w:val="left"/>
      <w:lvlText w:val="%4"/>
      <w:numFmt w:val="decimal"/>
      <w:start w:val="1"/>
    </w:lvl>
  </w:abstractNum>
  <w:abstractNum w:abstractNumId="4">
    <w:nsid w:val="628C895D"/>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decimal"/>
      <w:start w:val="1"/>
    </w:lvl>
  </w:abstractNum>
  <w:abstractNum w:abstractNumId="5">
    <w:nsid w:val="333AB105"/>
    <w:multiLevelType w:val="hybridMultilevel"/>
    <w:lvl w:ilvl="0">
      <w:lvlJc w:val="left"/>
      <w:lvlText w:val="%1."/>
      <w:numFmt w:val="decimal"/>
      <w:start w:val="1"/>
    </w:lvl>
    <w:lvl w:ilvl="1">
      <w:lvlJc w:val="left"/>
      <w:lvlText w:val="(%2)"/>
      <w:numFmt w:val="lowerLetter"/>
      <w:start w:val="1"/>
    </w:lvl>
  </w:abstractNum>
  <w:abstractNum w:abstractNumId="6">
    <w:nsid w:val="721DA317"/>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decimal"/>
      <w:start w:val="8"/>
    </w:lvl>
  </w:abstractNum>
  <w:abstractNum w:abstractNumId="7">
    <w:nsid w:val="2443A858"/>
    <w:multiLevelType w:val="hybridMultilevel"/>
    <w:lvl w:ilvl="0">
      <w:lvlJc w:val="left"/>
      <w:lvlText w:val="%1"/>
      <w:numFmt w:val="decimal"/>
      <w:start w:val="1"/>
    </w:lvl>
    <w:lvl w:ilvl="1">
      <w:lvlJc w:val="left"/>
      <w:lvlText w:val="%2"/>
      <w:numFmt w:val="upperLetter"/>
      <w:start w:val="1"/>
    </w:lvl>
    <w:lvl w:ilvl="2">
      <w:lvlJc w:val="left"/>
      <w:lvlText w:val="%3."/>
      <w:numFmt w:val="decimal"/>
      <w:start w:val="9"/>
    </w:lvl>
    <w:lvl w:ilvl="3">
      <w:lvlJc w:val="left"/>
      <w:lvlText w:val="%4"/>
      <w:numFmt w:val="decimal"/>
      <w:start w:val="1"/>
    </w:lvl>
  </w:abstractNum>
  <w:abstractNum w:abstractNumId="8">
    <w:nsid w:val="2D1D5AE9"/>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decimal"/>
      <w:start w:val="1"/>
    </w:lvl>
  </w:abstractNum>
  <w:abstractNum w:abstractNumId="9">
    <w:nsid w:val="6763845E"/>
    <w:multiLevelType w:val="hybridMultilevel"/>
    <w:lvl w:ilvl="0">
      <w:lvlJc w:val="left"/>
      <w:lvlText w:val="%1."/>
      <w:numFmt w:val="decimal"/>
      <w:start w:val="1"/>
    </w:lvl>
    <w:lvl w:ilvl="1">
      <w:lvlJc w:val="left"/>
      <w:lvlText w:val="(%2)"/>
      <w:numFmt w:val="lowerLetter"/>
      <w:start w:val="1"/>
    </w:lvl>
  </w:abstractNum>
  <w:abstractNum w:abstractNumId="10">
    <w:nsid w:val="75A2A8D4"/>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decimal"/>
      <w:start w:val="8"/>
    </w:lvl>
  </w:abstractNum>
  <w:abstractNum w:abstractNumId="11">
    <w:nsid w:val="8EDBDAB"/>
    <w:multiLevelType w:val="hybridMultilevel"/>
    <w:lvl w:ilvl="0">
      <w:lvlJc w:val="left"/>
      <w:lvlText w:val="%1"/>
      <w:numFmt w:val="decimal"/>
      <w:start w:val="1"/>
    </w:lvl>
    <w:lvl w:ilvl="1">
      <w:lvlJc w:val="left"/>
      <w:lvlText w:val="%2"/>
      <w:numFmt w:val="upperLetter"/>
      <w:start w:val="1"/>
    </w:lvl>
    <w:lvl w:ilvl="2">
      <w:lvlJc w:val="left"/>
      <w:lvlText w:val="%3."/>
      <w:numFmt w:val="decimal"/>
      <w:start w:val="9"/>
    </w:lvl>
    <w:lvl w:ilvl="3">
      <w:lvlJc w:val="left"/>
      <w:lvlText w:val="%4"/>
      <w:numFmt w:val="decimal"/>
      <w:start w:val="1"/>
    </w:lvl>
  </w:abstractNum>
  <w:abstractNum w:abstractNumId="12">
    <w:nsid w:val="79838CB2"/>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decimal"/>
      <w:start w:val="1"/>
    </w:lvl>
  </w:abstractNum>
  <w:abstractNum w:abstractNumId="13">
    <w:nsid w:val="4353D0CD"/>
    <w:multiLevelType w:val="hybridMultilevel"/>
    <w:lvl w:ilvl="0">
      <w:lvlJc w:val="left"/>
      <w:lvlText w:val="%1."/>
      <w:numFmt w:val="decimal"/>
      <w:start w:val="1"/>
    </w:lvl>
    <w:lvl w:ilvl="1">
      <w:lvlJc w:val="left"/>
      <w:lvlText w:val="(%2)"/>
      <w:numFmt w:val="lowerLetter"/>
      <w:start w:val="1"/>
    </w:lvl>
  </w:abstractNum>
  <w:abstractNum w:abstractNumId="14">
    <w:nsid w:val="B03E0C6"/>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decimal"/>
      <w:start w:val="8"/>
    </w:lvl>
  </w:abstractNum>
  <w:abstractNum w:abstractNumId="15">
    <w:nsid w:val="189A769B"/>
    <w:multiLevelType w:val="hybridMultilevel"/>
    <w:lvl w:ilvl="0">
      <w:lvlJc w:val="left"/>
      <w:lvlText w:val="%1"/>
      <w:numFmt w:val="decimal"/>
      <w:start w:val="1"/>
    </w:lvl>
    <w:lvl w:ilvl="1">
      <w:lvlJc w:val="left"/>
      <w:lvlText w:val="%2"/>
      <w:numFmt w:val="upperLetter"/>
      <w:start w:val="1"/>
    </w:lvl>
    <w:lvl w:ilvl="2">
      <w:lvlJc w:val="left"/>
      <w:lvlText w:val="%3."/>
      <w:numFmt w:val="decimal"/>
      <w:start w:val="9"/>
    </w:lvl>
    <w:lvl w:ilvl="3">
      <w:lvlJc w:val="left"/>
      <w:lvlText w:val="%4"/>
      <w:numFmt w:val="decimal"/>
      <w:start w:val="1"/>
    </w:lvl>
  </w:abstractNum>
  <w:abstractNum w:abstractNumId="16">
    <w:nsid w:val="54E49EB4"/>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decimal"/>
      <w:start w:val="1"/>
    </w:lvl>
  </w:abstractNum>
  <w:abstractNum w:abstractNumId="17">
    <w:nsid w:val="71F32454"/>
    <w:multiLevelType w:val="hybridMultilevel"/>
    <w:lvl w:ilvl="0">
      <w:lvlJc w:val="left"/>
      <w:lvlText w:val="%1."/>
      <w:numFmt w:val="decimal"/>
      <w:start w:val="1"/>
    </w:lvl>
    <w:lvl w:ilvl="1">
      <w:lvlJc w:val="left"/>
      <w:lvlText w:val="(%2)"/>
      <w:numFmt w:val="lowerLetter"/>
      <w:start w:val="1"/>
    </w:lvl>
  </w:abstractNum>
  <w:abstractNum w:abstractNumId="18">
    <w:nsid w:val="2CA88611"/>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decimal"/>
      <w:start w:val="8"/>
    </w:lvl>
  </w:abstractNum>
  <w:abstractNum w:abstractNumId="19">
    <w:nsid w:val="836C40E"/>
    <w:multiLevelType w:val="hybridMultilevel"/>
    <w:lvl w:ilvl="0">
      <w:lvlJc w:val="left"/>
      <w:lvlText w:val="%1"/>
      <w:numFmt w:val="decimal"/>
      <w:start w:val="1"/>
    </w:lvl>
    <w:lvl w:ilvl="1">
      <w:lvlJc w:val="left"/>
      <w:lvlText w:val="%2"/>
      <w:numFmt w:val="upperLetter"/>
      <w:start w:val="1"/>
    </w:lvl>
    <w:lvl w:ilvl="2">
      <w:lvlJc w:val="left"/>
      <w:lvlText w:val="%3."/>
      <w:numFmt w:val="decimal"/>
      <w:start w:val="9"/>
    </w:lvl>
    <w:lvl w:ilvl="3">
      <w:lvlJc w:val="left"/>
      <w:lvlText w:val="%4"/>
      <w:numFmt w:val="decimal"/>
      <w:start w:val="1"/>
    </w:lvl>
  </w:abstractNum>
  <w:abstractNum w:abstractNumId="20">
    <w:nsid w:val="2901D82"/>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decimal"/>
      <w:start w:val="1"/>
    </w:lvl>
  </w:abstractNum>
  <w:abstractNum w:abstractNumId="21">
    <w:nsid w:val="3A95F874"/>
    <w:multiLevelType w:val="hybridMultilevel"/>
    <w:lvl w:ilvl="0">
      <w:lvlJc w:val="left"/>
      <w:lvlText w:val="%1."/>
      <w:numFmt w:val="decimal"/>
      <w:start w:val="1"/>
    </w:lvl>
    <w:lvl w:ilvl="1">
      <w:lvlJc w:val="left"/>
      <w:lvlText w:val="(%2)"/>
      <w:numFmt w:val="lowerLetter"/>
      <w:start w:val="1"/>
    </w:lvl>
  </w:abstractNum>
  <w:abstractNum w:abstractNumId="22">
    <w:nsid w:val="8138641"/>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decimal"/>
      <w:start w:val="8"/>
    </w:lvl>
  </w:abstractNum>
  <w:abstractNum w:abstractNumId="23">
    <w:nsid w:val="1E7FF521"/>
    <w:multiLevelType w:val="hybridMultilevel"/>
    <w:lvl w:ilvl="0">
      <w:lvlJc w:val="left"/>
      <w:lvlText w:val="%1"/>
      <w:numFmt w:val="decimal"/>
      <w:start w:val="1"/>
    </w:lvl>
    <w:lvl w:ilvl="1">
      <w:lvlJc w:val="left"/>
      <w:lvlText w:val="%2"/>
      <w:numFmt w:val="upperLetter"/>
      <w:start w:val="1"/>
    </w:lvl>
    <w:lvl w:ilvl="2">
      <w:lvlJc w:val="left"/>
      <w:lvlText w:val="%3."/>
      <w:numFmt w:val="decimal"/>
      <w:start w:val="9"/>
    </w:lvl>
    <w:lvl w:ilvl="3">
      <w:lvlJc w:val="left"/>
      <w:lvlText w:val="%4"/>
      <w:numFmt w:val="decimal"/>
      <w:start w:val="1"/>
    </w:lvl>
  </w:abstractNum>
  <w:abstractNum w:abstractNumId="24">
    <w:nsid w:val="7C3DBD3D"/>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decimal"/>
      <w:start w:val="1"/>
    </w:lvl>
  </w:abstractNum>
  <w:abstractNum w:abstractNumId="25">
    <w:nsid w:val="737B8DDC"/>
    <w:multiLevelType w:val="hybridMultilevel"/>
    <w:lvl w:ilvl="0">
      <w:lvlJc w:val="left"/>
      <w:lvlText w:val="%1."/>
      <w:numFmt w:val="decimal"/>
      <w:start w:val="1"/>
    </w:lvl>
    <w:lvl w:ilvl="1">
      <w:lvlJc w:val="left"/>
      <w:lvlText w:val="(%2)"/>
      <w:numFmt w:val="lowerLetter"/>
      <w:start w:val="1"/>
    </w:lvl>
  </w:abstractNum>
  <w:abstractNum w:abstractNumId="26">
    <w:nsid w:val="6CEAF087"/>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decimal"/>
      <w:start w:val="8"/>
    </w:lvl>
  </w:abstractNum>
  <w:abstractNum w:abstractNumId="27">
    <w:nsid w:val="22221A70"/>
    <w:multiLevelType w:val="hybridMultilevel"/>
    <w:lvl w:ilvl="0">
      <w:lvlJc w:val="left"/>
      <w:lvlText w:val="%1"/>
      <w:numFmt w:val="decimal"/>
      <w:start w:val="1"/>
    </w:lvl>
    <w:lvl w:ilvl="1">
      <w:lvlJc w:val="left"/>
      <w:lvlText w:val="%2"/>
      <w:numFmt w:val="upperLetter"/>
      <w:start w:val="1"/>
    </w:lvl>
    <w:lvl w:ilvl="2">
      <w:lvlJc w:val="left"/>
      <w:lvlText w:val="%3."/>
      <w:numFmt w:val="decimal"/>
      <w:start w:val="9"/>
    </w:lvl>
    <w:lvl w:ilvl="3">
      <w:lvlJc w:val="left"/>
      <w:lvlText w:val="%4"/>
      <w:numFmt w:val="decimal"/>
      <w:start w:val="1"/>
    </w:lvl>
  </w:abstractNum>
  <w:abstractNum w:abstractNumId="28">
    <w:nsid w:val="4516DDE9"/>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decimal"/>
      <w:start w:val="1"/>
    </w:lvl>
  </w:abstractNum>
  <w:abstractNum w:abstractNumId="29">
    <w:nsid w:val="3006C83E"/>
    <w:multiLevelType w:val="hybridMultilevel"/>
    <w:lvl w:ilvl="0">
      <w:lvlJc w:val="left"/>
      <w:lvlText w:val="%1."/>
      <w:numFmt w:val="decimal"/>
      <w:start w:val="1"/>
    </w:lvl>
    <w:lvl w:ilvl="1">
      <w:lvlJc w:val="left"/>
      <w:lvlText w:val="(%2)"/>
      <w:numFmt w:val="lowerLetter"/>
      <w:start w:val="1"/>
    </w:lvl>
  </w:abstractNum>
  <w:abstractNum w:abstractNumId="30">
    <w:nsid w:val="614FD4A1"/>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decimal"/>
      <w:start w:val="8"/>
    </w:lvl>
  </w:abstractNum>
  <w:abstractNum w:abstractNumId="31">
    <w:nsid w:val="419AC241"/>
    <w:multiLevelType w:val="hybridMultilevel"/>
    <w:lvl w:ilvl="0">
      <w:lvlJc w:val="left"/>
      <w:lvlText w:val="%1"/>
      <w:numFmt w:val="decimal"/>
      <w:start w:val="1"/>
    </w:lvl>
    <w:lvl w:ilvl="1">
      <w:lvlJc w:val="left"/>
      <w:lvlText w:val="%2"/>
      <w:numFmt w:val="upperLetter"/>
      <w:start w:val="1"/>
    </w:lvl>
    <w:lvl w:ilvl="2">
      <w:lvlJc w:val="left"/>
      <w:lvlText w:val="%3."/>
      <w:numFmt w:val="decimal"/>
      <w:start w:val="9"/>
    </w:lvl>
    <w:lvl w:ilvl="3">
      <w:lvlJc w:val="left"/>
      <w:lvlText w:val="%4"/>
      <w:numFmt w:val="decimal"/>
      <w:start w:val="1"/>
    </w:lvl>
  </w:abstractNum>
  <w:abstractNum w:abstractNumId="32">
    <w:nsid w:val="5577F8E1"/>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decimal"/>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lowerLetter"/>
      <w:start w:val="3"/>
    </w:lvl>
  </w:abstractNum>
  <w:abstractNum w:abstractNumId="36">
    <w:nsid w:val="77465F01"/>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2023-02-14T17:20:46Z</dcterms:created>
  <dcterms:modified xsi:type="dcterms:W3CDTF">2023-02-14T17:20:46Z</dcterms:modified>
</cp:coreProperties>
</file>