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18,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Axsome Therapeutics,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183515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p>
      <w:pPr>
        <w:spacing w:after="0" w:line="200" w:lineRule="exact"/>
        <w:rPr>
          <w:sz w:val="24"/>
          <w:szCs w:val="24"/>
          <w:color w:val="auto"/>
        </w:rPr>
      </w:pPr>
    </w:p>
    <w:p>
      <w:pPr>
        <w:spacing w:after="0" w:line="368"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20" w:space="720"/>
            <w:col w:w="2540"/>
          </w:cols>
          <w:pgMar w:left="240" w:top="675" w:right="239" w:bottom="1440" w:gutter="0" w:footer="0" w:header="0"/>
          <w:type w:val="continuous"/>
        </w:sectPr>
      </w:pPr>
    </w:p>
    <w:p>
      <w:pPr>
        <w:spacing w:after="0" w:line="7"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200 Broadway, 3rd Floor</w:t>
      </w:r>
    </w:p>
    <w:p>
      <w:pPr>
        <w:sectPr>
          <w:pgSz w:w="11900" w:h="16838" w:orient="portrait"/>
          <w:cols w:equalWidth="0" w:num="1">
            <w:col w:w="11420"/>
          </w:cols>
          <w:pgMar w:left="240" w:top="675" w:right="239" w:bottom="1440" w:gutter="0" w:footer="0" w:header="0"/>
          <w:type w:val="continuous"/>
        </w:sectPr>
      </w:pPr>
    </w:p>
    <w:p>
      <w:pPr>
        <w:spacing w:after="0" w:line="50" w:lineRule="exact"/>
        <w:rPr>
          <w:sz w:val="24"/>
          <w:szCs w:val="24"/>
          <w:color w:val="auto"/>
        </w:rPr>
      </w:pPr>
    </w:p>
    <w:p>
      <w:pPr>
        <w:ind w:left="2060"/>
        <w:spacing w:after="0"/>
        <w:rPr>
          <w:sz w:val="20"/>
          <w:szCs w:val="20"/>
          <w:color w:val="auto"/>
        </w:rPr>
      </w:pPr>
      <w:r>
        <w:rPr>
          <w:rFonts w:ascii="Arial" w:cs="Arial" w:eastAsia="Arial" w:hAnsi="Arial"/>
          <w:sz w:val="16"/>
          <w:szCs w:val="16"/>
          <w:b w:val="1"/>
          <w:bCs w:val="1"/>
          <w:color w:val="auto"/>
        </w:rPr>
        <w:t>New York, New York</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10038</w:t>
      </w:r>
    </w:p>
    <w:p>
      <w:pPr>
        <w:spacing w:after="0" w:line="32" w:lineRule="exact"/>
        <w:rPr>
          <w:sz w:val="24"/>
          <w:szCs w:val="24"/>
          <w:color w:val="auto"/>
        </w:rPr>
      </w:pPr>
    </w:p>
    <w:p>
      <w:pPr>
        <w:sectPr>
          <w:pgSz w:w="11900" w:h="16838" w:orient="portrait"/>
          <w:cols w:equalWidth="0" w:num="2">
            <w:col w:w="7620" w:space="720"/>
            <w:col w:w="3080"/>
          </w:cols>
          <w:pgMar w:left="240" w:top="675" w:right="239" w:bottom="1440" w:gutter="0" w:footer="0" w:header="0"/>
          <w:type w:val="continuous"/>
        </w:sectPr>
      </w:pPr>
    </w:p>
    <w:p>
      <w:pPr>
        <w:ind w:left="14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240"/>
          </w:cols>
          <w:pgMar w:left="240" w:top="675"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186690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Title of each class:</w:t>
            </w:r>
          </w:p>
        </w:tc>
        <w:tc>
          <w:tcPr>
            <w:tcW w:w="3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6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6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162560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December 18, 2019, Axsome Therapeutics, Inc. (the “Company”) entered into an underwriting agreement (the “Underwriting Agreement”) with SVB Leerink LLC and Morgan Stanley &amp; Co. LLC, as representatives of the underwriters named therein (the “Underwriters”), relating to the issuance and sale in a public offering of 2,000,000 shares (the “Shares”) of the Company’s common stock to the Underwriters (the “Offering”). The Shares were sold at a price to the public of $87.00 per share and were purchased by the Underwriters from the Company at a price of $81.345 per share. The Company also granted the Underwriters a 30-day option to purchase up to 300,000 additional Shares of its common stock at the public offering price, less underwriting discounts and commissions. The net proceeds to the Company from the Offering, excluding any exercise by the Underwriters of their 30-day option to purchase additional shares, are expected to be approximately $162.2 million after deducting the underwriting discounts and commissions and estimated offering expenses payable by the Company. The offering is expected to close on or about December 23, 2018, subject to the satisfaction of customary closing conditions.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covenants and agreements by the Company,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the Underwriting Agreement, and may be subject to limitations agreed upon by the contracting parties.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Offering is being made pursuant to the Company’s effective registration statement on Form S-3 (Registration Statement No. 333-235372) and an accompanying prospectus, previously filed by the Company with the Securities and Exchange Commission (the “SEC”), and declared effective by the SEC on December 5, 2019, and a preliminary and final prospectus supplement thereunder. The Underwriting Agreement is attached as Exhibit 1.1 hereto, and the description of the terms of the Underwriting Agreement is qualified in its entirety by reference to such exhibit. A copy of the opinion of DLA Piper LLP (US) relating to the legality of the issuance and sale of the shares in the Offering is attached as Exhibit 5.1 hereto.</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December 18, 2019, the Company issued a press release announcing that it had commenced the Offering. On December 19, 2019, the Company issued a press release announcing the pricing of the Offering. Copies of these press releases are attached as Exhibits 99.1 and 99.2 hereto, respectively.</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the disclosures on this Current Report on Form 8-K nor the attached press releases shall constitute an offer to sell or the solicitation of an offer to buy these securities, nor shall there be any sale of these securities in any state or jurisdiction in which such an offer, solicitation or sale would be unlawful prior to registration or qualification under the securities laws of any such state or jurisdiction.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Current Report on Form 8-K contains forward-looking statements, all of which are subject to risks and uncertainties. Forward-looking statements can be identified by the use of words such as “expects,” “plans,” “will,” “projects,” “intends,” “estimates,” and other words of similar meaning. Each forward-looking statement is subject to risks and uncertainties that could cause actual results to differ materially from those expressed or implied in such statement. Readers should carefully consider any such statement and should understand that many factors could cause actual results to differ from these forward-looking statements. These factors may include inaccurate assumptions and a broad variety of other risks and uncertainties, including some that are known and some that are not. No forward-looking statement can be guaranteed, and actual future results may vary materially. Except as required by law, the Company does not assume any obligation to update any forward-looking statement.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60"/>
        <w:spacing w:after="0"/>
        <w:tabs>
          <w:tab w:leader="none" w:pos="14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00" w:hanging="438"/>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34"/>
        </w:trPr>
        <w:tc>
          <w:tcPr>
            <w:tcW w:w="10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640" w:type="dxa"/>
            <w:vAlign w:val="bottom"/>
            <w:gridSpan w:val="3"/>
          </w:tcPr>
          <w:p>
            <w:pPr>
              <w:jc w:val="center"/>
              <w:ind w:left="330"/>
              <w:spacing w:after="0" w:line="170"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60" w:type="dxa"/>
            <w:vAlign w:val="bottom"/>
            <w:gridSpan w:val="5"/>
          </w:tcPr>
          <w:p>
            <w:pPr>
              <w:spacing w:after="0" w:line="170"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Underwriting Agreement, dated December 18, 2019, by and among Axsome Therapeutics, Inc., SVB Leerink LLC and Morgan Stanley &amp; Co.</w:t>
              </w:r>
            </w:hyperlink>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LLC, as representatives of the underwriters named therein</w:t>
              </w:r>
            </w:hyperlink>
          </w:p>
        </w:tc>
      </w:tr>
      <w:tr>
        <w:trPr>
          <w:trHeight w:val="196"/>
        </w:trPr>
        <w:tc>
          <w:tcPr>
            <w:tcW w:w="640" w:type="dxa"/>
            <w:vAlign w:val="bottom"/>
            <w:gridSpan w:val="3"/>
          </w:tcPr>
          <w:p>
            <w:pPr>
              <w:jc w:val="center"/>
              <w:ind w:left="330"/>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Opinion of DLA Piper LLP (US)</w:t>
              </w:r>
            </w:hyperlink>
          </w:p>
        </w:tc>
        <w:tc>
          <w:tcPr>
            <w:tcW w:w="6080" w:type="dxa"/>
            <w:vAlign w:val="bottom"/>
            <w:gridSpan w:val="2"/>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6"/>
        </w:trPr>
        <w:tc>
          <w:tcPr>
            <w:tcW w:w="680" w:type="dxa"/>
            <w:vAlign w:val="bottom"/>
            <w:gridSpan w:val="4"/>
          </w:tcPr>
          <w:p>
            <w:pPr>
              <w:jc w:val="center"/>
              <w:ind w:left="290"/>
              <w:spacing w:after="0" w:line="196" w:lineRule="exact"/>
              <w:rPr>
                <w:rFonts w:ascii="Arial" w:cs="Arial" w:eastAsia="Arial" w:hAnsi="Arial"/>
                <w:sz w:val="18"/>
                <w:szCs w:val="18"/>
                <w:color w:val="0000EE"/>
                <w:w w:val="85"/>
              </w:rPr>
            </w:pPr>
            <w:hyperlink w:anchor="page47">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Consent of DLA Piper LLP (US) (included in Exhibit 5.1)</w:t>
              </w:r>
            </w:hyperlink>
          </w:p>
        </w:tc>
      </w:tr>
      <w:tr>
        <w:trPr>
          <w:trHeight w:val="20"/>
        </w:trPr>
        <w:tc>
          <w:tcPr>
            <w:tcW w:w="3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6"/>
        </w:trPr>
        <w:tc>
          <w:tcPr>
            <w:tcW w:w="680" w:type="dxa"/>
            <w:vAlign w:val="bottom"/>
            <w:gridSpan w:val="4"/>
          </w:tcPr>
          <w:p>
            <w:pPr>
              <w:jc w:val="center"/>
              <w:ind w:left="290"/>
              <w:spacing w:after="0" w:line="196" w:lineRule="exact"/>
              <w:rPr>
                <w:rFonts w:ascii="Arial" w:cs="Arial" w:eastAsia="Arial" w:hAnsi="Arial"/>
                <w:sz w:val="18"/>
                <w:szCs w:val="18"/>
                <w:color w:val="0000EE"/>
                <w:w w:val="85"/>
              </w:rPr>
            </w:pPr>
            <w:hyperlink w:anchor="page4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Press Release dated December 18, 2019</w:t>
              </w:r>
            </w:hyperlink>
          </w:p>
        </w:tc>
      </w:tr>
      <w:tr>
        <w:trPr>
          <w:trHeight w:val="20"/>
        </w:trPr>
        <w:tc>
          <w:tcPr>
            <w:tcW w:w="3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r>
      <w:tr>
        <w:trPr>
          <w:trHeight w:val="196"/>
        </w:trPr>
        <w:tc>
          <w:tcPr>
            <w:tcW w:w="680" w:type="dxa"/>
            <w:vAlign w:val="bottom"/>
            <w:gridSpan w:val="4"/>
          </w:tcPr>
          <w:p>
            <w:pPr>
              <w:jc w:val="center"/>
              <w:ind w:left="290"/>
              <w:spacing w:after="0" w:line="196" w:lineRule="exact"/>
              <w:rPr>
                <w:rFonts w:ascii="Arial" w:cs="Arial" w:eastAsia="Arial" w:hAnsi="Arial"/>
                <w:sz w:val="18"/>
                <w:szCs w:val="18"/>
                <w:color w:val="0000EE"/>
                <w:w w:val="85"/>
              </w:rPr>
            </w:pPr>
            <w:hyperlink w:anchor="page50">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Press Release dated December 19, 2019</w:t>
              </w:r>
            </w:hyperlink>
          </w:p>
        </w:tc>
      </w:tr>
      <w:tr>
        <w:trPr>
          <w:trHeight w:val="453"/>
        </w:trPr>
        <w:tc>
          <w:tcPr>
            <w:tcW w:w="38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1880"/>
              <w:spacing w:after="0"/>
              <w:rPr>
                <w:sz w:val="20"/>
                <w:szCs w:val="20"/>
                <w:color w:val="auto"/>
              </w:rPr>
            </w:pPr>
            <w:r>
              <w:rPr>
                <w:rFonts w:ascii="Arial" w:cs="Arial" w:eastAsia="Arial" w:hAnsi="Arial"/>
                <w:sz w:val="18"/>
                <w:szCs w:val="18"/>
                <w:b w:val="1"/>
                <w:bCs w:val="1"/>
                <w:color w:val="auto"/>
              </w:rPr>
              <w:t>Axsome Therapeutics, Inc.</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Dated: December 19, 2019</w:t>
            </w:r>
          </w:p>
        </w:tc>
        <w:tc>
          <w:tcPr>
            <w:tcW w:w="246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195"/>
        </w:trPr>
        <w:tc>
          <w:tcPr>
            <w:tcW w:w="3820" w:type="dxa"/>
            <w:vAlign w:val="bottom"/>
          </w:tcPr>
          <w:p>
            <w:pPr>
              <w:spacing w:after="0"/>
              <w:rPr>
                <w:sz w:val="16"/>
                <w:szCs w:val="16"/>
                <w:color w:val="auto"/>
              </w:rPr>
            </w:pPr>
          </w:p>
        </w:tc>
        <w:tc>
          <w:tcPr>
            <w:tcW w:w="2460" w:type="dxa"/>
            <w:vAlign w:val="bottom"/>
          </w:tcPr>
          <w:p>
            <w:pPr>
              <w:ind w:left="188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r>
      <w:tr>
        <w:trPr>
          <w:trHeight w:val="230"/>
        </w:trPr>
        <w:tc>
          <w:tcPr>
            <w:tcW w:w="3820" w:type="dxa"/>
            <w:vAlign w:val="bottom"/>
          </w:tcPr>
          <w:p>
            <w:pPr>
              <w:spacing w:after="0"/>
              <w:rPr>
                <w:sz w:val="20"/>
                <w:szCs w:val="20"/>
                <w:color w:val="auto"/>
              </w:rPr>
            </w:pPr>
          </w:p>
        </w:tc>
        <w:tc>
          <w:tcPr>
            <w:tcW w:w="2460" w:type="dxa"/>
            <w:vAlign w:val="bottom"/>
          </w:tcPr>
          <w:p>
            <w:pPr>
              <w:ind w:left="18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8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2,000,000 Shares of Common Stock</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18,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SVB Leerink LLC</w:t>
      </w:r>
    </w:p>
    <w:p>
      <w:pPr>
        <w:spacing w:after="0" w:line="195" w:lineRule="auto"/>
        <w:rPr>
          <w:sz w:val="20"/>
          <w:szCs w:val="20"/>
          <w:color w:val="auto"/>
        </w:rPr>
      </w:pPr>
      <w:r>
        <w:rPr>
          <w:rFonts w:ascii="Arial" w:cs="Arial" w:eastAsia="Arial" w:hAnsi="Arial"/>
          <w:sz w:val="18"/>
          <w:szCs w:val="18"/>
          <w:color w:val="auto"/>
        </w:rPr>
        <w:t>1301 Avenue of the Americas,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Axsome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with SVB Leerink LLC (“</w:t>
      </w:r>
      <w:r>
        <w:rPr>
          <w:rFonts w:ascii="Arial" w:cs="Arial" w:eastAsia="Arial" w:hAnsi="Arial"/>
          <w:sz w:val="18"/>
          <w:szCs w:val="18"/>
          <w:u w:val="single" w:color="auto"/>
          <w:color w:val="auto"/>
        </w:rPr>
        <w:t>SVB Leerink</w:t>
      </w:r>
      <w:r>
        <w:rPr>
          <w:rFonts w:ascii="Arial" w:cs="Arial" w:eastAsia="Arial" w:hAnsi="Arial"/>
          <w:sz w:val="18"/>
          <w:szCs w:val="18"/>
          <w:color w:val="auto"/>
        </w:rPr>
        <w:t>”), Morgan Stanley &amp; Co. LLC (“</w:t>
      </w:r>
      <w:r>
        <w:rPr>
          <w:rFonts w:ascii="Arial" w:cs="Arial" w:eastAsia="Arial" w:hAnsi="Arial"/>
          <w:sz w:val="18"/>
          <w:szCs w:val="18"/>
          <w:u w:val="single" w:color="auto"/>
          <w:color w:val="auto"/>
        </w:rPr>
        <w:t>Morgan Stanley</w:t>
      </w:r>
      <w:r>
        <w:rPr>
          <w:rFonts w:ascii="Arial" w:cs="Arial" w:eastAsia="Arial" w:hAnsi="Arial"/>
          <w:sz w:val="18"/>
          <w:szCs w:val="18"/>
          <w:color w:val="auto"/>
        </w:rPr>
        <w:t xml:space="preserve">”) and each of the other Underwriters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(collectively, the “</w:t>
      </w:r>
      <w:r>
        <w:rPr>
          <w:rFonts w:ascii="Arial" w:cs="Arial" w:eastAsia="Arial" w:hAnsi="Arial"/>
          <w:sz w:val="18"/>
          <w:szCs w:val="18"/>
          <w:u w:val="single" w:color="auto"/>
          <w:color w:val="auto"/>
        </w:rPr>
        <w:t>Underwriters</w:t>
      </w:r>
      <w:r>
        <w:rPr>
          <w:rFonts w:ascii="Arial" w:cs="Arial" w:eastAsia="Arial" w:hAnsi="Arial"/>
          <w:sz w:val="18"/>
          <w:szCs w:val="18"/>
          <w:color w:val="auto"/>
        </w:rPr>
        <w:t>,” which term shall also include any underwriter substituted as hereinafter provided in Section 10 hereof), for which SVB Leerink and Morgan Stanley are acting as representatives (in such capacity,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with respect to (i) the sale by the Company and the purchase by the Underwriters, acting severally and not jointly, of the respective numbers of shares of common stock, par value $0.0001 per share, of the Company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(ii) the grant by the Company to the Underwriters, acting severally and not jointly, of the option described in Section 2(b) hereof to purchase all or any part of 300,000 additional shares of Common Stock. The aforesaid 2,000,000 shares of Common Stock (the “</w:t>
      </w:r>
      <w:r>
        <w:rPr>
          <w:rFonts w:ascii="Arial" w:cs="Arial" w:eastAsia="Arial" w:hAnsi="Arial"/>
          <w:sz w:val="18"/>
          <w:szCs w:val="18"/>
          <w:u w:val="single" w:color="auto"/>
          <w:color w:val="auto"/>
        </w:rPr>
        <w:t>Initial Securities</w:t>
      </w:r>
      <w:r>
        <w:rPr>
          <w:rFonts w:ascii="Arial" w:cs="Arial" w:eastAsia="Arial" w:hAnsi="Arial"/>
          <w:sz w:val="18"/>
          <w:szCs w:val="18"/>
          <w:color w:val="auto"/>
        </w:rPr>
        <w:t>”) to be purchased by the Underwriters and all or any part of the 300,000 shares of Common Stock subject to the option described in Section 2(b) hereof (the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Securities</w:t>
      </w:r>
      <w:r>
        <w:rPr>
          <w:rFonts w:ascii="Arial" w:cs="Arial" w:eastAsia="Arial" w:hAnsi="Arial"/>
          <w:sz w:val="18"/>
          <w:szCs w:val="18"/>
          <w:color w:val="auto"/>
        </w:rPr>
        <w:t>”) are herein called, collectively,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Underwriting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has been executed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both"/>
        <w:ind w:firstLine="648"/>
        <w:spacing w:after="0" w:line="285"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an automatic shelf registration statement on Form S-3 (No. 333-235372), covering the public offering and sale of certain securities, including the Securities, under the 1933 Act of 1933, as amended (the “</w:t>
      </w:r>
      <w:r>
        <w:rPr>
          <w:rFonts w:ascii="Arial" w:cs="Arial" w:eastAsia="Arial" w:hAnsi="Arial"/>
          <w:sz w:val="16"/>
          <w:szCs w:val="16"/>
          <w:u w:val="single" w:color="auto"/>
          <w:color w:val="auto"/>
        </w:rPr>
        <w:t>1933</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and the rules and regulations of the Commission promulgated thereunder (the “</w:t>
      </w:r>
      <w:r>
        <w:rPr>
          <w:rFonts w:ascii="Arial" w:cs="Arial" w:eastAsia="Arial" w:hAnsi="Arial"/>
          <w:sz w:val="16"/>
          <w:szCs w:val="16"/>
          <w:u w:val="single" w:color="auto"/>
          <w:color w:val="auto"/>
        </w:rPr>
        <w:t>1933 Act Regulations</w:t>
      </w:r>
      <w:r>
        <w:rPr>
          <w:rFonts w:ascii="Arial" w:cs="Arial" w:eastAsia="Arial" w:hAnsi="Arial"/>
          <w:sz w:val="16"/>
          <w:szCs w:val="16"/>
          <w:color w:val="auto"/>
        </w:rPr>
        <w:t>”), which automatic shelf registration statement became effective under Rule 462(e) under the 1933 Act Regulations (“</w:t>
      </w:r>
      <w:r>
        <w:rPr>
          <w:rFonts w:ascii="Arial" w:cs="Arial" w:eastAsia="Arial" w:hAnsi="Arial"/>
          <w:sz w:val="16"/>
          <w:szCs w:val="16"/>
          <w:u w:val="single" w:color="auto"/>
          <w:color w:val="auto"/>
        </w:rPr>
        <w:t>Rule 462(e)</w:t>
      </w:r>
      <w:r>
        <w:rPr>
          <w:rFonts w:ascii="Arial" w:cs="Arial" w:eastAsia="Arial" w:hAnsi="Arial"/>
          <w:sz w:val="16"/>
          <w:szCs w:val="16"/>
          <w:color w:val="auto"/>
        </w:rPr>
        <w:t>”).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(“Rule 430B”),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(“Rule 424(b)”).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system)(“EDGAR”).</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“Applicable Time” means 7:30 P.M., New York City time, on December 18, 2019 or such other time as agreed by the Company and the Representatives.</w:t>
      </w:r>
    </w:p>
    <w:p>
      <w:pPr>
        <w:spacing w:after="0" w:line="170"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 xml:space="preserve">“General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w:t>
      </w:r>
      <w:r>
        <w:rPr>
          <w:rFonts w:ascii="Arial" w:cs="Arial" w:eastAsia="Arial" w:hAnsi="Arial"/>
          <w:sz w:val="18"/>
          <w:szCs w:val="18"/>
          <w:u w:val="single" w:color="auto"/>
          <w:color w:val="auto"/>
        </w:rPr>
        <w:t>Schedule B-1</w:t>
      </w:r>
      <w:r>
        <w:rPr>
          <w:rFonts w:ascii="Arial" w:cs="Arial" w:eastAsia="Arial" w:hAnsi="Arial"/>
          <w:sz w:val="18"/>
          <w:szCs w:val="18"/>
          <w:color w:val="auto"/>
        </w:rPr>
        <w:t xml:space="preserve"> hereto, all considered together.</w:t>
      </w:r>
    </w:p>
    <w:p>
      <w:pPr>
        <w:spacing w:after="0" w:line="181"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“Issuer Free Writing Prospectus” means any “issuer free writing prospectus,” as defined in Rule 433 of the 1933 Act Regulations (“</w:t>
      </w:r>
      <w:r>
        <w:rPr>
          <w:rFonts w:ascii="Arial" w:cs="Arial" w:eastAsia="Arial" w:hAnsi="Arial"/>
          <w:sz w:val="18"/>
          <w:szCs w:val="18"/>
          <w:u w:val="single" w:color="auto"/>
          <w:color w:val="auto"/>
        </w:rPr>
        <w:t>Rule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433</w:t>
      </w:r>
      <w:r>
        <w:rPr>
          <w:rFonts w:ascii="Arial" w:cs="Arial" w:eastAsia="Arial" w:hAnsi="Arial"/>
          <w:sz w:val="18"/>
          <w:szCs w:val="18"/>
          <w:color w:val="auto"/>
        </w:rPr>
        <w:t>”), including without limitation any “free writing prospectus” (as defined in Rule 405 of the 1933 Act Regulations (“</w:t>
      </w:r>
      <w:r>
        <w:rPr>
          <w:rFonts w:ascii="Arial" w:cs="Arial" w:eastAsia="Arial" w:hAnsi="Arial"/>
          <w:sz w:val="18"/>
          <w:szCs w:val="18"/>
          <w:u w:val="single" w:color="auto"/>
          <w:color w:val="auto"/>
        </w:rPr>
        <w:t>Rule 405</w:t>
      </w:r>
      <w:r>
        <w:rPr>
          <w:rFonts w:ascii="Arial" w:cs="Arial" w:eastAsia="Arial" w:hAnsi="Arial"/>
          <w:sz w:val="18"/>
          <w:szCs w:val="18"/>
          <w:color w:val="auto"/>
        </w:rPr>
        <w:t>”))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89"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“Issuer General Use Free Writing Prospectus”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(a “</w:t>
      </w:r>
      <w:r>
        <w:rPr>
          <w:rFonts w:ascii="Arial" w:cs="Arial" w:eastAsia="Arial" w:hAnsi="Arial"/>
          <w:sz w:val="18"/>
          <w:szCs w:val="18"/>
          <w:u w:val="single" w:color="auto"/>
          <w:color w:val="auto"/>
        </w:rPr>
        <w:t>Bona Fide Electronic Road Show</w:t>
      </w:r>
      <w:r>
        <w:rPr>
          <w:rFonts w:ascii="Arial" w:cs="Arial" w:eastAsia="Arial" w:hAnsi="Arial"/>
          <w:sz w:val="18"/>
          <w:szCs w:val="18"/>
          <w:color w:val="auto"/>
        </w:rPr>
        <w:t xml:space="preserve">”)), as evidenced by its being specified in </w:t>
      </w:r>
      <w:r>
        <w:rPr>
          <w:rFonts w:ascii="Arial" w:cs="Arial" w:eastAsia="Arial" w:hAnsi="Arial"/>
          <w:sz w:val="18"/>
          <w:szCs w:val="18"/>
          <w:u w:val="single" w:color="auto"/>
          <w:color w:val="auto"/>
        </w:rPr>
        <w:t>Schedule B-2</w:t>
      </w:r>
      <w:r>
        <w:rPr>
          <w:rFonts w:ascii="Arial" w:cs="Arial" w:eastAsia="Arial" w:hAnsi="Arial"/>
          <w:sz w:val="18"/>
          <w:szCs w:val="18"/>
          <w:color w:val="auto"/>
        </w:rPr>
        <w:t xml:space="preserve"> 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660" w:firstLine="648"/>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“Testing-the-Waters Communication” means any oral or written communication with potential investors undertaken in reliance on Section 5(d) of the 1933 Act.</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“Written Testing-the-Waters Communication” means any Testing-the-Waters Communication that is a written communication within the meaning of Rule 405 under the 1933 Act.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w:t>
      </w:r>
      <w:r>
        <w:rPr>
          <w:rFonts w:ascii="Arial" w:cs="Arial" w:eastAsia="Arial" w:hAnsi="Arial"/>
          <w:sz w:val="18"/>
          <w:szCs w:val="18"/>
          <w:u w:val="single" w:color="auto"/>
          <w:color w:val="auto"/>
        </w:rPr>
        <w:t>1934 Act</w:t>
      </w:r>
      <w:r>
        <w:rPr>
          <w:rFonts w:ascii="Arial" w:cs="Arial" w:eastAsia="Arial" w:hAnsi="Arial"/>
          <w:sz w:val="18"/>
          <w:szCs w:val="18"/>
          <w:color w:val="auto"/>
        </w:rPr>
        <w:t>”), incorporated or deemed to be incorporated by reference in the Registration Statement, such preliminary prospectus or the Prospectus, as the case may be, at or after the execution and delivery of this Agreement.</w:t>
      </w:r>
    </w:p>
    <w:p>
      <w:pPr>
        <w:spacing w:after="0" w:line="192"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225" w:lineRule="exact"/>
        <w:rPr>
          <w:sz w:val="20"/>
          <w:szCs w:val="20"/>
          <w:color w:val="auto"/>
        </w:rPr>
      </w:pPr>
    </w:p>
    <w:p>
      <w:pPr>
        <w:ind w:right="20" w:firstLine="656"/>
        <w:spacing w:after="0" w:line="342" w:lineRule="auto"/>
        <w:tabs>
          <w:tab w:leader="none" w:pos="1478"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by the Company</w:t>
      </w:r>
      <w:r>
        <w:rPr>
          <w:rFonts w:ascii="Arial" w:cs="Arial" w:eastAsia="Arial" w:hAnsi="Arial"/>
          <w:sz w:val="16"/>
          <w:szCs w:val="16"/>
          <w:color w:val="auto"/>
        </w:rPr>
        <w:t>. The Company represents and warrants to each Underwriter as of the date hereof,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Time, the Closing Time (as defined below) and any Date of Delivery (as defined below), and agrees with each Underwriter, as follows:</w:t>
      </w:r>
    </w:p>
    <w:p>
      <w:pPr>
        <w:spacing w:after="0" w:line="123" w:lineRule="exact"/>
        <w:rPr>
          <w:rFonts w:ascii="Arial" w:cs="Arial" w:eastAsia="Arial" w:hAnsi="Arial"/>
          <w:sz w:val="16"/>
          <w:szCs w:val="16"/>
          <w:color w:val="auto"/>
        </w:rPr>
      </w:pPr>
    </w:p>
    <w:p>
      <w:pPr>
        <w:jc w:val="both"/>
        <w:ind w:left="660" w:firstLine="645"/>
        <w:spacing w:after="0" w:line="291" w:lineRule="auto"/>
        <w:tabs>
          <w:tab w:leader="none" w:pos="2365"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meets the requirements for use of Form S-3 under the 1933 Act. The Registration Statement is an “automatic shelf registration statement” (as defined in Rule 405) and the Securities have been and remain eligible for registration by the Company on such automatic shelf registration statement. Each of the Registration Statement and any amendment thereto has become effective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by the Commission and no proceedings for any of those purposes have been instituted by the Commission or are pending or, to the Company’s knowledge, contemplated by the Commission. The Company has complied with each request (if any) from the Commission for additional information.</w:t>
      </w:r>
    </w:p>
    <w:p>
      <w:pPr>
        <w:spacing w:after="0" w:line="167"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Each of the Registration Statement and any post-effective amendment thereto, at the time of its effectiveness and at each deemed effective date with respect to the Underwriters pursuant to Rule 430B(f)(2) under the 1933 Act Regulations,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the offering and the Prospectus was or will be identical to the electronically transmitted copies thereof filed with the Commission pursuant to EDGAR, except to the extent permitted by Regulation 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right="20" w:firstLine="648"/>
        <w:spacing w:after="0" w:line="286" w:lineRule="auto"/>
        <w:rPr>
          <w:sz w:val="20"/>
          <w:szCs w:val="20"/>
          <w:color w:val="auto"/>
        </w:rPr>
      </w:pPr>
      <w:r>
        <w:rPr>
          <w:rFonts w:ascii="Arial" w:cs="Arial" w:eastAsia="Arial" w:hAnsi="Arial"/>
          <w:sz w:val="17"/>
          <w:szCs w:val="17"/>
          <w:color w:val="auto"/>
        </w:rPr>
        <w:t>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rules and regulations of the Commission under the 1934 Act (the “</w:t>
      </w:r>
      <w:r>
        <w:rPr>
          <w:rFonts w:ascii="Arial" w:cs="Arial" w:eastAsia="Arial" w:hAnsi="Arial"/>
          <w:sz w:val="17"/>
          <w:szCs w:val="17"/>
          <w:u w:val="single" w:color="auto"/>
          <w:color w:val="auto"/>
        </w:rPr>
        <w:t>1934 Act Regulations</w:t>
      </w:r>
      <w:r>
        <w:rPr>
          <w:rFonts w:ascii="Arial" w:cs="Arial" w:eastAsia="Arial" w:hAnsi="Arial"/>
          <w:sz w:val="17"/>
          <w:szCs w:val="17"/>
          <w:color w:val="auto"/>
        </w:rPr>
        <w: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Registration Statement, any preliminary prospectus and the Prospectus, and the filing of the Registration Statement, any preliminary prospectus and the Prospectus with the Commission have been duly authorized by and on behalf of the Company, and the Registration Statement has been duly executed pursuant to such authorization.</w:t>
      </w:r>
    </w:p>
    <w:p>
      <w:pPr>
        <w:spacing w:after="0" w:line="181" w:lineRule="exact"/>
        <w:rPr>
          <w:sz w:val="20"/>
          <w:szCs w:val="20"/>
          <w:color w:val="auto"/>
        </w:rPr>
      </w:pPr>
    </w:p>
    <w:p>
      <w:pPr>
        <w:jc w:val="both"/>
        <w:ind w:firstLine="645"/>
        <w:spacing w:after="0" w:line="286" w:lineRule="auto"/>
        <w:tabs>
          <w:tab w:leader="none" w:pos="1746" w:val="left"/>
        </w:tabs>
        <w:numPr>
          <w:ilvl w:val="0"/>
          <w:numId w:val="4"/>
        </w:numPr>
        <w:rPr>
          <w:rFonts w:ascii="Arial" w:cs="Arial" w:eastAsia="Arial" w:hAnsi="Arial"/>
          <w:sz w:val="16"/>
          <w:szCs w:val="16"/>
          <w:color w:val="auto"/>
        </w:rPr>
      </w:pPr>
      <w:r>
        <w:rPr>
          <w:rFonts w:ascii="Arial" w:cs="Arial" w:eastAsia="Arial" w:hAnsi="Arial"/>
          <w:sz w:val="16"/>
          <w:szCs w:val="16"/>
          <w:color w:val="auto"/>
        </w:rPr>
        <w:t>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none of (A) the General Disclosure Package, (B) any individual Issuer Limited Use Free Writing Prospectus, when considered together with the General Disclosure Package, nor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16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representations and warranties in this subsection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 – Discounts and Commissions,” the information in the second, third and fourth paragraphs under the heading “Underwriting</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Price Stabilization, Short Positions and Penalty Bids” and the information under the heading “Underwriting – Electronic Distribution” in each case contained in the Prospectus (collectively, the “</w:t>
      </w:r>
      <w:r>
        <w:rPr>
          <w:rFonts w:ascii="Arial" w:cs="Arial" w:eastAsia="Arial" w:hAnsi="Arial"/>
          <w:sz w:val="18"/>
          <w:szCs w:val="18"/>
          <w:u w:val="single" w:color="auto"/>
          <w:color w:val="auto"/>
        </w:rPr>
        <w:t>Underwriter Information</w:t>
      </w:r>
      <w:r>
        <w:rPr>
          <w:rFonts w:ascii="Arial" w:cs="Arial" w:eastAsia="Arial" w:hAnsi="Arial"/>
          <w:sz w:val="18"/>
          <w:szCs w:val="18"/>
          <w:color w:val="auto"/>
        </w:rPr>
        <w:t>”).</w:t>
      </w:r>
    </w:p>
    <w:p>
      <w:pPr>
        <w:spacing w:after="0" w:line="40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8" w:name="page9"/>
    <w:bookmarkEnd w:id="8"/>
    <w:p>
      <w:pPr>
        <w:jc w:val="both"/>
        <w:ind w:left="-540" w:firstLine="645"/>
        <w:spacing w:after="0" w:line="270" w:lineRule="auto"/>
        <w:tabs>
          <w:tab w:leader="none" w:pos="1017"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No filing of any “road show” (as defined in Rule 433(h)) is required in connection with the offering of the Securities. Any Issuer Free Writing Prospectus that the Company is required to file pursuant to Rule 433(d) under the 1933 Act has been, or will be, filed with the Commission in accordance with the requirements of the 1933 Act and the 1933 Act Regulations. Each Issuer Free Writing Prospectus that the Company has filed, or is required to file, pursuant to Rule 433(d) under the 1933 Act or that was prepared by or behalf of or used or referred to by the Company complies or will comply in all material respects with the requirements of the 1933 Act and the 1933 Act Regulations. Except for the Issuer Free Writing Prospectuses, if any, identified in </w:t>
      </w:r>
      <w:r>
        <w:rPr>
          <w:rFonts w:ascii="Arial" w:cs="Arial" w:eastAsia="Arial" w:hAnsi="Arial"/>
          <w:sz w:val="17"/>
          <w:szCs w:val="17"/>
          <w:u w:val="single" w:color="auto"/>
          <w:color w:val="auto"/>
        </w:rPr>
        <w:t>Schedule B-2</w:t>
      </w:r>
      <w:r>
        <w:rPr>
          <w:rFonts w:ascii="Arial" w:cs="Arial" w:eastAsia="Arial" w:hAnsi="Arial"/>
          <w:sz w:val="17"/>
          <w:szCs w:val="17"/>
          <w:color w:val="auto"/>
        </w:rPr>
        <w:t xml:space="preserve"> hereto, and electronic road shows, if any, each furnished to the Representatives before first use, the Company has not prepared, used or referred to, and will not, without the prior consent of the Representatives, prepare, use or refer to, any issuer free writing prospectus.</w:t>
      </w:r>
    </w:p>
    <w:p>
      <w:pPr>
        <w:spacing w:after="0" w:line="177" w:lineRule="exact"/>
        <w:rPr>
          <w:rFonts w:ascii="Arial" w:cs="Arial" w:eastAsia="Arial" w:hAnsi="Arial"/>
          <w:sz w:val="17"/>
          <w:szCs w:val="17"/>
          <w:color w:val="auto"/>
        </w:rPr>
      </w:pPr>
    </w:p>
    <w:p>
      <w:pPr>
        <w:jc w:val="both"/>
        <w:ind w:left="-540" w:firstLine="645"/>
        <w:spacing w:after="0" w:line="255" w:lineRule="auto"/>
        <w:tabs>
          <w:tab w:leader="none" w:pos="1066"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Company (A) has not engaged in any Testing-the-Waters Communication other than Testing-the-Waters Communications with the consent of the Representatives with entities that are qualified institutional buyers within the meaning of Rule 144A under the 1933 Act or institutions that are accredited investors within the meaning of Rule 501 under the 1933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Arial" w:cs="Arial" w:eastAsia="Arial" w:hAnsi="Arial"/>
          <w:sz w:val="18"/>
          <w:szCs w:val="18"/>
          <w:u w:val="single" w:color="auto"/>
          <w:color w:val="auto"/>
        </w:rPr>
        <w:t>Schedule B-3</w:t>
      </w:r>
      <w:r>
        <w:rPr>
          <w:rFonts w:ascii="Arial" w:cs="Arial" w:eastAsia="Arial" w:hAnsi="Arial"/>
          <w:sz w:val="18"/>
          <w:szCs w:val="18"/>
          <w:color w:val="auto"/>
        </w:rPr>
        <w:t xml:space="preserve"> hereto.</w:t>
      </w:r>
    </w:p>
    <w:p>
      <w:pPr>
        <w:spacing w:after="0" w:line="193" w:lineRule="exact"/>
        <w:rPr>
          <w:rFonts w:ascii="Arial" w:cs="Arial" w:eastAsia="Arial" w:hAnsi="Arial"/>
          <w:sz w:val="18"/>
          <w:szCs w:val="18"/>
          <w:color w:val="auto"/>
        </w:rPr>
      </w:pPr>
    </w:p>
    <w:p>
      <w:pPr>
        <w:jc w:val="both"/>
        <w:ind w:left="-540" w:firstLine="645"/>
        <w:spacing w:after="0" w:line="259" w:lineRule="auto"/>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(i) At the time of filing the Registration Statement and (ii) at the time of the execution of this Agreement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86" w:lineRule="exact"/>
        <w:rPr>
          <w:rFonts w:ascii="Arial" w:cs="Arial" w:eastAsia="Arial" w:hAnsi="Arial"/>
          <w:sz w:val="18"/>
          <w:szCs w:val="18"/>
          <w:color w:val="auto"/>
        </w:rPr>
      </w:pPr>
    </w:p>
    <w:p>
      <w:pPr>
        <w:ind w:left="-540" w:right="20" w:firstLine="645"/>
        <w:spacing w:after="0" w:line="277" w:lineRule="auto"/>
        <w:tabs>
          <w:tab w:leader="none" w:pos="10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and since October 30, 2015 has been, an “emerging growth company,” as defined in Section 2(a) of the 1933 Act (an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540" w:firstLine="645"/>
        <w:spacing w:after="0" w:line="264" w:lineRule="auto"/>
        <w:tabs>
          <w:tab w:leader="none" w:pos="117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jc w:val="both"/>
        <w:ind w:left="-540" w:firstLine="645"/>
        <w:spacing w:after="0" w:line="273" w:lineRule="auto"/>
        <w:tabs>
          <w:tab w:leader="none" w:pos="98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is subject to and in compliance in all material respects with the reporting requirements of Section 13 or Section 15(d) of the Exchange Act. The Common Stock is registered pursuant to Section 12(b) of the Exchange Act and are listed on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Securities.</w:t>
      </w:r>
    </w:p>
    <w:p>
      <w:pPr>
        <w:spacing w:after="0" w:line="178" w:lineRule="exact"/>
        <w:rPr>
          <w:rFonts w:ascii="Arial" w:cs="Arial" w:eastAsia="Arial" w:hAnsi="Arial"/>
          <w:sz w:val="17"/>
          <w:szCs w:val="17"/>
          <w:color w:val="auto"/>
        </w:rPr>
      </w:pPr>
    </w:p>
    <w:p>
      <w:pPr>
        <w:jc w:val="both"/>
        <w:ind w:left="-540" w:firstLine="645"/>
        <w:spacing w:after="0" w:line="264" w:lineRule="auto"/>
        <w:tabs>
          <w:tab w:leader="none" w:pos="1066"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disclosed in the General Disclosure Package,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3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 w:name="page10"/>
    <w:bookmarkEnd w:id="9"/>
    <w:p>
      <w:pPr>
        <w:jc w:val="both"/>
        <w:ind w:left="-540" w:firstLine="645"/>
        <w:spacing w:after="0" w:line="270" w:lineRule="auto"/>
        <w:tabs>
          <w:tab w:leader="none" w:pos="109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been duly organized and is validly existing as a corporation in good standing under the laws of the State of Delaware, with full corporate power and authority to acquire, own, lease and operate its properties, and to lease the same to others, and to conduct its business as described in the Registration Statement, the General Disclosure Package and the Prospectus and to enter into and perform its obligations under this Agreement. The Company is duly qualified to transact business as a foreign corporation and is in good standing in the State of New York and under the laws of each other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on the condition (financial or otherwise), earnings, results of operations, business, properties, operations, assets, liabilities or prospects of the Company and its Subsidiaries, taken as a whole, whether or not arising from transactions in the ordinary course of business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left="-540" w:firstLine="645"/>
        <w:spacing w:after="0" w:line="268" w:lineRule="auto"/>
        <w:tabs>
          <w:tab w:leader="none" w:pos="1133" w:val="left"/>
        </w:tabs>
        <w:numPr>
          <w:ilvl w:val="0"/>
          <w:numId w:val="7"/>
        </w:numPr>
        <w:rPr>
          <w:rFonts w:ascii="Arial" w:cs="Arial" w:eastAsia="Arial" w:hAnsi="Arial"/>
          <w:sz w:val="17"/>
          <w:szCs w:val="17"/>
          <w:color w:val="auto"/>
        </w:rPr>
      </w:pPr>
      <w:r>
        <w:rPr>
          <w:rFonts w:ascii="Arial" w:cs="Arial" w:eastAsia="Arial" w:hAnsi="Arial"/>
          <w:sz w:val="17"/>
          <w:szCs w:val="17"/>
          <w:color w:val="auto"/>
        </w:rPr>
        <w:t>Each of the Company’s “subsidiaries” (for purposes of this Agreement, as defined in Rule 405 under the 1933 Act) (each, a “</w:t>
      </w:r>
      <w:r>
        <w:rPr>
          <w:rFonts w:ascii="Arial" w:cs="Arial" w:eastAsia="Arial" w:hAnsi="Arial"/>
          <w:sz w:val="17"/>
          <w:szCs w:val="17"/>
          <w:u w:val="single" w:color="auto"/>
          <w:color w:val="auto"/>
        </w:rPr>
        <w:t>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Subsidiaries</w:t>
      </w:r>
      <w:r>
        <w:rPr>
          <w:rFonts w:ascii="Arial" w:cs="Arial" w:eastAsia="Arial" w:hAnsi="Arial"/>
          <w:sz w:val="17"/>
          <w:szCs w:val="17"/>
          <w:color w:val="auto"/>
        </w:rPr>
        <w:t>”) has been duly organized and is validly existing in good standing (where such concept exists) under the laws of the jurisdiction of its organization and has full power and authority to acquire, own, lease and operate its properties, and to conduct its business as described in the Registration Statement, the General Disclosure Package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The Company does not own or control, directly or indirectly, any corporation, association or other entity, other than the Subsidiaries listed on Exhibit 21.1 to the Company’s most recent Annual Report on Form 10-K filed with the Commission.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83" w:lineRule="exact"/>
        <w:rPr>
          <w:rFonts w:ascii="Arial" w:cs="Arial" w:eastAsia="Arial" w:hAnsi="Arial"/>
          <w:sz w:val="17"/>
          <w:szCs w:val="17"/>
          <w:color w:val="auto"/>
        </w:rPr>
      </w:pPr>
    </w:p>
    <w:p>
      <w:pPr>
        <w:jc w:val="both"/>
        <w:ind w:left="-540" w:firstLine="645"/>
        <w:spacing w:after="0" w:line="285" w:lineRule="auto"/>
        <w:tabs>
          <w:tab w:leader="none" w:pos="95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the authorized and outstanding capitalization as set forth in the Company’s quarterly report on Form 10-Q for the most recent fiscal quarter, as of the dates referred to therein (subject, in each case, to the issuance of shares of Common Stock pursuant to this Agreement, the issuance of shares of Common Stock upon exercise of share options and warrants disclosed as outstanding as of the date hereof in the Registration Statement, the General Disclosure Package and the Prospectus and the grant of options under existing share option plans described in the Registration Statement, the General Disclosure Package and the Prospectus). The Common Stock conforms in all material respects to the description thereof contained in the Registration Statement and the Prospectus, including under the heading “Description of Capital Stock.” All of the issued and outstanding share capital or other equity or ownership interest of the Company (including the Common Stock)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subscribe for, or equity or debt securities convertible into or exchangeable or exercisable for, any share capital of the Company or any of its Subsidiaries or to which the Company or any of its Subsidiaries is a party or by which any of them may be bound. The descriptions of the Company’s equity incentive plan, stock option plans and other stock plans or arrangements described in the Prospectus and in effect as of the date hereof (collectively, the “</w:t>
      </w:r>
      <w:r>
        <w:rPr>
          <w:rFonts w:ascii="Arial" w:cs="Arial" w:eastAsia="Arial" w:hAnsi="Arial"/>
          <w:sz w:val="16"/>
          <w:szCs w:val="16"/>
          <w:u w:val="single" w:color="auto"/>
          <w:color w:val="auto"/>
        </w:rPr>
        <w:t>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Plans</w:t>
      </w:r>
      <w:r>
        <w:rPr>
          <w:rFonts w:ascii="Arial" w:cs="Arial" w:eastAsia="Arial" w:hAnsi="Arial"/>
          <w:sz w:val="16"/>
          <w:szCs w:val="16"/>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39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0" w:name="page11"/>
    <w:bookmarkEnd w:id="10"/>
    <w:p>
      <w:pPr>
        <w:jc w:val="both"/>
        <w:ind w:left="-540" w:firstLine="645"/>
        <w:spacing w:after="0" w:line="270" w:lineRule="auto"/>
        <w:tabs>
          <w:tab w:leader="none" w:pos="93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Securities have been duly authorized for issuance and sale to the Underwriters pursuant to this Agreement and, when issued and delivered by the Company against payment therefor pursuant to this Agreement, will be validly issued, fully paid and nonassessable and will conform in all material respects to the description thereof contained in the Prospectus. The issuance and sale of the Securities as contemplated hereby shall not be subject to any preemptive rights, rights of first refusal or other similar rights to subscribe for or purchase the Securities. The issuance and sale of the Securities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 Company. There are no restrictions upon the voting or transfer of the Common Stock under the Company’s amended and restated certificate of incorporation or amended and restated bylaws or any agreement or other instrument to which the Company is a party or otherwise filed as an exhibit to the Registration Statement.</w:t>
      </w:r>
    </w:p>
    <w:p>
      <w:pPr>
        <w:spacing w:after="0" w:line="181" w:lineRule="exact"/>
        <w:rPr>
          <w:rFonts w:ascii="Arial" w:cs="Arial" w:eastAsia="Arial" w:hAnsi="Arial"/>
          <w:sz w:val="17"/>
          <w:szCs w:val="17"/>
          <w:color w:val="auto"/>
        </w:rPr>
      </w:pPr>
    </w:p>
    <w:p>
      <w:pPr>
        <w:jc w:val="both"/>
        <w:ind w:left="-540" w:firstLine="645"/>
        <w:spacing w:after="0" w:line="268" w:lineRule="auto"/>
        <w:tabs>
          <w:tab w:leader="none" w:pos="92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There is no statute, regulation, contract, agreement or other document required to be described in the Registration Statement, the General Disclosure Package, the Prospectus or in any documents incorporated by reference therein, or to be filed as an exhibit to the Registration Statement or any documents incorporated by reference therein which is not described or filed as required. The statements set forth or incorporated by reference in the Prospectus, insofar as they purport to constitute summaries of the terms of the statutes, regulations, contracts, agreements or other documents described and filed, constitute accurate summaries of the terms thereof in all material respects. The statements set forth or incorporated by reference in the Prospectus under the headings “Risk Factors,” “Business—Intellectual Property,” “Business—Material License Agreements,” “Business—Government Regulation and Product Approval,” “Business—Legal Proceedings,” and “Description of Capital Stock,” insofar as such statements summarize legal matters, agreements, documents or proceedings discussed therein, are accurate and fair summaries of such legal matters, agreements, documents or proceedings. Neither the Company nor any of its Subsidiaries has sent or received any communication regarding termination of, or intent not to renew or render performance under, any of the contracts or agreements referred to or described in the Prospectus or any free writing prospectus, or referred to or described in, or filed as an exhibit to, the Registration Statement, or any documents incorporated by reference therein,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85" w:lineRule="exact"/>
        <w:rPr>
          <w:rFonts w:ascii="Arial" w:cs="Arial" w:eastAsia="Arial" w:hAnsi="Arial"/>
          <w:sz w:val="17"/>
          <w:szCs w:val="17"/>
          <w:color w:val="auto"/>
        </w:rPr>
      </w:pPr>
    </w:p>
    <w:p>
      <w:pPr>
        <w:ind w:left="940" w:hanging="835"/>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1" w:name="page12"/>
    <w:bookmarkEnd w:id="11"/>
    <w:p>
      <w:pPr>
        <w:ind w:left="-540" w:firstLine="645"/>
        <w:spacing w:after="0" w:line="308" w:lineRule="auto"/>
        <w:tabs>
          <w:tab w:leader="none" w:pos="949"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Securities and the application of the proceeds thereof as described in the Prospectus, will not be an “investment company” as defined in the Investment Company Act of 1940, as amended.</w:t>
      </w:r>
    </w:p>
    <w:p>
      <w:pPr>
        <w:spacing w:after="0" w:line="146" w:lineRule="exact"/>
        <w:rPr>
          <w:rFonts w:ascii="Arial" w:cs="Arial" w:eastAsia="Arial" w:hAnsi="Arial"/>
          <w:sz w:val="17"/>
          <w:szCs w:val="17"/>
          <w:color w:val="auto"/>
        </w:rPr>
      </w:pPr>
    </w:p>
    <w:p>
      <w:pPr>
        <w:jc w:val="both"/>
        <w:ind w:left="-540" w:firstLine="645"/>
        <w:spacing w:after="0" w:line="255" w:lineRule="auto"/>
        <w:tabs>
          <w:tab w:leader="none" w:pos="936"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the General Disclosure Package and the Prospectus (including the issuance and sale of the Securities hereunder), except such as have been already obtained or made or as may be required under the 1933 Act, applicable state securities or Blue Sky laws, applicable rules of Nasdaq, or Rule 5110 of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540" w:firstLine="645"/>
        <w:spacing w:after="0" w:line="270" w:lineRule="auto"/>
        <w:tabs>
          <w:tab w:leader="none" w:pos="977" w:val="left"/>
        </w:tabs>
        <w:numPr>
          <w:ilvl w:val="0"/>
          <w:numId w:val="9"/>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nor the performance of the Company of its obligations under, this Agreement will conflict with, result in a breach or violation of, or result in the creation or imposition of any lien, charge or encumbrance upon any property or assets of the Company or any of its Subsidiaries pursuant to: (i) the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license, lease, mortgage, deed of trust, note agreement, agreement or other instrument, obligation, condition, covenant or instrument to which it is a party or bound or to which its property or assets is subject or (iii) any statute, law, rule, regulation, judgment, order or decree applicable to the Company or any of its Subsidiaries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conflict, breach, violation or default that would not, individually or in the aggregate, have a Material Adverse Effect.</w:t>
      </w:r>
    </w:p>
    <w:p>
      <w:pPr>
        <w:spacing w:after="0" w:line="177" w:lineRule="exact"/>
        <w:rPr>
          <w:rFonts w:ascii="Arial" w:cs="Arial" w:eastAsia="Arial" w:hAnsi="Arial"/>
          <w:sz w:val="17"/>
          <w:szCs w:val="17"/>
          <w:color w:val="auto"/>
        </w:rPr>
      </w:pPr>
    </w:p>
    <w:p>
      <w:pPr>
        <w:jc w:val="both"/>
        <w:ind w:left="-540" w:firstLine="645"/>
        <w:spacing w:after="0" w:line="286" w:lineRule="auto"/>
        <w:tabs>
          <w:tab w:leader="none" w:pos="1124"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the Registration Statement, the General Disclosure Package and the Prospectus: (i) 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(ii) neither the Company nor its Subsidiaries has (A)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(B) entered into any material transactions not in the ordinary course of business or (C) issued or granted any shares of Common Stock or securities convertible into or exchangeable or exercisable for or that represent the right to receive shares of Common Stock other than under the Stock Plans; and (iii) there has not been any material decrease in the share capital or any material increase in any short-term or long-term indebtedness of the Company or any of its Subsidiaries and there has been no dividend or distribution of any kind declared, paid or made by the Company or, except for dividends paid to the Company or another Subsidiary, by any Subsidiary on any class of shares, or any repurchase or redemption by the Company or any of its Subsidiaries of any class of shares.</w:t>
      </w:r>
    </w:p>
    <w:p>
      <w:pPr>
        <w:spacing w:after="0" w:line="3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 w:name="page13"/>
    <w:bookmarkEnd w:id="12"/>
    <w:p>
      <w:pPr>
        <w:jc w:val="both"/>
        <w:ind w:left="4" w:firstLine="645"/>
        <w:spacing w:after="0" w:line="312" w:lineRule="auto"/>
        <w:tabs>
          <w:tab w:leader="none" w:pos="1492"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There are no persons (as such term is defined in Rule 1-02 of Regulation S-X promulgated under the 1933 Act) with registration or other similar rights to have any equity or debt securities of the Company registered for sale under the Registration Statement or included in the offering contemplated by this Agreement, except for such rights as have been duly waived in a writing previously furnished to the Representatives.</w:t>
      </w:r>
    </w:p>
    <w:p>
      <w:pPr>
        <w:spacing w:after="0" w:line="146" w:lineRule="exact"/>
        <w:rPr>
          <w:rFonts w:ascii="Arial" w:cs="Arial" w:eastAsia="Arial" w:hAnsi="Arial"/>
          <w:sz w:val="16"/>
          <w:szCs w:val="16"/>
          <w:color w:val="auto"/>
        </w:rPr>
      </w:pPr>
    </w:p>
    <w:p>
      <w:pPr>
        <w:jc w:val="both"/>
        <w:ind w:left="4" w:firstLine="645"/>
        <w:spacing w:after="0" w:line="284" w:lineRule="auto"/>
        <w:tabs>
          <w:tab w:leader="none" w:pos="15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financial statements included or incorporated by reference in the Registration Statement, the General Disclosure Package and the Prospectus, together with the related notes and schedules, present fairly the consolidated financial position of the Company and the Subsidiaries as of the dates indicated and the consolidated results of operations, cash flows and changes in stockholders’ equity of the Company and the Subsidiaries for the periods specified and have been prepared in compliance with the requirements of the Securities Act and Exchange Act and in conformity with United States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during the periods involved. To the extent applicable, any pro forma financial statements, information or data included or incorporated by reference in the Registration Statement, the General Disclosure Package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data set forth or incorporated by reference in the Registration Statement, the General Disclosure Package and the Prospectus is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 included or incorporated by reference therein as required. The Company and the Subsidiaries do not have any material liabilities or obligations, direct or contingent (including any off-balance sheet obligations or any “variable interest entities” as that term is used in Accounting Standards Codification Paragraph 810-10-25-20), not disclosed in the Registration Statement, the General Disclosure Package and the Prospectus. All disclosures contained in the Registration Statement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or incorporated by reference in the Registration Statement, the General Disclosure Package and the Prospectus were obtained or derived from sources which the Company reasonably and in good faith believes are reliable and accurate, such data agree with the sources from which they are derived,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Arial" w:cs="Arial" w:eastAsia="Arial" w:hAnsi="Arial"/>
          <w:sz w:val="16"/>
          <w:szCs w:val="16"/>
          <w:u w:val="single" w:color="auto"/>
          <w:color w:val="auto"/>
        </w:rPr>
        <w:t>PCAOB</w:t>
      </w:r>
      <w:r>
        <w:rPr>
          <w:rFonts w:ascii="Arial" w:cs="Arial" w:eastAsia="Arial" w:hAnsi="Arial"/>
          <w:sz w:val="16"/>
          <w:szCs w:val="16"/>
          <w:color w:val="auto"/>
        </w:rPr>
        <w:t>”), has participated in or otherwise aided the preparation of, or audited, the financial statements, supporting schedules or other financial data filed with the Commission as a part of the Registration Statement, the General Disclosure Package and the Prospectus.</w:t>
      </w:r>
    </w:p>
    <w:p>
      <w:pPr>
        <w:spacing w:after="0" w:line="391" w:lineRule="exact"/>
        <w:rPr>
          <w:rFonts w:ascii="Arial" w:cs="Arial" w:eastAsia="Arial" w:hAnsi="Arial"/>
          <w:sz w:val="16"/>
          <w:szCs w:val="16"/>
          <w:color w:val="auto"/>
        </w:rPr>
      </w:pPr>
    </w:p>
    <w:p>
      <w:pPr>
        <w:jc w:val="both"/>
        <w:ind w:left="4" w:firstLine="645"/>
        <w:spacing w:after="0" w:line="284" w:lineRule="auto"/>
        <w:tabs>
          <w:tab w:leader="none" w:pos="1466"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There are no actions, suits, claims, investigations or proceedings pending or, to the Company’s knowledge, threatened to which the Company or any of the Subsidiaries is or would be a party, or of which any of the respective properties or assets of the Company and the Subsidiaries is or would be subject, at law or in equity, before any court or arbitral body or by or before any federal, state, local or foreign governmental or regulatory commission, board, body, authority or agency, that (i) are required to be described in the Registration Statement, the General Disclosure Package or the Prospectus and are not so described, (ii) could reasonably be expected to have a material adverse effect on the ability of the Company to perform its obligations under this Agreement or on the consummation of any of the transactions contemplated hereby or</w:t>
      </w:r>
    </w:p>
    <w:p>
      <w:pPr>
        <w:spacing w:after="0" w:line="4" w:lineRule="exact"/>
        <w:rPr>
          <w:rFonts w:ascii="Arial" w:cs="Arial" w:eastAsia="Arial" w:hAnsi="Arial"/>
          <w:sz w:val="16"/>
          <w:szCs w:val="16"/>
          <w:color w:val="auto"/>
        </w:rPr>
      </w:pPr>
    </w:p>
    <w:p>
      <w:pPr>
        <w:jc w:val="both"/>
        <w:ind w:left="4" w:hanging="4"/>
        <w:spacing w:after="0" w:line="253" w:lineRule="auto"/>
        <w:tabs>
          <w:tab w:leader="none" w:pos="329"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could reasonably be expected to have a Material Adverse Effect. The aggregate of all pending legal or governmental proceedings to which the Company or any of its Subsidiaries is a party or of which any of their respective properties or assets is the subject which are not described in the Prospectus, including ordinary routine litigation incidental to the Company’s business, could not reasonably be expected to (A) result in a Material Adverse Effect or (B) have a material adverse effect on the ability of the Company to perform its obligations under this Agreement or the consummation of any of the transactions contemplated hereby.</w:t>
      </w:r>
    </w:p>
    <w:p>
      <w:pPr>
        <w:spacing w:after="0" w:line="200" w:lineRule="exact"/>
        <w:rPr>
          <w:sz w:val="20"/>
          <w:szCs w:val="20"/>
          <w:color w:val="auto"/>
        </w:rPr>
      </w:pPr>
    </w:p>
    <w:p>
      <w:pPr>
        <w:spacing w:after="0" w:line="20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3" w:name="page14"/>
    <w:bookmarkEnd w:id="13"/>
    <w:p>
      <w:pPr>
        <w:ind w:left="1360" w:hanging="715"/>
        <w:spacing w:after="0"/>
        <w:tabs>
          <w:tab w:leader="none" w:pos="1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owns or leases all such real properties as are necessary to the conduct of its operations as presently conducted in 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material respects.</w:t>
      </w:r>
    </w:p>
    <w:p>
      <w:pPr>
        <w:spacing w:after="0" w:line="210" w:lineRule="exact"/>
        <w:rPr>
          <w:rFonts w:ascii="Arial" w:cs="Arial" w:eastAsia="Arial" w:hAnsi="Arial"/>
          <w:sz w:val="16"/>
          <w:szCs w:val="16"/>
          <w:color w:val="auto"/>
        </w:rPr>
      </w:pPr>
    </w:p>
    <w:p>
      <w:pPr>
        <w:jc w:val="both"/>
        <w:ind w:firstLine="645"/>
        <w:spacing w:after="0" w:line="254" w:lineRule="auto"/>
        <w:tabs>
          <w:tab w:leader="none" w:pos="13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the Company nor any Subsidiary is in violation or default of (i) any provision of its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lease, mortgage, deed of trust, note agreement, loan agreement or other agreement, obligation, condition, covenant or instrument to which it is a party or bound or to which its property or assets is subject, or (iii) any statute, law, rule, regulation, judgment, order or decree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default or violation that would not, individually or in the aggregate, have a Material Adverse Effect.</w:t>
      </w:r>
    </w:p>
    <w:p>
      <w:pPr>
        <w:spacing w:after="0" w:line="192" w:lineRule="exact"/>
        <w:rPr>
          <w:rFonts w:ascii="Arial" w:cs="Arial" w:eastAsia="Arial" w:hAnsi="Arial"/>
          <w:sz w:val="18"/>
          <w:szCs w:val="18"/>
          <w:color w:val="auto"/>
        </w:rPr>
      </w:pPr>
    </w:p>
    <w:p>
      <w:pPr>
        <w:jc w:val="both"/>
        <w:ind w:firstLine="645"/>
        <w:spacing w:after="0" w:line="290" w:lineRule="auto"/>
        <w:tabs>
          <w:tab w:leader="none" w:pos="14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Ernst &amp; Young LLP, whose report on the consolidated financial statements of the Company is filed with the Commission as part of the Company’s most recent annual report on Form 10-K filed with the Commission and incorporated by reference in the Registration Statement, the General Disclosure Package and the Prospectus, is (i) an independent registered public accounting firm as required by the 1933 Act, the 1934 Act 1933 Act, the 1933 Act Regulations, the 1934 Act, the 1934 Act Regulations and the Public Company Accounting Oversight Board (United States) (“PCAOB”), (ii) in compliance with the applicable requirements relating to the qualification of accountants under Rule 2-01 of Regulation S-X under the 1933 Act and (iii) a registered public accounting firm as defined by the PCAOB whose registration has not been suspended or revoked and who has not requested such registration to be withdrawn. Ernst &amp; Young LLP has not been engaged by the Company to perform any “prohibited activities” or provided to the Company any “non-audit services” (as defined in Section 10A of the 1934 Act).</w:t>
      </w:r>
    </w:p>
    <w:p>
      <w:pPr>
        <w:spacing w:after="0" w:line="166" w:lineRule="exact"/>
        <w:rPr>
          <w:rFonts w:ascii="Arial" w:cs="Arial" w:eastAsia="Arial" w:hAnsi="Arial"/>
          <w:sz w:val="16"/>
          <w:szCs w:val="16"/>
          <w:color w:val="auto"/>
        </w:rPr>
      </w:pPr>
    </w:p>
    <w:p>
      <w:pPr>
        <w:jc w:val="both"/>
        <w:ind w:firstLine="645"/>
        <w:spacing w:after="0" w:line="264"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Securities.</w:t>
      </w:r>
    </w:p>
    <w:p>
      <w:pPr>
        <w:spacing w:after="0" w:line="181" w:lineRule="exact"/>
        <w:rPr>
          <w:rFonts w:ascii="Arial" w:cs="Arial" w:eastAsia="Arial" w:hAnsi="Arial"/>
          <w:sz w:val="18"/>
          <w:szCs w:val="18"/>
          <w:color w:val="auto"/>
        </w:rPr>
      </w:pPr>
    </w:p>
    <w:p>
      <w:pPr>
        <w:jc w:val="both"/>
        <w:ind w:firstLine="645"/>
        <w:spacing w:after="0" w:line="268" w:lineRule="auto"/>
        <w:tabs>
          <w:tab w:leader="none" w:pos="13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 All material taxes which the Company and its Subsidiaries are required by law to withhold or to collect for payment have been duly withheld and collected and have been paid to the appropriate governmental authority or agency or have been accrued, reserved against and entered on the books of the Company and its Subsidiaries.</w:t>
      </w:r>
    </w:p>
    <w:p>
      <w:pPr>
        <w:spacing w:after="0" w:line="39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4" w:name="page15"/>
    <w:bookmarkEnd w:id="14"/>
    <w:p>
      <w:pPr>
        <w:jc w:val="both"/>
        <w:ind w:left="-540" w:firstLine="645"/>
        <w:spacing w:after="0" w:line="254" w:lineRule="auto"/>
        <w:tabs>
          <w:tab w:leader="none" w:pos="8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or any of its Subsidiaries exists or, to the Company’s knowledge, is threatened or imminent, and the Company is not aware of any existing, threatened or imminent labor disturbance by the employees of any of its or any of its Subsidiaries’ principal suppliers, manufacturers, contractors or customers, in each case that would have a Material Adverse Effect. None of the employees of the Company or any of its Subsidiaries is represented by a union and, to the knowledge of the Company, no union organizing activities are taking place. Neither the Company nor any of its Subsidiaries has violated (or received notice of any violation of) any federal, state or local law or foreign law relating to the discrimination in hiring, promotion or pay of employees, nor any applicable wage or hour laws, or the rules and regulations thereunder, or analogous foreign laws and regulations, which would, individually or in the aggregate, reasonably be expected to result in a Material Adverse Effect.</w:t>
      </w:r>
    </w:p>
    <w:p>
      <w:pPr>
        <w:spacing w:after="0" w:line="192" w:lineRule="exact"/>
        <w:rPr>
          <w:rFonts w:ascii="Arial" w:cs="Arial" w:eastAsia="Arial" w:hAnsi="Arial"/>
          <w:sz w:val="18"/>
          <w:szCs w:val="18"/>
          <w:color w:val="auto"/>
        </w:rPr>
      </w:pPr>
    </w:p>
    <w:p>
      <w:pPr>
        <w:jc w:val="both"/>
        <w:ind w:left="-540" w:firstLine="645"/>
        <w:spacing w:after="0" w:line="271" w:lineRule="auto"/>
        <w:tabs>
          <w:tab w:leader="none" w:pos="84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of the Company and its Subsidiaries are insured by recognized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to have a Material Adverse Effect. Neither the Company nor any of its Subsidiaries has been denied any material insurance coverage which it has sought or for which it has applied.</w:t>
      </w:r>
    </w:p>
    <w:p>
      <w:pPr>
        <w:spacing w:after="0" w:line="178" w:lineRule="exact"/>
        <w:rPr>
          <w:rFonts w:ascii="Arial" w:cs="Arial" w:eastAsia="Arial" w:hAnsi="Arial"/>
          <w:sz w:val="17"/>
          <w:szCs w:val="17"/>
          <w:color w:val="auto"/>
        </w:rPr>
      </w:pPr>
    </w:p>
    <w:p>
      <w:pPr>
        <w:jc w:val="both"/>
        <w:ind w:left="-540" w:firstLine="645"/>
        <w:spacing w:after="0" w:line="269" w:lineRule="auto"/>
        <w:tabs>
          <w:tab w:leader="none" w:pos="93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and each of its Subsidiaries has good and marketable title in fee simple to all real property owned by them and good and marketable title to all personal property owned by them that is material to their business (except with respect to intellectual property, which is addressed exclusively in Sections (xlii) and (xlviii) below), in each case free and clear of all liens, encumbrances and defects except such as do not materially affect the value of such property and do not interfere with the use made and proposed to be made of such property by the Company or any Subsidiary; and any real property and buildings held under lease by the Company or any of its Subsidiaries are held by them under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are not material and do not interfere with the use made and proposed to be made of such property and buildings by the Company or such Subsidiary.</w:t>
      </w:r>
    </w:p>
    <w:p>
      <w:pPr>
        <w:spacing w:after="0" w:line="3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5" w:name="page16"/>
    <w:bookmarkEnd w:id="15"/>
    <w:p>
      <w:pPr>
        <w:jc w:val="both"/>
        <w:ind w:left="4" w:firstLine="645"/>
        <w:spacing w:after="0" w:line="293" w:lineRule="auto"/>
        <w:tabs>
          <w:tab w:leader="none" w:pos="1483"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and its Subsidiaries possess and are operating in compliance with such valid and current material certificates, authorizations or permits required by United States federal, state or foreign regulatory agencies or bodies to conduct their respective businesses as currently conducted and as described in the Registration Statement, the General Disclosure Package and the Prospectus (collectively, “</w:t>
      </w:r>
      <w:r>
        <w:rPr>
          <w:rFonts w:ascii="Arial" w:cs="Arial" w:eastAsia="Arial" w:hAnsi="Arial"/>
          <w:sz w:val="16"/>
          <w:szCs w:val="16"/>
          <w:u w:val="single" w:color="auto"/>
          <w:color w:val="auto"/>
        </w:rPr>
        <w:t>Permits</w:t>
      </w:r>
      <w:r>
        <w:rPr>
          <w:rFonts w:ascii="Arial" w:cs="Arial" w:eastAsia="Arial" w:hAnsi="Arial"/>
          <w:sz w:val="16"/>
          <w:szCs w:val="16"/>
          <w:color w:val="auto"/>
        </w:rPr>
        <w:t>”). Neither the Company nor any of its Subsidiaries is in violation of, or in default under, any of the Permits or has received any written notice of proceedings relating to the revocation or modification of, or non-compliance with, any such certificate, authorization or permit, which, individually or in the aggregate, if the subject of an unfavorable decision, ruling or finding, could reasonably be expected to result in a Material Adverse Effect.</w:t>
      </w:r>
    </w:p>
    <w:p>
      <w:pPr>
        <w:spacing w:after="0" w:line="164" w:lineRule="exact"/>
        <w:rPr>
          <w:rFonts w:ascii="Arial" w:cs="Arial" w:eastAsia="Arial" w:hAnsi="Arial"/>
          <w:sz w:val="16"/>
          <w:szCs w:val="16"/>
          <w:color w:val="auto"/>
        </w:rPr>
      </w:pPr>
    </w:p>
    <w:p>
      <w:pPr>
        <w:jc w:val="both"/>
        <w:ind w:left="4" w:firstLine="645"/>
        <w:spacing w:after="0" w:line="285" w:lineRule="auto"/>
        <w:tabs>
          <w:tab w:leader="none" w:pos="1322"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w:t>
      </w:r>
    </w:p>
    <w:p>
      <w:pPr>
        <w:spacing w:after="0" w:line="2" w:lineRule="exact"/>
        <w:rPr>
          <w:rFonts w:ascii="Arial" w:cs="Arial" w:eastAsia="Arial" w:hAnsi="Arial"/>
          <w:sz w:val="16"/>
          <w:szCs w:val="16"/>
          <w:color w:val="auto"/>
        </w:rPr>
      </w:pPr>
    </w:p>
    <w:p>
      <w:pPr>
        <w:jc w:val="both"/>
        <w:ind w:left="4" w:hanging="4"/>
        <w:spacing w:after="0" w:line="255" w:lineRule="auto"/>
        <w:tabs>
          <w:tab w:leader="none" w:pos="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the General Disclosure Package and the Prospectus fairly presents the information called for in all material respects and is prepared in accordance with the Commission’s rules and guidelines applicable thereto.</w:t>
      </w:r>
    </w:p>
    <w:p>
      <w:pPr>
        <w:spacing w:after="0" w:line="190" w:lineRule="exact"/>
        <w:rPr>
          <w:rFonts w:ascii="Arial" w:cs="Arial" w:eastAsia="Arial" w:hAnsi="Arial"/>
          <w:sz w:val="18"/>
          <w:szCs w:val="18"/>
          <w:color w:val="auto"/>
        </w:rPr>
      </w:pPr>
    </w:p>
    <w:p>
      <w:pPr>
        <w:jc w:val="both"/>
        <w:ind w:left="4" w:firstLine="645"/>
        <w:spacing w:after="0" w:line="270" w:lineRule="auto"/>
        <w:tabs>
          <w:tab w:leader="none" w:pos="1295"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Company and each of its Subsidiaries have established and maintain disclosure controls and procedures (as defined in Rules 13a-15 and 15d-15 under the 1934 Act), which (i) are designed to ensure that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has been no material weakness in the Company’s internal control over financial reporting (whether or not remediated) and no change in the Company’s internal control over financial reporting, including any corrective actions with regard to significant deficiencies or material weaknesses.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39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6" w:name="page17"/>
    <w:bookmarkEnd w:id="16"/>
    <w:p>
      <w:pPr>
        <w:jc w:val="both"/>
        <w:ind w:left="-540" w:firstLine="645"/>
        <w:spacing w:after="0" w:line="25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of its or their respective directors, officers or controlling persons has taken, directly or indirectly, without giving effect to any actions taken by the Underwriters, (i) any action designed to or that might constitute or reasonably be expected to cause or result in, under the 1934 Act or otherwise, stabilization or manipulation of the price of any security of the Company to facilitate the sale or resale of the Securities or (ii) any action designed to or that might constitute or reasonably be expected to cause or result in a violation of Regulation M under the 1934 Act.</w:t>
      </w:r>
    </w:p>
    <w:p>
      <w:pPr>
        <w:spacing w:after="0" w:line="188" w:lineRule="exact"/>
        <w:rPr>
          <w:rFonts w:ascii="Arial" w:cs="Arial" w:eastAsia="Arial" w:hAnsi="Arial"/>
          <w:sz w:val="18"/>
          <w:szCs w:val="18"/>
          <w:color w:val="auto"/>
        </w:rPr>
      </w:pPr>
    </w:p>
    <w:p>
      <w:pPr>
        <w:jc w:val="both"/>
        <w:ind w:left="-540" w:firstLine="645"/>
        <w:spacing w:after="0" w:line="267" w:lineRule="auto"/>
        <w:tabs>
          <w:tab w:leader="none" w:pos="822"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Except as could not reasonably be expected, individually or in the aggregate, to have a Material Adverse Effect: (i) neither the Company nor any of its Subsidiaries is in violation of any United States federal, state or local, or any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emissions, discharges, release or threatened release of chemicals, pollutants, contaminants, wastes, toxic substances, hazardous substances, petroleum or petroleum products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or otherwise related to the manufacture, processing, distribution, use, treatment, storage, disposal, transport or handling of Hazardous Materials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which violation includes, but is not limited to, noncompliance with any permits or other governmental authorizations required for the operation of the business of the Company or any of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 Company and its Subsidiaries have all material permits, authorizations and approvals required under any applicable Environmental Laws and are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or any investigation with respect to which the Company or any of its Subsidiaries has received written notice or any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Hazardous Materials at any location owned, leased or operated by the Company or any of its Subsidiaries, now or in the past; and (iv) to the Company’s knowledge, there are no past or present actions, activities, events, conditions, incidents or circumstances that might reasonably be expected to result in a violation of any Environmental Law or form the basis of an order for clean-up or remediation, or an action, suit, investigation or proceeding by any private party or governmental body or agency, against or affecting the Company or any of its Subsidiaries relating to Hazardous Materials or any Environmental Laws.</w:t>
      </w:r>
    </w:p>
    <w:p>
      <w:pPr>
        <w:spacing w:after="0" w:line="184" w:lineRule="exact"/>
        <w:rPr>
          <w:rFonts w:ascii="Arial" w:cs="Arial" w:eastAsia="Arial" w:hAnsi="Arial"/>
          <w:sz w:val="17"/>
          <w:szCs w:val="17"/>
          <w:color w:val="auto"/>
        </w:rPr>
      </w:pPr>
    </w:p>
    <w:p>
      <w:pPr>
        <w:jc w:val="both"/>
        <w:ind w:left="-540" w:firstLine="645"/>
        <w:spacing w:after="0" w:line="287" w:lineRule="auto"/>
        <w:tabs>
          <w:tab w:leader="none" w:pos="82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and any “employee benefit plan” (as defined under the Employee Retirement Income Security Act of 1974, as amended, and the regulations and published interpretations thereunder (collectively, “</w:t>
      </w:r>
      <w:r>
        <w:rPr>
          <w:rFonts w:ascii="Arial" w:cs="Arial" w:eastAsia="Arial" w:hAnsi="Arial"/>
          <w:sz w:val="16"/>
          <w:szCs w:val="16"/>
          <w:u w:val="single" w:color="auto"/>
          <w:color w:val="auto"/>
        </w:rPr>
        <w:t>ERISA</w:t>
      </w:r>
      <w:r>
        <w:rPr>
          <w:rFonts w:ascii="Arial" w:cs="Arial" w:eastAsia="Arial" w:hAnsi="Arial"/>
          <w:sz w:val="16"/>
          <w:szCs w:val="16"/>
          <w:color w:val="auto"/>
        </w:rPr>
        <w:t>”)) established or maintained by the Company, or its “ERISA Affiliates” (as defined below) are in compliance in all material respects with ERISA. “ERISA Affiliates” means, with respect to the Company, any member of any group of organizations described in Sections 414(b), (c), (m) or (o) of the Internal Revenue Code of 1986, as amended, and the regulations and published interpretations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cause the loss of such qualification.</w:t>
      </w:r>
    </w:p>
    <w:p>
      <w:pPr>
        <w:spacing w:after="0" w:line="3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5" w:right="239" w:bottom="1440" w:gutter="0" w:footer="0" w:header="0"/>
        </w:sectPr>
      </w:pPr>
    </w:p>
    <w:bookmarkStart w:id="17" w:name="page18"/>
    <w:bookmarkEnd w:id="17"/>
    <w:p>
      <w:pPr>
        <w:jc w:val="both"/>
        <w:ind w:firstLine="645"/>
        <w:spacing w:after="0" w:line="259" w:lineRule="auto"/>
        <w:tabs>
          <w:tab w:leader="none" w:pos="13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is in compliance with, and there is and has been no failure on the part of the Company and, to the Company’s knowledge, any of the Company’s directors or officers, in their capacities as such, to comply with, any provision of the Sarbanes-Oxley Act of 2002 and all rules and regulations promulgated thereunder or implementing the provisions thereof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the rules and regulations promulgated in connection therewith, including Section 402 relating to loans.</w:t>
      </w:r>
    </w:p>
    <w:p>
      <w:pPr>
        <w:spacing w:after="0" w:line="186" w:lineRule="exact"/>
        <w:rPr>
          <w:rFonts w:ascii="Arial" w:cs="Arial" w:eastAsia="Arial" w:hAnsi="Arial"/>
          <w:sz w:val="18"/>
          <w:szCs w:val="18"/>
          <w:color w:val="auto"/>
        </w:rPr>
      </w:pPr>
    </w:p>
    <w:p>
      <w:pPr>
        <w:jc w:val="both"/>
        <w:ind w:firstLine="645"/>
        <w:spacing w:after="0" w:line="272" w:lineRule="auto"/>
        <w:tabs>
          <w:tab w:leader="none" w:pos="1382"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Neither the Company, any of its Subsidiaries, nor, to the knowledge of the Company, any of their respective directors, officers, agents, employees or affiliates, has taken or will take any action in furtherance of an offer, payment, promise to pay, or authorization or approval of the unlawful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each of its Subsidiaries and, to the Company’s knowledge, each of their respective affiliates have conducted their businesses in compliance with applicable anti-corruption laws.</w:t>
      </w:r>
    </w:p>
    <w:p>
      <w:pPr>
        <w:spacing w:after="0" w:line="177" w:lineRule="exact"/>
        <w:rPr>
          <w:rFonts w:ascii="Arial" w:cs="Arial" w:eastAsia="Arial" w:hAnsi="Arial"/>
          <w:sz w:val="17"/>
          <w:szCs w:val="17"/>
          <w:color w:val="auto"/>
        </w:rPr>
      </w:pPr>
    </w:p>
    <w:p>
      <w:pPr>
        <w:jc w:val="both"/>
        <w:ind w:firstLine="645"/>
        <w:spacing w:after="0" w:line="288" w:lineRule="auto"/>
        <w:tabs>
          <w:tab w:leader="none" w:pos="1372"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None of the Company, any Subsidiary, affiliate, director, officer or employee thereof or, to the best of the Company’s knowledge, any agent, representative or other person acting on behalf of the Company or any of its Subsidiaries or affiliates, is aware of or has taken any action, directly or indirectly, that would result in a violation by such persons of any applicable anti-corruption laws, including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or otherwise took any action (or failed to fully disclose any action) in contravention of the FCPA; and the Company, its Subsidiaries and each of their respective affiliates have conducted their businesses in compliance with the FCPA and have instituted and maintain, and will continue to maintain, policies and procedures designed to ensure, and which are reasonably expected to continue to ensure, continued compliance therewith.</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(xl) 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investigation or proceeding by or before any court or governmental agency, authority or body or any arbitrator involving the Company or any of its Subsidiaries with respect to the Money Laundering Laws is pending or, to the best of the Company’s knowledge, threatened.</w:t>
      </w:r>
    </w:p>
    <w:p>
      <w:pPr>
        <w:spacing w:after="0" w:line="37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8" w:name="page19"/>
    <w:bookmarkEnd w:id="18"/>
    <w:p>
      <w:pPr>
        <w:jc w:val="both"/>
        <w:ind w:firstLine="648"/>
        <w:spacing w:after="0" w:line="269" w:lineRule="auto"/>
        <w:rPr>
          <w:sz w:val="20"/>
          <w:szCs w:val="20"/>
          <w:color w:val="auto"/>
        </w:rPr>
      </w:pPr>
      <w:r>
        <w:rPr>
          <w:rFonts w:ascii="Arial" w:cs="Arial" w:eastAsia="Arial" w:hAnsi="Arial"/>
          <w:sz w:val="17"/>
          <w:szCs w:val="17"/>
          <w:color w:val="auto"/>
        </w:rPr>
        <w:t>(xli) Neither the Company nor any of its Subsidiaries, nor any director or officer thereof, nor, to the Company’s knowledge, any employee, agent, affiliate or representative of the Company or any of its Subsidiaries, is currently or is owned or controlled by an individual or entity that is subject to any sanctions administered or enforced by the United States government (including, without limitation, the Office of Foreign Assets Control of the United States Department of the Treasury), the United Nations Security Council, the European Union, Her Majesty’s Treasury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or is located, organized or resident in a country or territory that is the subject or target of Sanctions; and the Company will not directly or indirectly use the proceeds of the sale of the Common Stock, or lend, contribute or otherwise make available such proceeds to any Subsidiary, or any joint venture partner or other person or entity, for the purpose of financing or facilitating the activities of or business of any person or entity, or in any country or territory, that currently or at the time of such financing or facilitation is the subject of any Sanctions or in any other manner that will result in a violation by any person or entity (including any person participating in the transactions contemplated by this Agreement) of any Sanctions. For the past five years, the Company and its Subsidiaries have not knowingly engaged in and are not now knowingly engaged in any dealings or transactions with any person or entity, or in any country or territory, that at the time of the dealing or transaction is or was the subject of Sanctions.</w:t>
      </w:r>
    </w:p>
    <w:p>
      <w:pPr>
        <w:spacing w:after="0" w:line="18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(xlii) The Company and its Subsidiaries own or possess the right to use all inventions, patent applications, patents, trademarks, trade names, service names, domain names, copyrights, trade secrets, know-how and other intellectual property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as are (i) necessary or material for the conduct of their respective businesses as currently conducted or as currently proposed to be conducted and as described in the Registration Statement, the General Disclosure Package and the Prospectus and (ii) necessary or material for the commercialization of the products described in the Registration Statement, the General Disclosure Package and the Prospectus as being under development. There is no pending or, to the Company’s knowledge, threatened (i) action, suit, proceeding, or claim by others challenging the rights of the Company or any of its Subsidiaries in or to any such Intellectual Property that, if decided adversely to the Company or such Subsidiary would, individually or in the aggregate, have a Material Adverse Effect, and the Company is unaware of any facts which would form a reasonable basis for any such claim; (ii) action, suit, proceeding, or claim by others that the Company or any of its Subsidiaries infringes, misappropriates, or otherwise violates any Intellectual Property of others that, if decided adversely to the Company or such Subsidiary would, individually or in the aggregate, have a Material Adverse Effect, and the Company is unaware of any facts which would form a reasonable basis for any such claim; or (iii) action, suit, proceeding, or claim by others challenging the validity, scope, or enforceability of any such Intellectual Property owned or licensed by the Company or its Subsidiaries and the Company is unaware of any facts which would form a reasonable basis for any such claim. To the best of the Company’s knowledge, the operation of the business of the Company and its Subsidiaries as now conducted, and as described in the Prospectus, and in connection with the development and commercialization of the products described in the Prospectus does not infringe, misappropriate, conflict with or otherwise violate any claim of any patent or published patent application of any other person or entity. There is no prior art of which the Company or any of its Subsidiaries is aware that may render any patent owned or licensed by the Company or its Subsidiaries invalid or any patent application owned or licensed by the Company or its Subsidiaries unpatentable which has not been disclosed to the applicable government patent office. The Company’s granted or issued patents, registered trademarks and registered copyrights have been duly maintained and are in full force and effect, and none of the patents, trademarks and copyrights have been adjudged invalid or unenforceable in whole or in part. The Company knows of no infringement, misappropriation or violation by others of any Intellectual Property owned or licensed by the Company or its Subsidiaries which would reasonably be expected to have a Material Adverse Effect. Neither the Company nor any of its Subsidiaries is a party to or bound by any options, licenses or agreements with respect to the Intellectual Property of any other person or entity that are required to be set forth in the Prospectus and that are not described therein in all material respects. The Company and its Subsidiaries have taken all reasonable steps necessary to secure their interests in the Intellectual Property of the Company and its Subsidiaries from their employees and contractors and to protect the confidentiality of all of their confidential information and trade secrets. None of the technology or intellectual property used by the Company and its Subsidiaries in its business has been obtained or is being used by the Company or its Subsidiaries in violation of any contractual obligation binding on the Company or its Subsidiaries, or, to the Company’s knowledge, any of its officers, directors or employees or otherwise in violation of the rights of any persons. No third party has been granted by the Company or its Subsidiaries rights to the Intellectual Property of the Company or its Subsidiaries, including any rights that, if exercised, could enable such party to develop products competitive to those of the Company as described in the Registration Statement, the General Disclosure Package and the Prospectus. All Intellectual Property owned or exclusively licensed by the Company or its Subsidiaries are free and clear of all liens, encumbrances, defects or other restrictions (other than non-exclusive licenses granted in the ordinary course of business), except those that could not reasonably be expected, individually or in the aggregate, to have a Material Adverse Effect. The Company and its Subsidiaries are not subject to any judgment, order, writ, injunction or decree of any court or any federal, state, local, foreign or other governmental department, commission, board, bureau, agency or instrumentality, domestic or foreign, or any arbitrator, nor has it entered into or is it a party to any agreement made in settlement of any pending or threatened litigation, which materially restricts or impairs their use of any Intellectual Property.</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9" w:name="page20"/>
    <w:bookmarkEnd w:id="19"/>
    <w:p>
      <w:pPr>
        <w:jc w:val="both"/>
        <w:ind w:firstLine="648"/>
        <w:spacing w:after="0" w:line="284" w:lineRule="auto"/>
        <w:rPr>
          <w:sz w:val="20"/>
          <w:szCs w:val="20"/>
          <w:color w:val="auto"/>
        </w:rPr>
      </w:pPr>
      <w:r>
        <w:rPr>
          <w:rFonts w:ascii="Arial" w:cs="Arial" w:eastAsia="Arial" w:hAnsi="Arial"/>
          <w:sz w:val="16"/>
          <w:szCs w:val="16"/>
          <w:color w:val="auto"/>
        </w:rPr>
        <w:t>(xliii) The Company and each of its Subsidiaries (i) are and have at all times been in full compliance with all laws, statutes, rules, regulations or guidance applicable to the Company and its Subsidiaries and the ownership, testing, development, manufacture, packaging, processing, use, distribution, marketing, advertising, labeling, promotion, sale, offer for sale, storage, import, export or disposal of any pharmaceuticals or biohazardous substances, materials or any other products developed, manufactured or distributed by the Company (including, without limitation, from the United States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European Medicines Agency (“</w:t>
      </w:r>
      <w:r>
        <w:rPr>
          <w:rFonts w:ascii="Arial" w:cs="Arial" w:eastAsia="Arial" w:hAnsi="Arial"/>
          <w:sz w:val="16"/>
          <w:szCs w:val="16"/>
          <w:u w:val="single" w:color="auto"/>
          <w:color w:val="auto"/>
        </w:rPr>
        <w:t>EMA</w:t>
      </w:r>
      <w:r>
        <w:rPr>
          <w:rFonts w:ascii="Arial" w:cs="Arial" w:eastAsia="Arial" w:hAnsi="Arial"/>
          <w:sz w:val="16"/>
          <w:szCs w:val="16"/>
          <w:color w:val="auto"/>
        </w:rPr>
        <w:t>”) and any local or other governmental or regulatory authority performing functions similar to those performed by the FDA or EMA) (collectively, “</w:t>
      </w:r>
      <w:r>
        <w:rPr>
          <w:rFonts w:ascii="Arial" w:cs="Arial" w:eastAsia="Arial" w:hAnsi="Arial"/>
          <w:sz w:val="16"/>
          <w:szCs w:val="16"/>
          <w:u w:val="single" w:color="auto"/>
          <w:color w:val="auto"/>
        </w:rPr>
        <w:t>Applicable Laws</w:t>
      </w:r>
      <w:r>
        <w:rPr>
          <w:rFonts w:ascii="Arial" w:cs="Arial" w:eastAsia="Arial" w:hAnsi="Arial"/>
          <w:sz w:val="16"/>
          <w:szCs w:val="16"/>
          <w:color w:val="auto"/>
        </w:rPr>
        <w:t>”), except as could not, individually or in the aggregate, reasonably be expected to result in a Material Adverse Effect, (ii) have not received any notice of adverse finding, warning letter, untitled letter or other correspondence or notice from the FDA or any other federal, state or foreign governmental authority having authority over the Company, any of its Subsidiaries or their activities alleging or asserting noncompliance with any Applicable Laws or any licenses, certificates, approvals, clearances, authorizations, permits and supplements or amendments thereto required by any such Applicable Laws (collectively, the “</w:t>
      </w:r>
      <w:r>
        <w:rPr>
          <w:rFonts w:ascii="Arial" w:cs="Arial" w:eastAsia="Arial" w:hAnsi="Arial"/>
          <w:sz w:val="16"/>
          <w:szCs w:val="16"/>
          <w:u w:val="single" w:color="auto"/>
          <w:color w:val="auto"/>
        </w:rPr>
        <w:t>Governmental Permits</w:t>
      </w:r>
      <w:r>
        <w:rPr>
          <w:rFonts w:ascii="Arial" w:cs="Arial" w:eastAsia="Arial" w:hAnsi="Arial"/>
          <w:sz w:val="16"/>
          <w:szCs w:val="16"/>
          <w:color w:val="auto"/>
        </w:rPr>
        <w:t>”), (iii) have made all filings with, the appropriate local, or other governmental or regulatory agencies or bodies that are necessary for the ownership or lease of their respective properties or the conduct of their respective businesses as described in the Registration Statement, the General Disclosure Package and the Prospectus, except where any failures to possess or make the same would not, singularly or in the aggregate, have a Material Adverse Effect, (iv) possess all material Governmental Permits necessary to conduct their respective businesses as described in the Registration Statement, the General Disclosure Package and the Prospectus, and such Governmental Permits are valid and in full force and effect and are not in violation of any term of any such Governmental Permits, (v) have filed, obtained, maintained or submitted all material reports, documents, forms, notices, applications, records, claims, submissions and supplements or amendments as required by any Applicable Laws or Governmental Permits and that all such reports, documents, forms, notices, applications, records, claims, submissions and supplements or amendments were complete and correct in all material respects on the date filed (or were corrected or supplemented by a subsequent submission), and (vi) are not a party to any corporate integrity agreements, monitoring agreements, consent decrees, settlement orders or similar agreements with or imposed by any governmental authority. All Governmental Permits are valid and in full force and effect, except where the validity or failure to be in full force and effect would not, singularly or in the aggregate, have a Material Adverse Effect. Neither the Company nor any Subsidiary has received notification of any revocation, modification, suspension, termination or invalidation (or proceedings related thereto) of any such Governmental Permit and the Company has no reason to believe that any such Governmental Permit will not be renewed. Neither the Company, any of its Subsidiaries nor, to the Company’s knowledge, any of their respective directors, officers, employees or agents has been convicted of any crime under any Applicable Laws or has been the subject of an FDA debarment proceeding. Neither the Company nor any of its Subsidiaries has been nor is now subject to the FDA’s Application Integrity Policy. To the Company’s knowledge, neither the Company, any of its Subsidiaries nor any of its directors, officers, employees or agents has made, or caused the making of, any false statements on, or material omissions from, any other records or documentation prepared or maintained to comply with the requirements of the FDA or any other governmental authority.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0" w:name="page21"/>
    <w:bookmarkEnd w:id="20"/>
    <w:p>
      <w:pPr>
        <w:jc w:val="both"/>
        <w:ind w:firstLine="648"/>
        <w:spacing w:after="0" w:line="287" w:lineRule="auto"/>
        <w:rPr>
          <w:sz w:val="20"/>
          <w:szCs w:val="20"/>
          <w:color w:val="auto"/>
        </w:rPr>
      </w:pPr>
      <w:r>
        <w:rPr>
          <w:rFonts w:ascii="Arial" w:cs="Arial" w:eastAsia="Arial" w:hAnsi="Arial"/>
          <w:sz w:val="16"/>
          <w:szCs w:val="16"/>
          <w:color w:val="auto"/>
        </w:rPr>
        <w:t>(xliv) There is no legal or governmental proceeding to which the Company or any of its Subsidiaries is a party or of which any property or assets of the Company or any of its Subsidiaries is the subject, including any proceeding before the FDA, the EMA or any foreign, local, national or other governmental agency with jurisdiction over the types of products being developed by the Company that is required to be described in the Registration Statement or the Prospectus and is not described therein, or which, singularly or in the aggregate, if determined adversely to the Company or any of its Subsidiaries, could reasonably be expected to have a Material Adverse Effect; and no such proceedings are threatened or contemplated by governmental or regulatory authorities or threatened by others. The Company and its Subsidiaries (i) have not received notice of any claim, action, suit, proceeding, hearing, enforcement, investigation, arbitration or other action from any governmental authority or third party alleging that any product operation or activity is in violation of any Applicable Laws or Governmental Permits and have no knowledge that any such governmental authority or third party is considering any such claim, litigation, arbitration, action, suit, investigation or proceeding and (ii) have not received notice that any governmental authority has taken, is taking or intends to take action to limit, suspend, modify or revoke any Governmental Permits and the Company has no knowledge that any such governmental authority is considering such action.</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(xlv) The research, non-clinical pre-clinical studies and clinical studies and tests conducted or being conducted by or on behalf of the Company or any of its Subsidiaries or in which any of their respective product candidates have participated and, to the Company’s knowledge, the preclinical studies and clinical trials directed or sponsored by the Company’s collaborators (collectively, the “</w:t>
      </w:r>
      <w:r>
        <w:rPr>
          <w:rFonts w:ascii="Arial" w:cs="Arial" w:eastAsia="Arial" w:hAnsi="Arial"/>
          <w:sz w:val="17"/>
          <w:szCs w:val="17"/>
          <w:u w:val="single" w:color="auto"/>
          <w:color w:val="auto"/>
        </w:rPr>
        <w:t>Studies</w:t>
      </w:r>
      <w:r>
        <w:rPr>
          <w:rFonts w:ascii="Arial" w:cs="Arial" w:eastAsia="Arial" w:hAnsi="Arial"/>
          <w:sz w:val="17"/>
          <w:szCs w:val="17"/>
          <w:color w:val="auto"/>
        </w:rPr>
        <w:t>”) that are described in, or the results of which are referred to in, the Registration Statement, the General Disclosure Package and the Prospectus were and, if still pending, are being conducted with reasonable care and in all material respects in accordance with the protocols, procedures and controls pursuant to all Applicable Laws and Governmental Permits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research, non-clinical studies or tests the results of which are inconsistent with, or otherwise call into question, the results described or referred to in the Registration Statement, the General Disclosure Package and the Prospectus; the Company and its Subsidiaries have made all such filings and obtained all such approvals as may be required by the EMA, the FDA or any committee thereof or from any other United States or foreign government agency with jurisdiction over the types of products being developed by the Company; neither the Company nor any of its Subsidiaries has received any notice of, or correspondence from, any governmental authority requiring the termination, suspension or modification of any Study; and the Company and its Subsidiaries have each operated and currently are in compliance in all material respects with all applicable rules, regulations and policies of all governmental authorities. There have been no material serious adverse events resulting from any Study. To the Company’s knowledge, the manufacturing facilities and operations of its suppliers are operated in compliance in all material respects with all Applicable Laws and Governmental Permits.</w:t>
      </w:r>
    </w:p>
    <w:p>
      <w:pPr>
        <w:spacing w:after="0" w:line="3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(xlvi) Each financial or operational projection or other “forward-looking statement” (as defined by Section 27A of the 1933 Act or Section 21E of the 1934 Act) contained in the Registration Statement, the General Disclosure Package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(xlvii) The Company and its Subsidiaries (i) are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the workplace (“</w:t>
      </w:r>
      <w:r>
        <w:rPr>
          <w:rFonts w:ascii="Arial" w:cs="Arial" w:eastAsia="Arial" w:hAnsi="Arial"/>
          <w:sz w:val="18"/>
          <w:szCs w:val="18"/>
          <w:u w:val="single" w:color="auto"/>
          <w:color w:val="auto"/>
        </w:rPr>
        <w:t>Occupational Laws</w:t>
      </w:r>
      <w:r>
        <w:rPr>
          <w:rFonts w:ascii="Arial" w:cs="Arial" w:eastAsia="Arial" w:hAnsi="Arial"/>
          <w:sz w:val="18"/>
          <w:szCs w:val="18"/>
          <w:color w:val="auto"/>
        </w:rPr>
        <w:t>”); (ii) have received all material permits, licenses or other approvals required of it under applicable Occupational Laws to conduct their respective businesses as currently conducted; and (iii) are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19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(xlviii) The Company has duly and properly filed or caused to be filed with the U.S. Patent and Trademark Office (the “</w:t>
      </w:r>
      <w:r>
        <w:rPr>
          <w:rFonts w:ascii="Arial" w:cs="Arial" w:eastAsia="Arial" w:hAnsi="Arial"/>
          <w:sz w:val="17"/>
          <w:szCs w:val="17"/>
          <w:u w:val="single" w:color="auto"/>
          <w:color w:val="auto"/>
        </w:rPr>
        <w:t>PTO</w:t>
      </w:r>
      <w:r>
        <w:rPr>
          <w:rFonts w:ascii="Arial" w:cs="Arial" w:eastAsia="Arial" w:hAnsi="Arial"/>
          <w:sz w:val="17"/>
          <w:szCs w:val="17"/>
          <w:color w:val="auto"/>
        </w:rPr>
        <w:t>”) and applicable foreign and international patent and trademark authorities all patents, trademarks, copyrights and applications relating to the same owned by the Company and its Subsidiaries (the “</w:t>
      </w:r>
      <w:r>
        <w:rPr>
          <w:rFonts w:ascii="Arial" w:cs="Arial" w:eastAsia="Arial" w:hAnsi="Arial"/>
          <w:sz w:val="17"/>
          <w:szCs w:val="17"/>
          <w:u w:val="single" w:color="auto"/>
          <w:color w:val="auto"/>
        </w:rPr>
        <w:t>Company Patent and Trademark Applications</w:t>
      </w:r>
      <w:r>
        <w:rPr>
          <w:rFonts w:ascii="Arial" w:cs="Arial" w:eastAsia="Arial" w:hAnsi="Arial"/>
          <w:sz w:val="17"/>
          <w:szCs w:val="17"/>
          <w:color w:val="auto"/>
        </w:rPr>
        <w:t>”). To the knowledge of the Company, the Company has complied with the PTO’s duty of candor and disclosure for the Company Patent and Trademark Applications and has made no material misrepresentation in the Company Patent and Trademark Applications. To the Company’s knowledge, the Company Patent and Trademark Applications disclose patentable subject matter. The Company has not been notified of any inventorship challenges nor has any interference been declared or provoked nor is any material fact known by the Company that would preclude the issuance of patents with respect to the Company Patent and Trademark Applications or would render such patents, if issued, invalid or unenforceable. Except as would not have a Material Adverse Effect, neither the Company nor any of its Subsidiaries has breached and is currently in breach of any provision of any license, contract or other agreement governing the use by the Company or its Subsidiaries of Intellectual Property owned by third parties (collectively, the “</w:t>
      </w:r>
      <w:r>
        <w:rPr>
          <w:rFonts w:ascii="Arial" w:cs="Arial" w:eastAsia="Arial" w:hAnsi="Arial"/>
          <w:sz w:val="17"/>
          <w:szCs w:val="17"/>
          <w:u w:val="single" w:color="auto"/>
          <w:color w:val="auto"/>
        </w:rPr>
        <w:t>Licenses</w:t>
      </w:r>
      <w:r>
        <w:rPr>
          <w:rFonts w:ascii="Arial" w:cs="Arial" w:eastAsia="Arial" w:hAnsi="Arial"/>
          <w:sz w:val="17"/>
          <w:szCs w:val="17"/>
          <w:color w:val="auto"/>
        </w:rPr>
        <w:t>”) and no third party has alleged any such breach and the Company is unaware of any facts that would form a reasonable basis for such a claim. To the Company’s knowledge, no other party to the Licenses has breached or is currently in breach of any provision of the Licenses. Each of the Licenses is in full force and effect and constitutes a valid and binding agreement between the parties thereto, enforceable in accordance with its terms, and there has not occurred any breach or default under any such Licenses or any event that, with the giving of notice or lapse of time, would constitute a breach or default thereunder. Except as would not have a Material Adverse Effect, neither the Company nor any of its Subsidiaries has been and is currently involved in any disputes regarding the Licenses. To the Company’s knowledge, all patents licensed to the Company pursuant to the Licenses are valid, enforceable and being duly maintained. To the Company’s knowledge, all patent applications licensed to the Company pursuant to the Licenses are being duly prosecuted.</w:t>
      </w:r>
    </w:p>
    <w:p>
      <w:pPr>
        <w:spacing w:after="0" w:line="200" w:lineRule="exact"/>
        <w:rPr>
          <w:sz w:val="20"/>
          <w:szCs w:val="20"/>
          <w:color w:val="auto"/>
        </w:rPr>
      </w:pP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2" w:name="page23"/>
    <w:bookmarkEnd w:id="22"/>
    <w:p>
      <w:pPr>
        <w:jc w:val="both"/>
        <w:ind w:left="660" w:firstLine="648"/>
        <w:spacing w:after="0" w:line="255" w:lineRule="auto"/>
        <w:rPr>
          <w:sz w:val="20"/>
          <w:szCs w:val="20"/>
          <w:color w:val="auto"/>
        </w:rPr>
      </w:pPr>
      <w:r>
        <w:rPr>
          <w:rFonts w:ascii="Arial" w:cs="Arial" w:eastAsia="Arial" w:hAnsi="Arial"/>
          <w:sz w:val="18"/>
          <w:szCs w:val="18"/>
          <w:color w:val="auto"/>
        </w:rPr>
        <w:t>(xlix) (A) At the original effectiveness of the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any person acting on its behalf (within the meaning, for this clause only, of Rule 163(c) under the 1933 Act) made any offer relating to the Securities in reliance on the exemption of Rule 163 under the 1933 Act, and (D) as of the Applicable Time, the Company was and is a “well-known seasoned issuer” (as defined in Rule 405 under the 1933 Act).</w:t>
      </w:r>
    </w:p>
    <w:p>
      <w:pPr>
        <w:spacing w:after="0" w:line="193" w:lineRule="exact"/>
        <w:rPr>
          <w:sz w:val="20"/>
          <w:szCs w:val="20"/>
          <w:color w:val="auto"/>
        </w:rPr>
      </w:pPr>
    </w:p>
    <w:p>
      <w:pPr>
        <w:ind w:right="20" w:firstLine="656"/>
        <w:spacing w:after="0" w:line="308" w:lineRule="auto"/>
        <w:tabs>
          <w:tab w:leader="none" w:pos="1673"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Officer’s Certificates</w:t>
      </w:r>
      <w:r>
        <w:rPr>
          <w:rFonts w:ascii="Arial" w:cs="Arial" w:eastAsia="Arial" w:hAnsi="Arial"/>
          <w:sz w:val="17"/>
          <w:szCs w:val="17"/>
          <w:color w:val="auto"/>
        </w:rPr>
        <w:t>. Any certificate signed by any officer of the Company and delivered to the Representatives or to counsel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shall be deemed a representation and warranty by the Company to each Underwriter as to the matters covered thereby.</w:t>
      </w:r>
    </w:p>
    <w:p>
      <w:pPr>
        <w:spacing w:after="0" w:line="147"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to Underwriters; Closing</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5" w:lineRule="auto"/>
        <w:tabs>
          <w:tab w:leader="none" w:pos="162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 On the basis of the representations and warranties herein contained and subject to the terms and conditions herein set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forth, the Company agrees to sell to each Underwriter, severally and not jointly, and each Underwriter, severally and not jointly, agrees to purchase from the Company, at the price per share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that number of Initial Securities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193" w:lineRule="exact"/>
        <w:rPr>
          <w:rFonts w:ascii="Arial" w:cs="Arial" w:eastAsia="Arial" w:hAnsi="Arial"/>
          <w:sz w:val="18"/>
          <w:szCs w:val="18"/>
          <w:color w:val="auto"/>
        </w:rPr>
      </w:pPr>
    </w:p>
    <w:p>
      <w:pPr>
        <w:jc w:val="both"/>
        <w:ind w:firstLine="656"/>
        <w:spacing w:after="0" w:line="269" w:lineRule="auto"/>
        <w:tabs>
          <w:tab w:leader="none" w:pos="1929"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Option Securities</w:t>
      </w:r>
      <w:r>
        <w:rPr>
          <w:rFonts w:ascii="Arial" w:cs="Arial" w:eastAsia="Arial" w:hAnsi="Arial"/>
          <w:sz w:val="17"/>
          <w:szCs w:val="17"/>
          <w:color w:val="auto"/>
        </w:rPr>
        <w:t>. In addition, on the basis of the representations and warranties herein contained and subject to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conditions herein set forth, the Company hereby grants an option to the Underwriters, severally and not jointly, to purchase up to an additional 300,000 shares of Common Stock, at the price per share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w:t>
      </w:r>
      <w:r>
        <w:rPr>
          <w:rFonts w:ascii="Arial" w:cs="Arial" w:eastAsia="Arial" w:hAnsi="Arial"/>
          <w:sz w:val="17"/>
          <w:szCs w:val="17"/>
          <w:u w:val="single" w:color="auto"/>
          <w:color w:val="auto"/>
        </w:rPr>
        <w:t>Date of Delivery</w:t>
      </w:r>
      <w:r>
        <w:rPr>
          <w:rFonts w:ascii="Arial" w:cs="Arial" w:eastAsia="Arial" w:hAnsi="Arial"/>
          <w:sz w:val="17"/>
          <w:szCs w:val="17"/>
          <w:color w:val="auto"/>
        </w:rPr>
        <w:t xml:space="preserve">”) shall be determined by the Representatives, but any Date of Delivery after the Closing Time shall not be later than seven full business days nor earlier than two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656"/>
        <w:spacing w:after="0" w:line="272" w:lineRule="auto"/>
        <w:tabs>
          <w:tab w:leader="none" w:pos="1622"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Payment</w:t>
      </w:r>
      <w:r>
        <w:rPr>
          <w:rFonts w:ascii="Arial" w:cs="Arial" w:eastAsia="Arial" w:hAnsi="Arial"/>
          <w:sz w:val="17"/>
          <w:szCs w:val="17"/>
          <w:color w:val="auto"/>
        </w:rPr>
        <w:t>. Payment of the purchase price for, and delivery of certificates or security entitlements for, the Initial Securities shall be made</w:t>
      </w:r>
      <w:r>
        <w:rPr>
          <w:rFonts w:ascii="Arial" w:cs="Arial" w:eastAsia="Arial" w:hAnsi="Arial"/>
          <w:sz w:val="17"/>
          <w:szCs w:val="17"/>
          <w:i w:val="1"/>
          <w:iCs w:val="1"/>
          <w:color w:val="auto"/>
        </w:rPr>
        <w:t xml:space="preserve"> </w:t>
      </w:r>
      <w:r>
        <w:rPr>
          <w:rFonts w:ascii="Arial" w:cs="Arial" w:eastAsia="Arial" w:hAnsi="Arial"/>
          <w:sz w:val="17"/>
          <w:szCs w:val="17"/>
          <w:color w:val="auto"/>
        </w:rPr>
        <w:t>at the offices of Covington &amp; Burling LLP, The New York Times Building, 620 Eighth Avenue, New York, New York, 10018, or at such other place as shall be agreed upon by the Representatives and the Company, at 10:00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w:t>
      </w:r>
      <w:r>
        <w:rPr>
          <w:rFonts w:ascii="Arial" w:cs="Arial" w:eastAsia="Arial" w:hAnsi="Arial"/>
          <w:sz w:val="17"/>
          <w:szCs w:val="17"/>
          <w:u w:val="single" w:color="auto"/>
          <w:color w:val="auto"/>
        </w:rPr>
        <w:t>Closing Time</w:t>
      </w:r>
      <w:r>
        <w:rPr>
          <w:rFonts w:ascii="Arial" w:cs="Arial" w:eastAsia="Arial" w:hAnsi="Arial"/>
          <w:sz w:val="17"/>
          <w:szCs w:val="17"/>
          <w:color w:val="auto"/>
        </w:rPr>
        <w:t>”). Delivery of the Initial Securities at the Closing Time shall be made through the facilities of The Depository Trust Company unless the Representatives shall otherwise instruct.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the Representatives to the Company. Delivery of the Option Securities on each such Date of Delivery shall be made through the facilities of The Depository Trust Company unless the Representatives shall otherwise instruct.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Each of SVB Leerink and Morgan Stanley, individually and not as representatives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660"/>
        <w:spacing w:after="0"/>
        <w:tabs>
          <w:tab w:leader="none" w:pos="20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with each Underwriter as follows:</w:t>
      </w:r>
    </w:p>
    <w:p>
      <w:pPr>
        <w:spacing w:after="0" w:line="225" w:lineRule="exact"/>
        <w:rPr>
          <w:sz w:val="20"/>
          <w:szCs w:val="20"/>
          <w:color w:val="auto"/>
        </w:rPr>
      </w:pPr>
    </w:p>
    <w:p>
      <w:pPr>
        <w:jc w:val="both"/>
        <w:ind w:firstLine="656"/>
        <w:spacing w:after="0" w:line="285" w:lineRule="auto"/>
        <w:tabs>
          <w:tab w:leader="none" w:pos="1879"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Rule 430B, and will notify the Representatives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 The Company shall pay the required Commission filing fees relating to the Securities within the time required by Rule 456(b)(1)(i) under the 1933 Act Regulations without regard to the proviso therein and otherwise in accordance with Rules 456(b) and 457(r) under the 1933 Act Regulations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175" w:lineRule="exact"/>
        <w:rPr>
          <w:rFonts w:ascii="Arial" w:cs="Arial" w:eastAsia="Arial" w:hAnsi="Arial"/>
          <w:sz w:val="16"/>
          <w:szCs w:val="16"/>
          <w:color w:val="auto"/>
        </w:rPr>
      </w:pPr>
    </w:p>
    <w:p>
      <w:pPr>
        <w:jc w:val="both"/>
        <w:ind w:firstLine="656"/>
        <w:spacing w:after="0" w:line="285" w:lineRule="auto"/>
        <w:tabs>
          <w:tab w:leader="none" w:pos="1578"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1933 Act, the 1933 Act Regulations, the 1934 Act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Arial" w:cs="Arial" w:eastAsia="Arial" w:hAnsi="Arial"/>
          <w:sz w:val="16"/>
          <w:szCs w:val="16"/>
          <w:u w:val="single" w:color="auto"/>
          <w:color w:val="auto"/>
        </w:rPr>
        <w:t>Rule 172</w:t>
      </w:r>
      <w:r>
        <w:rPr>
          <w:rFonts w:ascii="Arial" w:cs="Arial" w:eastAsia="Arial" w:hAnsi="Arial"/>
          <w:sz w:val="16"/>
          <w:szCs w:val="16"/>
          <w:color w:val="auto"/>
        </w:rPr>
        <w:t>”),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object. The Company will furnish to the Underwriters such number of copies of such amendment or supplement as the Underwriters may reasonably request. The Company has given the Representatives notice of any filings made pursuant to the 1934 Act or the 1934 Act Regulations 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656"/>
        <w:spacing w:after="0" w:line="255" w:lineRule="auto"/>
        <w:tabs>
          <w:tab w:leader="none" w:pos="206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Statements</w:t>
      </w:r>
      <w:r>
        <w:rPr>
          <w:rFonts w:ascii="Arial" w:cs="Arial" w:eastAsia="Arial" w:hAnsi="Arial"/>
          <w:sz w:val="18"/>
          <w:szCs w:val="18"/>
          <w:color w:val="auto"/>
        </w:rPr>
        <w:t>. The Company has furnished or will deliver to the Representatives and counsel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without charge, signed copies of the Registration Statement as originally filed and each amendment thereto (including exhibits filed therewith or incorporated by reference therein and documents incorporated or deemed incorporated by reference therein) and signed copies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9" w:lineRule="exact"/>
        <w:rPr>
          <w:rFonts w:ascii="Arial" w:cs="Arial" w:eastAsia="Arial" w:hAnsi="Arial"/>
          <w:sz w:val="18"/>
          <w:szCs w:val="18"/>
          <w:color w:val="auto"/>
        </w:rPr>
      </w:pPr>
    </w:p>
    <w:p>
      <w:pPr>
        <w:jc w:val="both"/>
        <w:ind w:firstLine="656"/>
        <w:spacing w:after="0" w:line="293" w:lineRule="auto"/>
        <w:tabs>
          <w:tab w:leader="none" w:pos="1889"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has delivered to each Underwriter, without charge, as many copies of each preliminary</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64" w:lineRule="exact"/>
        <w:rPr>
          <w:rFonts w:ascii="Arial" w:cs="Arial" w:eastAsia="Arial" w:hAnsi="Arial"/>
          <w:sz w:val="16"/>
          <w:szCs w:val="16"/>
          <w:color w:val="auto"/>
        </w:rPr>
      </w:pPr>
    </w:p>
    <w:p>
      <w:pPr>
        <w:jc w:val="both"/>
        <w:ind w:firstLine="656"/>
        <w:spacing w:after="0" w:line="276" w:lineRule="auto"/>
        <w:tabs>
          <w:tab w:leader="none" w:pos="1811"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Blue Sky Qualifications</w:t>
      </w:r>
      <w:r>
        <w:rPr>
          <w:rFonts w:ascii="Arial" w:cs="Arial" w:eastAsia="Arial" w:hAnsi="Arial"/>
          <w:sz w:val="17"/>
          <w:szCs w:val="17"/>
          <w:color w:val="auto"/>
        </w:rPr>
        <w:t>. The Company will use its best efforts, in cooperation with the Underwriters, to qualify the Securities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72" w:lineRule="exact"/>
        <w:rPr>
          <w:rFonts w:ascii="Arial" w:cs="Arial" w:eastAsia="Arial" w:hAnsi="Arial"/>
          <w:sz w:val="17"/>
          <w:szCs w:val="17"/>
          <w:color w:val="auto"/>
        </w:rPr>
      </w:pPr>
    </w:p>
    <w:p>
      <w:pPr>
        <w:jc w:val="both"/>
        <w:ind w:firstLine="656"/>
        <w:spacing w:after="0" w:line="264" w:lineRule="auto"/>
        <w:tabs>
          <w:tab w:leader="none" w:pos="1661"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1934 Act as are necessary in order to make generally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its securityholders as soon as practicable an earning statement for the purposes of, and to provide to the Underwriters the benefits contemplated by, the last paragraph of Section 11(a) of the 1933 Act.</w:t>
      </w:r>
    </w:p>
    <w:p>
      <w:pPr>
        <w:spacing w:after="0" w:line="181" w:lineRule="exact"/>
        <w:rPr>
          <w:rFonts w:ascii="Arial" w:cs="Arial" w:eastAsia="Arial" w:hAnsi="Arial"/>
          <w:sz w:val="18"/>
          <w:szCs w:val="18"/>
          <w:color w:val="auto"/>
        </w:rPr>
      </w:pPr>
    </w:p>
    <w:p>
      <w:pPr>
        <w:ind w:firstLine="656"/>
        <w:spacing w:after="0" w:line="308" w:lineRule="auto"/>
        <w:tabs>
          <w:tab w:leader="none" w:pos="1727"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The Company will use the net proceeds received by it from the sale of the Securities in all material respects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manner specified in the Registration Statement, the General Disclosure Package and the Prospectus under the heading “Use of Proceeds.”</w:t>
      </w:r>
    </w:p>
    <w:p>
      <w:pPr>
        <w:spacing w:after="0" w:line="146" w:lineRule="exact"/>
        <w:rPr>
          <w:rFonts w:ascii="Arial" w:cs="Arial" w:eastAsia="Arial" w:hAnsi="Arial"/>
          <w:sz w:val="17"/>
          <w:szCs w:val="17"/>
          <w:color w:val="auto"/>
        </w:rPr>
      </w:pPr>
    </w:p>
    <w:p>
      <w:pPr>
        <w:ind w:right="20" w:firstLine="656"/>
        <w:spacing w:after="0" w:line="277" w:lineRule="auto"/>
        <w:tabs>
          <w:tab w:leader="none" w:pos="1646"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use its best efforts to effect and maintain the listing of the Common Stock (including the Securities)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Nasdaq Global Market.</w:t>
      </w:r>
    </w:p>
    <w:p>
      <w:pPr>
        <w:spacing w:after="0" w:line="170" w:lineRule="exact"/>
        <w:rPr>
          <w:rFonts w:ascii="Arial" w:cs="Arial" w:eastAsia="Arial" w:hAnsi="Arial"/>
          <w:sz w:val="18"/>
          <w:szCs w:val="18"/>
          <w:color w:val="auto"/>
        </w:rPr>
      </w:pPr>
    </w:p>
    <w:p>
      <w:pPr>
        <w:jc w:val="both"/>
        <w:ind w:firstLine="656"/>
        <w:spacing w:after="0" w:line="268" w:lineRule="auto"/>
        <w:tabs>
          <w:tab w:leader="none" w:pos="1678"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Restriction on Sale of Securities</w:t>
      </w:r>
      <w:r>
        <w:rPr>
          <w:rFonts w:ascii="Arial" w:cs="Arial" w:eastAsia="Arial" w:hAnsi="Arial"/>
          <w:sz w:val="17"/>
          <w:szCs w:val="17"/>
          <w:color w:val="auto"/>
        </w:rPr>
        <w:t>. During a period of 90 days from the date of the Prospectus, the Company will not, without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of SVB Leerink,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or (iii) publicly announce an intention to effect any such swap, agreement or other transaction described in clauses (i) and (ii). The foregoing sentence shall not apply to (A) the Securities to be sold hereunder; (B) any shares of Common Stock issued by the Company upon the exercise of an option or warrant or the conversion of a convertible security outstanding on the date hereof and referred to in the Registration Statement, the General Disclosure Package and the Prospectus; (C) any shares of Common Stock issued or options to purchase Common Stock granted pursuant to existing employee benefit plans of the Company referred to in the Registration Statement, the General Disclosure Package and the Prospectus; (D) any shares of Common Stock issued pursuant to any existing non-employee director stock plan or dividend reinvestment plan referred to in the Registration Statement, the General Disclosure Package and the Prospectus; or (E) the filing by the Company of any registration statement on Form S-8 or a successor form thereto.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656"/>
        <w:spacing w:after="0" w:line="259" w:lineRule="auto"/>
        <w:tabs>
          <w:tab w:leader="none" w:pos="1799"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w:t>
      </w:r>
      <w:r>
        <w:rPr>
          <w:rFonts w:ascii="Arial" w:cs="Arial" w:eastAsia="Arial" w:hAnsi="Arial"/>
          <w:sz w:val="18"/>
          <w:szCs w:val="18"/>
          <w:i w:val="1"/>
          <w:iCs w:val="1"/>
          <w:color w:val="auto"/>
        </w:rPr>
        <w:t xml:space="preserve"> </w:t>
      </w:r>
      <w:r>
        <w:rPr>
          <w:rFonts w:ascii="Arial" w:cs="Arial" w:eastAsia="Arial" w:hAnsi="Arial"/>
          <w:sz w:val="18"/>
          <w:szCs w:val="18"/>
          <w:color w:val="auto"/>
        </w:rPr>
        <w:t>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578"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The Company agrees that, unless it obtains the prior written consent of the Representatives, it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w:t>
      </w:r>
      <w:r>
        <w:rPr>
          <w:rFonts w:ascii="Arial" w:cs="Arial" w:eastAsia="Arial" w:hAnsi="Arial"/>
          <w:sz w:val="16"/>
          <w:szCs w:val="16"/>
          <w:u w:val="single" w:color="auto"/>
          <w:color w:val="auto"/>
        </w:rPr>
        <w:t>Schedule B-2</w:t>
      </w:r>
      <w:r>
        <w:rPr>
          <w:rFonts w:ascii="Arial" w:cs="Arial" w:eastAsia="Arial" w:hAnsi="Arial"/>
          <w:sz w:val="16"/>
          <w:szCs w:val="16"/>
          <w:color w:val="auto"/>
        </w:rPr>
        <w:t xml:space="preserve">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74" w:lineRule="exact"/>
        <w:rPr>
          <w:rFonts w:ascii="Arial" w:cs="Arial" w:eastAsia="Arial" w:hAnsi="Arial"/>
          <w:sz w:val="16"/>
          <w:szCs w:val="16"/>
          <w:color w:val="auto"/>
        </w:rPr>
      </w:pPr>
    </w:p>
    <w:p>
      <w:pPr>
        <w:jc w:val="both"/>
        <w:ind w:firstLine="656"/>
        <w:spacing w:after="0" w:line="276" w:lineRule="auto"/>
        <w:tabs>
          <w:tab w:leader="none" w:pos="1583"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Testing-the-Waters Materials</w:t>
      </w:r>
      <w:r>
        <w:rPr>
          <w:rFonts w:ascii="Arial" w:cs="Arial" w:eastAsia="Arial" w:hAnsi="Arial"/>
          <w:sz w:val="17"/>
          <w:szCs w:val="17"/>
          <w:color w:val="auto"/>
        </w:rPr>
        <w:t>. If at any time following the distribution of any Written Testing-the-Waters Communication there occurred</w:t>
      </w:r>
      <w:r>
        <w:rPr>
          <w:rFonts w:ascii="Arial" w:cs="Arial" w:eastAsia="Arial" w:hAnsi="Arial"/>
          <w:sz w:val="17"/>
          <w:szCs w:val="17"/>
          <w:i w:val="1"/>
          <w:iCs w:val="1"/>
          <w:color w:val="auto"/>
        </w:rPr>
        <w:t xml:space="preserve"> </w:t>
      </w:r>
      <w:r>
        <w:rPr>
          <w:rFonts w:ascii="Arial" w:cs="Arial" w:eastAsia="Arial" w:hAnsi="Arial"/>
          <w:sz w:val="17"/>
          <w:szCs w:val="17"/>
          <w:color w:val="auto"/>
        </w:rPr>
        <w:t>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72" w:lineRule="exact"/>
        <w:rPr>
          <w:rFonts w:ascii="Arial" w:cs="Arial" w:eastAsia="Arial" w:hAnsi="Arial"/>
          <w:sz w:val="17"/>
          <w:szCs w:val="17"/>
          <w:color w:val="auto"/>
        </w:rPr>
      </w:pPr>
    </w:p>
    <w:p>
      <w:pPr>
        <w:jc w:val="both"/>
        <w:ind w:firstLine="656"/>
        <w:spacing w:after="0" w:line="264" w:lineRule="auto"/>
        <w:tabs>
          <w:tab w:leader="none" w:pos="164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The Company will promptly notify the Representatives if the Company ceases to be an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Company at any time prior to the later of (i) completion of the distribution of the Securities within the meaning of the 1933 Act and (ii) completion of the 90-day restricted period referred to in Section 3(i).</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660"/>
        <w:spacing w:after="0"/>
        <w:tabs>
          <w:tab w:leader="none" w:pos="20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84" w:lineRule="auto"/>
        <w:tabs>
          <w:tab w:leader="none" w:pos="1635"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w:t>
      </w:r>
    </w:p>
    <w:p>
      <w:pPr>
        <w:spacing w:after="0" w:line="4" w:lineRule="exact"/>
        <w:rPr>
          <w:rFonts w:ascii="Arial" w:cs="Arial" w:eastAsia="Arial" w:hAnsi="Arial"/>
          <w:sz w:val="16"/>
          <w:szCs w:val="16"/>
          <w:color w:val="auto"/>
        </w:rPr>
      </w:pPr>
    </w:p>
    <w:p>
      <w:pPr>
        <w:jc w:val="both"/>
        <w:ind w:firstLine="8"/>
        <w:spacing w:after="0" w:line="267" w:lineRule="auto"/>
        <w:tabs>
          <w:tab w:leader="none" w:pos="32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a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and the cost of aircraft and other transportation chartered in connection with the road show, (viii) the filing fees incident to, and the reasonable fees and disbursements of counsel to the Underwriters in connection with, the review by FINRA of the terms of the sale of the Securities in an amount not to exceed $15,000, (ix) the fees and expenses incurred in connection with the listing of the Securities on the Nasdaq Global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w:t>
      </w:r>
    </w:p>
    <w:p>
      <w:pPr>
        <w:spacing w:after="0" w:line="185" w:lineRule="exact"/>
        <w:rPr>
          <w:rFonts w:ascii="Arial" w:cs="Arial" w:eastAsia="Arial" w:hAnsi="Arial"/>
          <w:sz w:val="17"/>
          <w:szCs w:val="17"/>
          <w:color w:val="auto"/>
        </w:rPr>
      </w:pPr>
    </w:p>
    <w:p>
      <w:pPr>
        <w:jc w:val="both"/>
        <w:ind w:firstLine="656"/>
        <w:spacing w:after="0" w:line="264" w:lineRule="auto"/>
        <w:tabs>
          <w:tab w:leader="none" w:pos="1821"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this Agreement is terminated by the Representatives in accordance with the provisions of Section 5,</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9(a)(i), Section 9(a)(iii) or Section 10 hereof, the Company shall reimburse the Underwriters for all of their reasonably documented out-of-pocket expenses, including the reasonable fees and disbursements of counsel for the Underwriters.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Conditions of Underwriters’ Obligations</w:t>
      </w:r>
      <w:r>
        <w:rPr>
          <w:rFonts w:ascii="Arial" w:cs="Arial" w:eastAsia="Arial" w:hAnsi="Arial"/>
          <w:sz w:val="16"/>
          <w:szCs w:val="16"/>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147" w:lineRule="exact"/>
        <w:rPr>
          <w:sz w:val="20"/>
          <w:szCs w:val="20"/>
          <w:color w:val="auto"/>
        </w:rPr>
      </w:pPr>
    </w:p>
    <w:p>
      <w:pPr>
        <w:jc w:val="both"/>
        <w:ind w:firstLine="656"/>
        <w:spacing w:after="0" w:line="253" w:lineRule="auto"/>
        <w:tabs>
          <w:tab w:leader="none" w:pos="182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 The Registration Statement has become effective and, at the Closing Time, no stop order</w:t>
      </w:r>
      <w:r>
        <w:rPr>
          <w:rFonts w:ascii="Arial" w:cs="Arial" w:eastAsia="Arial" w:hAnsi="Arial"/>
          <w:sz w:val="18"/>
          <w:szCs w:val="18"/>
          <w:i w:val="1"/>
          <w:iCs w:val="1"/>
          <w:color w:val="auto"/>
        </w:rPr>
        <w:t xml:space="preserve"> </w:t>
      </w:r>
      <w:r>
        <w:rPr>
          <w:rFonts w:ascii="Arial" w:cs="Arial" w:eastAsia="Arial" w:hAnsi="Arial"/>
          <w:sz w:val="18"/>
          <w:szCs w:val="18"/>
          <w:color w:val="auto"/>
        </w:rPr>
        <w:t>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 The Company shall have paid the required Commission filing fees relating to the Securities within the time period required by Rule 456(b)(1)(i) under the 1933 Act Regulations without regard to the proviso therein and otherwise in accordance with Rules 456(b) and 457(r) under the 1933 Act Regulations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656"/>
        <w:spacing w:after="0" w:line="302" w:lineRule="auto"/>
        <w:tabs>
          <w:tab w:leader="none" w:pos="1632"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Opinion of Counsel for Company</w:t>
      </w:r>
      <w:r>
        <w:rPr>
          <w:rFonts w:ascii="Arial" w:cs="Arial" w:eastAsia="Arial" w:hAnsi="Arial"/>
          <w:sz w:val="16"/>
          <w:szCs w:val="16"/>
          <w:color w:val="auto"/>
        </w:rPr>
        <w:t>. At the Closing Time, the Representatives shall have received the opinion and the negative assurance</w:t>
      </w:r>
      <w:r>
        <w:rPr>
          <w:rFonts w:ascii="Arial" w:cs="Arial" w:eastAsia="Arial" w:hAnsi="Arial"/>
          <w:sz w:val="16"/>
          <w:szCs w:val="16"/>
          <w:i w:val="1"/>
          <w:iCs w:val="1"/>
          <w:color w:val="auto"/>
        </w:rPr>
        <w:t xml:space="preserve"> </w:t>
      </w:r>
      <w:r>
        <w:rPr>
          <w:rFonts w:ascii="Arial" w:cs="Arial" w:eastAsia="Arial" w:hAnsi="Arial"/>
          <w:sz w:val="16"/>
          <w:szCs w:val="16"/>
          <w:color w:val="auto"/>
        </w:rPr>
        <w:t>letter, each dated the Closing Time, of DLA Piper LLP (US), counsel for the Company, together with the opinion of Maschoff Brennan, special counsel for the Company with respect to intellectual property matters, in form and substance satisfactory to counsel for the Underwriters, together with signed or reproduced copies of each such letter for each of the other Underwriters to such effect as counsel to the Underwriters may reasonably request.</w:t>
      </w:r>
    </w:p>
    <w:p>
      <w:pPr>
        <w:spacing w:after="0" w:line="154" w:lineRule="exact"/>
        <w:rPr>
          <w:rFonts w:ascii="Arial" w:cs="Arial" w:eastAsia="Arial" w:hAnsi="Arial"/>
          <w:sz w:val="16"/>
          <w:szCs w:val="16"/>
          <w:color w:val="auto"/>
        </w:rPr>
      </w:pPr>
    </w:p>
    <w:p>
      <w:pPr>
        <w:jc w:val="both"/>
        <w:ind w:firstLine="656"/>
        <w:spacing w:after="0" w:line="255" w:lineRule="auto"/>
        <w:tabs>
          <w:tab w:leader="none" w:pos="159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Representatives shall have received the opinion, and negative assurance</w:t>
      </w:r>
      <w:r>
        <w:rPr>
          <w:rFonts w:ascii="Arial" w:cs="Arial" w:eastAsia="Arial" w:hAnsi="Arial"/>
          <w:sz w:val="18"/>
          <w:szCs w:val="18"/>
          <w:i w:val="1"/>
          <w:iCs w:val="1"/>
          <w:color w:val="auto"/>
        </w:rPr>
        <w:t xml:space="preserve"> </w:t>
      </w:r>
      <w:r>
        <w:rPr>
          <w:rFonts w:ascii="Arial" w:cs="Arial" w:eastAsia="Arial" w:hAnsi="Arial"/>
          <w:sz w:val="18"/>
          <w:szCs w:val="18"/>
          <w:color w:val="auto"/>
        </w:rPr>
        <w:t>letter, each dated the Closing Time, of Covington &amp; Burling LLP, counsel for the Underwriters, together with signed or reproduced copies of such letters for each of the other Underwriters in form and substance satisfactory to the Representatives.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Representatives.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89" w:lineRule="exact"/>
        <w:rPr>
          <w:rFonts w:ascii="Arial" w:cs="Arial" w:eastAsia="Arial" w:hAnsi="Arial"/>
          <w:sz w:val="18"/>
          <w:szCs w:val="18"/>
          <w:color w:val="auto"/>
        </w:rPr>
      </w:pPr>
    </w:p>
    <w:p>
      <w:pPr>
        <w:jc w:val="both"/>
        <w:ind w:firstLine="656"/>
        <w:spacing w:after="0" w:line="270" w:lineRule="auto"/>
        <w:tabs>
          <w:tab w:leader="none" w:pos="1754"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Officers’ Certificate</w:t>
      </w:r>
      <w:r>
        <w:rPr>
          <w:rFonts w:ascii="Arial" w:cs="Arial" w:eastAsia="Arial" w:hAnsi="Arial"/>
          <w:sz w:val="17"/>
          <w:szCs w:val="17"/>
          <w:color w:val="auto"/>
        </w:rPr>
        <w:t>. At the Closing Time, there shall not have been, since the date hereof or since the respective dates as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principal executive officer of the Company and of the principal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77" w:lineRule="exact"/>
        <w:rPr>
          <w:rFonts w:ascii="Arial" w:cs="Arial" w:eastAsia="Arial" w:hAnsi="Arial"/>
          <w:sz w:val="17"/>
          <w:szCs w:val="17"/>
          <w:color w:val="auto"/>
        </w:rPr>
      </w:pPr>
    </w:p>
    <w:p>
      <w:pPr>
        <w:jc w:val="both"/>
        <w:ind w:firstLine="656"/>
        <w:spacing w:after="0" w:line="257" w:lineRule="auto"/>
        <w:tabs>
          <w:tab w:leader="none" w:pos="1757"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Representatives shall have received from Ernst &amp;</w:t>
      </w:r>
      <w:r>
        <w:rPr>
          <w:rFonts w:ascii="Arial" w:cs="Arial" w:eastAsia="Arial" w:hAnsi="Arial"/>
          <w:sz w:val="18"/>
          <w:szCs w:val="18"/>
          <w:i w:val="1"/>
          <w:iCs w:val="1"/>
          <w:color w:val="auto"/>
        </w:rPr>
        <w:t xml:space="preserve"> </w:t>
      </w:r>
      <w:r>
        <w:rPr>
          <w:rFonts w:ascii="Arial" w:cs="Arial" w:eastAsia="Arial" w:hAnsi="Arial"/>
          <w:sz w:val="18"/>
          <w:szCs w:val="18"/>
          <w:color w:val="auto"/>
        </w:rPr>
        <w:t>Young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Representatives shall have received from Ernst &amp; Young LLP a letter, dated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firstLine="656"/>
        <w:spacing w:after="0" w:line="277" w:lineRule="auto"/>
        <w:tabs>
          <w:tab w:leader="none" w:pos="144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At the Closing Time, the Securities shall have been approved for listing on the Nasdaq Global Market, subject only to</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 notice of issuance.</w:t>
      </w:r>
    </w:p>
    <w:p>
      <w:pPr>
        <w:spacing w:after="0" w:line="170" w:lineRule="exact"/>
        <w:rPr>
          <w:rFonts w:ascii="Arial" w:cs="Arial" w:eastAsia="Arial" w:hAnsi="Arial"/>
          <w:sz w:val="18"/>
          <w:szCs w:val="18"/>
          <w:color w:val="auto"/>
        </w:rPr>
      </w:pPr>
    </w:p>
    <w:p>
      <w:pPr>
        <w:ind w:firstLine="656"/>
        <w:spacing w:after="0" w:line="277" w:lineRule="auto"/>
        <w:tabs>
          <w:tab w:leader="none" w:pos="180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terms and arrangements relating to the offering of the Securities.</w:t>
      </w:r>
    </w:p>
    <w:p>
      <w:pPr>
        <w:spacing w:after="0" w:line="170" w:lineRule="exact"/>
        <w:rPr>
          <w:rFonts w:ascii="Arial" w:cs="Arial" w:eastAsia="Arial" w:hAnsi="Arial"/>
          <w:sz w:val="18"/>
          <w:szCs w:val="18"/>
          <w:color w:val="auto"/>
        </w:rPr>
      </w:pPr>
    </w:p>
    <w:p>
      <w:pPr>
        <w:ind w:firstLine="656"/>
        <w:spacing w:after="0" w:line="277" w:lineRule="auto"/>
        <w:tabs>
          <w:tab w:leader="none" w:pos="158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Representatives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signed by all of the Company’s directors, officers and securityholders.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637"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Conditions to Purchase of Option Securities</w:t>
      </w:r>
      <w:r>
        <w:rPr>
          <w:rFonts w:ascii="Arial" w:cs="Arial" w:eastAsia="Arial" w:hAnsi="Arial"/>
          <w:sz w:val="18"/>
          <w:szCs w:val="18"/>
          <w:color w:val="auto"/>
        </w:rPr>
        <w:t>. In the event that the Underwriters exercise their option provided in Section 2(b)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the Representatives shall have received:</w:t>
      </w:r>
    </w:p>
    <w:p>
      <w:pPr>
        <w:spacing w:after="0" w:line="186" w:lineRule="exact"/>
        <w:rPr>
          <w:rFonts w:ascii="Arial" w:cs="Arial" w:eastAsia="Arial" w:hAnsi="Arial"/>
          <w:sz w:val="18"/>
          <w:szCs w:val="18"/>
          <w:color w:val="auto"/>
        </w:rPr>
      </w:pPr>
    </w:p>
    <w:p>
      <w:pPr>
        <w:jc w:val="both"/>
        <w:ind w:left="660" w:right="20" w:firstLine="645"/>
        <w:spacing w:after="0" w:line="264" w:lineRule="auto"/>
        <w:tabs>
          <w:tab w:leader="none" w:pos="207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dated such Date of Delivery, of the principal executive officer of the Company and of the principal financial officer of the Company confirming that the certificate delivered at the Closing Time pursuant to Section 5(d) hereof remains true and correct as of such Date of Delivery.</w:t>
      </w:r>
    </w:p>
    <w:p>
      <w:pPr>
        <w:spacing w:after="0" w:line="181" w:lineRule="exact"/>
        <w:rPr>
          <w:rFonts w:ascii="Arial" w:cs="Arial" w:eastAsia="Arial" w:hAnsi="Arial"/>
          <w:sz w:val="18"/>
          <w:szCs w:val="18"/>
          <w:color w:val="auto"/>
        </w:rPr>
      </w:pPr>
    </w:p>
    <w:p>
      <w:pPr>
        <w:jc w:val="both"/>
        <w:ind w:left="660" w:firstLine="645"/>
        <w:spacing w:after="0" w:line="302" w:lineRule="auto"/>
        <w:tabs>
          <w:tab w:leader="none" w:pos="1996"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Opinion of Counsel for Company</w:t>
      </w:r>
      <w:r>
        <w:rPr>
          <w:rFonts w:ascii="Arial" w:cs="Arial" w:eastAsia="Arial" w:hAnsi="Arial"/>
          <w:sz w:val="16"/>
          <w:szCs w:val="16"/>
          <w:color w:val="auto"/>
        </w:rPr>
        <w:t>. If requested by the Representatives, the opinion, and negative assurance letter, of DLA Piper LLP (US), counsel for the Company, together with the opinion of Maschoff Brennan, special counsel for the Company with respect to intellectual property matters, in form and substance satisfactory to counsel for the Underwriters, dated such Date of Delivery, relating to the Option Securities to be purchased on such Date of Delivery and otherwise to the same effect as the opinions and negative assurance letter required by Section 5(b) hereof.</w:t>
      </w:r>
    </w:p>
    <w:p>
      <w:pPr>
        <w:spacing w:after="0" w:line="154" w:lineRule="exact"/>
        <w:rPr>
          <w:rFonts w:ascii="Arial" w:cs="Arial" w:eastAsia="Arial" w:hAnsi="Arial"/>
          <w:sz w:val="16"/>
          <w:szCs w:val="16"/>
          <w:color w:val="auto"/>
        </w:rPr>
      </w:pPr>
    </w:p>
    <w:p>
      <w:pPr>
        <w:jc w:val="both"/>
        <w:ind w:left="660" w:firstLine="645"/>
        <w:spacing w:after="0" w:line="286" w:lineRule="auto"/>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Opinion of Counsel for Underwriters</w:t>
      </w:r>
      <w:r>
        <w:rPr>
          <w:rFonts w:ascii="Arial" w:cs="Arial" w:eastAsia="Arial" w:hAnsi="Arial"/>
          <w:sz w:val="17"/>
          <w:szCs w:val="17"/>
          <w:color w:val="auto"/>
        </w:rPr>
        <w:t>. If requested by the Representatives, the opinion, and negative assurance letter, of Covington &amp; Burling LLP counsel for the Underwriters, dated such Date of Delivery, relating to the Option Securities to be purchased on such Date of Delivery and otherwise to the same effect as the opinion and negative assurance letter required by Section 5(c) hereof.</w:t>
      </w:r>
    </w:p>
    <w:p>
      <w:pPr>
        <w:spacing w:after="0" w:line="165" w:lineRule="exact"/>
        <w:rPr>
          <w:rFonts w:ascii="Arial" w:cs="Arial" w:eastAsia="Arial" w:hAnsi="Arial"/>
          <w:sz w:val="17"/>
          <w:szCs w:val="17"/>
          <w:color w:val="auto"/>
        </w:rPr>
      </w:pPr>
    </w:p>
    <w:p>
      <w:pPr>
        <w:jc w:val="both"/>
        <w:ind w:left="660" w:firstLine="645"/>
        <w:spacing w:after="0" w:line="259" w:lineRule="auto"/>
        <w:tabs>
          <w:tab w:leader="none" w:pos="2099"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If requested by the Representatives, a letter from Ernst &amp; Young LLP, in form and substance satisfactory to the Representatives and dated such Date of Delivery, substantially in the same form and substance as the letter furnished to the Representatives pursuant to subsection (f) of this Section, except that the “specified date” in the letter furnished pursuant to this paragraph shall be a date not more than three business days prior to such Date of Delivery.</w:t>
      </w:r>
    </w:p>
    <w:p>
      <w:pPr>
        <w:spacing w:after="0" w:line="186" w:lineRule="exact"/>
        <w:rPr>
          <w:rFonts w:ascii="Arial" w:cs="Arial" w:eastAsia="Arial" w:hAnsi="Arial"/>
          <w:sz w:val="18"/>
          <w:szCs w:val="18"/>
          <w:color w:val="auto"/>
        </w:rPr>
      </w:pPr>
    </w:p>
    <w:p>
      <w:pPr>
        <w:jc w:val="both"/>
        <w:ind w:firstLine="656"/>
        <w:spacing w:after="0" w:line="276" w:lineRule="auto"/>
        <w:tabs>
          <w:tab w:leader="none" w:pos="1862"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Additional Documents</w:t>
      </w:r>
      <w:r>
        <w:rPr>
          <w:rFonts w:ascii="Arial" w:cs="Arial" w:eastAsia="Arial" w:hAnsi="Arial"/>
          <w:sz w:val="17"/>
          <w:szCs w:val="17"/>
          <w:color w:val="auto"/>
        </w:rPr>
        <w:t>. At the Closing Time and at each Date of Delivery (if any), counsel for the Underwriters shall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furnished with such other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656"/>
        <w:spacing w:after="0" w:line="297" w:lineRule="auto"/>
        <w:tabs>
          <w:tab w:leader="none" w:pos="1678"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any condition specified in this Section shall not have been fulfilled when and as required to be fulfilled,</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4, 6, 7, 8, 15, 16 and 17 shall survive any such termination and remain in full force and effect.</w:t>
      </w:r>
    </w:p>
    <w:p>
      <w:pPr>
        <w:spacing w:after="0" w:line="158"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jc w:val="both"/>
        <w:ind w:firstLine="656"/>
        <w:spacing w:after="0" w:line="264" w:lineRule="auto"/>
        <w:tabs>
          <w:tab w:leader="none" w:pos="163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agrees to indemnify and hold harmless each Underwriter, its affiliates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 501(b) under the 1933 Act (each, an “</w:t>
      </w:r>
      <w:r>
        <w:rPr>
          <w:rFonts w:ascii="Arial" w:cs="Arial" w:eastAsia="Arial" w:hAnsi="Arial"/>
          <w:sz w:val="18"/>
          <w:szCs w:val="18"/>
          <w:u w:val="single" w:color="auto"/>
          <w:color w:val="auto"/>
        </w:rPr>
        <w:t>Affiliate</w:t>
      </w:r>
      <w:r>
        <w:rPr>
          <w:rFonts w:ascii="Arial" w:cs="Arial" w:eastAsia="Arial" w:hAnsi="Arial"/>
          <w:sz w:val="18"/>
          <w:szCs w:val="18"/>
          <w:color w:val="auto"/>
        </w:rPr>
        <w:t>”)), its selling agents and each person, if any, who controls any Underwriter within the meaning of Section 15 of the 1933 Act or Section 20 of the 1934 Act as follows:</w:t>
      </w:r>
    </w:p>
    <w:p>
      <w:pPr>
        <w:spacing w:after="0" w:line="181" w:lineRule="exact"/>
        <w:rPr>
          <w:rFonts w:ascii="Arial" w:cs="Arial" w:eastAsia="Arial" w:hAnsi="Arial"/>
          <w:sz w:val="18"/>
          <w:szCs w:val="18"/>
          <w:color w:val="auto"/>
        </w:rPr>
      </w:pPr>
    </w:p>
    <w:p>
      <w:pPr>
        <w:jc w:val="both"/>
        <w:ind w:left="660" w:firstLine="645"/>
        <w:spacing w:after="0" w:line="269" w:lineRule="auto"/>
        <w:tabs>
          <w:tab w:leader="none" w:pos="1832" w:val="left"/>
        </w:tabs>
        <w:numPr>
          <w:ilvl w:val="1"/>
          <w:numId w:val="30"/>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Arial" w:cs="Arial" w:eastAsia="Arial" w:hAnsi="Arial"/>
          <w:sz w:val="17"/>
          <w:szCs w:val="17"/>
          <w:u w:val="single" w:color="auto"/>
          <w:color w:val="auto"/>
        </w:rPr>
        <w:t>Marketing Materials</w:t>
      </w:r>
      <w:r>
        <w:rPr>
          <w:rFonts w:ascii="Arial" w:cs="Arial" w:eastAsia="Arial" w:hAnsi="Arial"/>
          <w:sz w:val="17"/>
          <w:szCs w:val="17"/>
          <w:color w:val="auto"/>
        </w:rPr>
        <w:t>”), including any roadshow or investor presentations made to investors by the Company (whether in person or electronically), or the omission or alleged omission in any preliminary prospectus, any Issuer Free Writing Prospectus, any Written Testing-the-Waters Communication, the General Disclosure Package, the Prospectus (or any amendment or supplement thereto) or in any Marketing Materials of a material fact necessary in order to make the statements therein, in the light of the circumstances under which they were made, not misleading;</w:t>
      </w:r>
    </w:p>
    <w:p>
      <w:pPr>
        <w:spacing w:after="0" w:line="182" w:lineRule="exact"/>
        <w:rPr>
          <w:rFonts w:ascii="Arial" w:cs="Arial" w:eastAsia="Arial" w:hAnsi="Arial"/>
          <w:sz w:val="17"/>
          <w:szCs w:val="17"/>
          <w:color w:val="auto"/>
        </w:rPr>
      </w:pPr>
    </w:p>
    <w:p>
      <w:pPr>
        <w:jc w:val="both"/>
        <w:ind w:left="660" w:firstLine="645"/>
        <w:spacing w:after="0" w:line="259" w:lineRule="auto"/>
        <w:tabs>
          <w:tab w:leader="none" w:pos="18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186" w:lineRule="exact"/>
        <w:rPr>
          <w:rFonts w:ascii="Arial" w:cs="Arial" w:eastAsia="Arial" w:hAnsi="Arial"/>
          <w:sz w:val="18"/>
          <w:szCs w:val="18"/>
          <w:color w:val="auto"/>
        </w:rPr>
      </w:pPr>
    </w:p>
    <w:p>
      <w:pPr>
        <w:jc w:val="both"/>
        <w:ind w:left="660" w:firstLine="645"/>
        <w:spacing w:after="0" w:line="279" w:lineRule="auto"/>
        <w:tabs>
          <w:tab w:leader="none" w:pos="2252" w:val="left"/>
        </w:tabs>
        <w:numPr>
          <w:ilvl w:val="1"/>
          <w:numId w:val="30"/>
        </w:numPr>
        <w:rPr>
          <w:rFonts w:ascii="Arial" w:cs="Arial" w:eastAsia="Arial" w:hAnsi="Arial"/>
          <w:sz w:val="17"/>
          <w:szCs w:val="17"/>
          <w:color w:val="auto"/>
        </w:rPr>
      </w:pPr>
      <w:r>
        <w:rPr>
          <w:rFonts w:ascii="Arial" w:cs="Arial" w:eastAsia="Arial" w:hAnsi="Arial"/>
          <w:sz w:val="17"/>
          <w:szCs w:val="17"/>
          <w:color w:val="auto"/>
        </w:rPr>
        <w:t>against any and all expense whatsoever, as incurred (including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1" w:name="page32"/>
    <w:bookmarkEnd w:id="31"/>
    <w:p>
      <w:pPr>
        <w:jc w:val="both"/>
        <w:ind w:firstLine="656"/>
        <w:spacing w:after="0" w:line="293" w:lineRule="auto"/>
        <w:tabs>
          <w:tab w:leader="none" w:pos="1632"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Indemnification of Company, Directors and Officers</w:t>
      </w:r>
      <w:r>
        <w:rPr>
          <w:rFonts w:ascii="Arial" w:cs="Arial" w:eastAsia="Arial" w:hAnsi="Arial"/>
          <w:sz w:val="16"/>
          <w:szCs w:val="16"/>
          <w:color w:val="auto"/>
        </w:rPr>
        <w:t>. Each Underwriter severally agrees to indemnify and hold harmless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64" w:lineRule="exact"/>
        <w:rPr>
          <w:rFonts w:ascii="Arial" w:cs="Arial" w:eastAsia="Arial" w:hAnsi="Arial"/>
          <w:sz w:val="16"/>
          <w:szCs w:val="16"/>
          <w:color w:val="auto"/>
        </w:rPr>
      </w:pPr>
    </w:p>
    <w:p>
      <w:pPr>
        <w:jc w:val="both"/>
        <w:ind w:firstLine="656"/>
        <w:spacing w:after="0" w:line="286" w:lineRule="auto"/>
        <w:tabs>
          <w:tab w:leader="none" w:pos="20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reasonable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68" w:lineRule="exact"/>
        <w:rPr>
          <w:rFonts w:ascii="Arial" w:cs="Arial" w:eastAsia="Arial" w:hAnsi="Arial"/>
          <w:sz w:val="16"/>
          <w:szCs w:val="16"/>
          <w:color w:val="auto"/>
        </w:rPr>
      </w:pPr>
    </w:p>
    <w:p>
      <w:pPr>
        <w:jc w:val="both"/>
        <w:ind w:firstLine="656"/>
        <w:spacing w:after="0" w:line="255" w:lineRule="auto"/>
        <w:tabs>
          <w:tab w:leader="none" w:pos="1659"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 party to</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648"/>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Notwithstanding the provisions of this Section 7, no Underwriter shall be required to contribute any amount in excess of the underwriting discounts and commissions received by such Underwriter in connection with the Securities underwritten by it and distributed to the public.</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not joint.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w:t>
      </w:r>
      <w:r>
        <w:rPr>
          <w:rFonts w:ascii="Arial" w:cs="Arial" w:eastAsia="Arial" w:hAnsi="Arial"/>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660"/>
        <w:spacing w:after="0"/>
        <w:tabs>
          <w:tab w:leader="none" w:pos="202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225" w:lineRule="exact"/>
        <w:rPr>
          <w:sz w:val="20"/>
          <w:szCs w:val="20"/>
          <w:color w:val="auto"/>
        </w:rPr>
      </w:pPr>
    </w:p>
    <w:p>
      <w:pPr>
        <w:ind w:left="1620" w:hanging="964"/>
        <w:spacing w:after="0"/>
        <w:tabs>
          <w:tab w:leader="none" w:pos="1620"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Representatives may terminate this Agreement, by notice to the Company, at any time at or prior to the Closing Time</w:t>
      </w:r>
    </w:p>
    <w:p>
      <w:pPr>
        <w:spacing w:after="0" w:line="46" w:lineRule="exact"/>
        <w:rPr>
          <w:rFonts w:ascii="Arial" w:cs="Arial" w:eastAsia="Arial" w:hAnsi="Arial"/>
          <w:sz w:val="16"/>
          <w:szCs w:val="16"/>
          <w:color w:val="auto"/>
        </w:rPr>
      </w:pPr>
    </w:p>
    <w:p>
      <w:pPr>
        <w:jc w:val="both"/>
        <w:ind w:firstLine="8"/>
        <w:spacing w:after="0" w:line="281" w:lineRule="auto"/>
        <w:tabs>
          <w:tab w:leader="none" w:pos="247"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U.S.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w:t>
      </w:r>
    </w:p>
    <w:p>
      <w:pPr>
        <w:spacing w:after="0" w:line="4" w:lineRule="exact"/>
        <w:rPr>
          <w:rFonts w:ascii="Arial" w:cs="Arial" w:eastAsia="Arial" w:hAnsi="Arial"/>
          <w:sz w:val="16"/>
          <w:szCs w:val="16"/>
          <w:color w:val="auto"/>
        </w:rPr>
      </w:pPr>
    </w:p>
    <w:p>
      <w:pPr>
        <w:jc w:val="both"/>
        <w:ind w:firstLine="8"/>
        <w:spacing w:after="0" w:line="271" w:lineRule="auto"/>
        <w:tabs>
          <w:tab w:leader="none" w:pos="322"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trading in any securities of the Company has been suspended or materially limited by the Commission or the Nasdaq Global Market, or (iv) if trading generally on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619"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party except as provided in Section 4 hereof, and provided further that Sections 1, 4, 6, 7, 8, 15, 16 and 17 shall survive such termination and remain in full force and effect.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or a Date of Delivery to purchase the Securities which it or they are obligated to purchase under this Agreement (the “</w:t>
      </w:r>
      <w:r>
        <w:rPr>
          <w:rFonts w:ascii="Arial" w:cs="Arial" w:eastAsia="Arial" w:hAnsi="Arial"/>
          <w:sz w:val="18"/>
          <w:szCs w:val="18"/>
          <w:u w:val="single" w:color="auto"/>
          <w:color w:val="auto"/>
        </w:rPr>
        <w:t>Defaulted Securities</w:t>
      </w:r>
      <w:r>
        <w:rPr>
          <w:rFonts w:ascii="Arial" w:cs="Arial" w:eastAsia="Arial" w:hAnsi="Arial"/>
          <w:sz w:val="18"/>
          <w:szCs w:val="18"/>
          <w:color w:val="auto"/>
        </w:rPr>
        <w:t>”),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188" w:lineRule="exact"/>
        <w:rPr>
          <w:sz w:val="20"/>
          <w:szCs w:val="20"/>
          <w:color w:val="auto"/>
        </w:rPr>
      </w:pPr>
    </w:p>
    <w:p>
      <w:pPr>
        <w:jc w:val="both"/>
        <w:ind w:left="660" w:firstLine="645"/>
        <w:spacing w:after="0" w:line="286" w:lineRule="auto"/>
        <w:tabs>
          <w:tab w:leader="none" w:pos="232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65" w:lineRule="exact"/>
        <w:rPr>
          <w:rFonts w:ascii="Arial" w:cs="Arial" w:eastAsia="Arial" w:hAnsi="Arial"/>
          <w:sz w:val="17"/>
          <w:szCs w:val="17"/>
          <w:color w:val="auto"/>
        </w:rPr>
      </w:pPr>
    </w:p>
    <w:p>
      <w:pPr>
        <w:jc w:val="both"/>
        <w:ind w:left="660" w:firstLine="645"/>
        <w:spacing w:after="0" w:line="259" w:lineRule="auto"/>
        <w:tabs>
          <w:tab w:leader="none" w:pos="22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given if mailed or transmitted by any standard form of telecommunication. Notices to the Underwriters shall be directed to SVB Leerink at 1301 Avenue of the Americas,</w:t>
      </w:r>
    </w:p>
    <w:p>
      <w:pPr>
        <w:jc w:val="both"/>
        <w:spacing w:after="0" w:line="205" w:lineRule="auto"/>
        <w:rPr>
          <w:sz w:val="20"/>
          <w:szCs w:val="20"/>
          <w:color w:val="auto"/>
        </w:rPr>
      </w:pPr>
      <w:r>
        <w:rPr>
          <w:rFonts w:ascii="Arial" w:cs="Arial" w:eastAsia="Arial" w:hAnsi="Arial"/>
          <w:sz w:val="18"/>
          <w:szCs w:val="18"/>
          <w:color w:val="auto"/>
        </w:rPr>
        <w:t>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10019, attention of Stuart R. Nayman and to Covington &amp; Burling LLP at The New York Times Building, 620 Eighth Avenue, New York, New York, 10018, attention of Brian K. Rosenzweig.</w:t>
      </w:r>
    </w:p>
    <w:p>
      <w:pPr>
        <w:spacing w:after="0" w:line="2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648"/>
        <w:spacing w:after="0" w:line="255" w:lineRule="auto"/>
        <w:rPr>
          <w:sz w:val="20"/>
          <w:szCs w:val="20"/>
          <w:color w:val="auto"/>
        </w:rPr>
      </w:pPr>
      <w:r>
        <w:rPr>
          <w:rFonts w:ascii="Arial" w:cs="Arial" w:eastAsia="Arial" w:hAnsi="Arial"/>
          <w:sz w:val="18"/>
          <w:szCs w:val="18"/>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Waiver of Trial by Jury</w:t>
      </w:r>
      <w:r>
        <w:rPr>
          <w:rFonts w:ascii="Arial" w:cs="Arial" w:eastAsia="Arial" w:hAnsi="Arial"/>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Arial" w:cs="Arial" w:eastAsia="Arial" w:hAnsi="Arial"/>
          <w:sz w:val="17"/>
          <w:szCs w:val="17"/>
          <w:u w:val="single" w:color="auto"/>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648"/>
        <w:spacing w:after="0" w:line="25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(which may include counterparts delivered by any standard form of telecommunication), each of which shall be deemed to be an original, but all such counterparts shall together constitute one and the same agreement.</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firstLine="648"/>
        <w:spacing w:after="0" w:line="342"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15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AXSOME THERAPEUTICS, INC.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Herriot Tabuteau, M.D.</w:t>
      </w:r>
    </w:p>
    <w:p>
      <w:pPr>
        <w:spacing w:after="0" w:line="36" w:lineRule="exact"/>
        <w:rPr>
          <w:sz w:val="20"/>
          <w:szCs w:val="20"/>
          <w:color w:val="auto"/>
        </w:rPr>
      </w:pPr>
    </w:p>
    <w:p>
      <w:pPr>
        <w:ind w:left="606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Gabriel P. Cavazos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404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Gabriel P. Cavazos</w:t>
      </w:r>
    </w:p>
    <w:p>
      <w:pPr>
        <w:spacing w:after="0" w:line="36"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/s/ Kalli Dircks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404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Kalli Dircks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Executive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themselves and as Representatives of the other Underwriters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U</w:t>
      </w:r>
      <w:r>
        <w:rPr>
          <w:rFonts w:ascii="Arial" w:cs="Arial" w:eastAsia="Arial" w:hAnsi="Arial"/>
          <w:sz w:val="12"/>
          <w:szCs w:val="12"/>
          <w:color w:val="auto"/>
        </w:rPr>
        <w:t>NDERWRITING</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8" w:name="page39"/>
    <w:bookmarkEnd w:id="38"/>
    <w:p>
      <w:pPr>
        <w:ind w:left="5160"/>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initial public offering price per share for the Securities shall be $87.00.</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per share for the Securities to be paid by the several Underwriters shall be $81.345, being an amount equal to the initial public offering price set forth above less $5.655 per share, subject to adjustment in accordance with Section 2(b) for dividends or distributions declared by the Company and payable on the Initial Securities but not payable on the Option Securities.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color w:val="auto"/>
              </w:rPr>
              <w:t>Name of Underwriter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Initial Securities</w:t>
            </w:r>
          </w:p>
        </w:tc>
      </w:tr>
      <w:tr>
        <w:trPr>
          <w:trHeight w:val="210"/>
        </w:trPr>
        <w:tc>
          <w:tcPr>
            <w:tcW w:w="9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SVB Leerink LLC</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440,000</w:t>
            </w:r>
          </w:p>
        </w:tc>
      </w:tr>
      <w:tr>
        <w:trPr>
          <w:trHeight w:val="216"/>
        </w:trPr>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Cantor Fitzgerald &amp; Co.</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140,000</w:t>
            </w:r>
          </w:p>
        </w:tc>
      </w:tr>
      <w:tr>
        <w:trPr>
          <w:trHeight w:val="216"/>
        </w:trPr>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140,000</w:t>
            </w:r>
          </w:p>
        </w:tc>
      </w:tr>
      <w:tr>
        <w:trPr>
          <w:trHeight w:val="216"/>
        </w:trPr>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BTIG, LLC</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10060" w:type="dxa"/>
            <w:vAlign w:val="bottom"/>
            <w:gridSpan w:val="2"/>
          </w:tcPr>
          <w:p>
            <w:pPr>
              <w:spacing w:after="0"/>
              <w:rPr>
                <w:sz w:val="20"/>
                <w:szCs w:val="20"/>
                <w:color w:val="auto"/>
              </w:rPr>
            </w:pPr>
            <w:r>
              <w:rPr>
                <w:rFonts w:ascii="Arial" w:cs="Arial" w:eastAsia="Arial" w:hAnsi="Arial"/>
                <w:sz w:val="18"/>
                <w:szCs w:val="18"/>
                <w:color w:val="auto"/>
              </w:rPr>
              <w:t>H.C. Wainwright &amp; Co., LLC</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10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5" w:right="239" w:bottom="1440" w:gutter="0" w:footer="0" w:header="0"/>
        </w:sectPr>
      </w:pPr>
    </w:p>
    <w:bookmarkStart w:id="39" w:name="page40"/>
    <w:bookmarkEnd w:id="39"/>
    <w:p>
      <w:pPr>
        <w:jc w:val="center"/>
        <w:ind w:right="-251"/>
        <w:spacing w:after="0"/>
        <w:rPr>
          <w:sz w:val="20"/>
          <w:szCs w:val="20"/>
          <w:color w:val="auto"/>
        </w:rPr>
      </w:pPr>
      <w:r>
        <w:rPr>
          <w:rFonts w:ascii="Arial" w:cs="Arial" w:eastAsia="Arial" w:hAnsi="Arial"/>
          <w:sz w:val="18"/>
          <w:szCs w:val="18"/>
          <w:color w:val="auto"/>
        </w:rPr>
        <w:t>SCHEDULE B-1</w:t>
      </w:r>
    </w:p>
    <w:p>
      <w:pPr>
        <w:spacing w:after="0" w:line="225" w:lineRule="exact"/>
        <w:rPr>
          <w:sz w:val="20"/>
          <w:szCs w:val="20"/>
          <w:color w:val="auto"/>
        </w:rPr>
      </w:pPr>
    </w:p>
    <w:p>
      <w:pPr>
        <w:jc w:val="center"/>
        <w:ind w:right="-251"/>
        <w:spacing w:after="0"/>
        <w:rPr>
          <w:sz w:val="20"/>
          <w:szCs w:val="20"/>
          <w:color w:val="auto"/>
        </w:rPr>
      </w:pPr>
      <w:r>
        <w:rPr>
          <w:rFonts w:ascii="Arial" w:cs="Arial" w:eastAsia="Arial" w:hAnsi="Arial"/>
          <w:sz w:val="18"/>
          <w:szCs w:val="18"/>
          <w:u w:val="single" w:color="auto"/>
          <w:color w:val="auto"/>
        </w:rPr>
        <w:t>Pricing Terms</w:t>
      </w:r>
    </w:p>
    <w:p>
      <w:pPr>
        <w:spacing w:after="0" w:line="225" w:lineRule="exact"/>
        <w:rPr>
          <w:sz w:val="20"/>
          <w:szCs w:val="20"/>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is selling 2,000,000 shares of Common Stock.</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has granted an option to the Underwriters, severally and not jointly, to purchase up to an additional 300,000 shares of Common Stock.</w:t>
      </w:r>
    </w:p>
    <w:p>
      <w:pPr>
        <w:spacing w:after="0" w:line="248" w:lineRule="exact"/>
        <w:rPr>
          <w:rFonts w:ascii="Arial" w:cs="Arial" w:eastAsia="Arial" w:hAnsi="Arial"/>
          <w:sz w:val="16"/>
          <w:szCs w:val="16"/>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initial public offering price per share for the Securities shall be $87.00.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72"/>
          </w:cols>
          <w:pgMar w:left="248" w:top="908" w:right="47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SCHEDULE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Free Writing Prospectuses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SCHEDULE B-3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List of Written Testing-the-Waters Communications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SVB Leerink LLC</w:t>
      </w:r>
    </w:p>
    <w:p>
      <w:pPr>
        <w:spacing w:after="0" w:line="195" w:lineRule="auto"/>
        <w:rPr>
          <w:sz w:val="20"/>
          <w:szCs w:val="20"/>
          <w:color w:val="auto"/>
        </w:rPr>
      </w:pPr>
      <w:r>
        <w:rPr>
          <w:rFonts w:ascii="Arial" w:cs="Arial" w:eastAsia="Arial" w:hAnsi="Arial"/>
          <w:sz w:val="18"/>
          <w:szCs w:val="18"/>
          <w:color w:val="auto"/>
        </w:rPr>
        <w:t>1301 Avenue of the Americas,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Proposed Public Offering by Axsome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undersigned, a stockholder, officer and/or director of Axsome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understands that SVB Leerink LLC (“</w:t>
      </w:r>
      <w:r>
        <w:rPr>
          <w:rFonts w:ascii="Arial" w:cs="Arial" w:eastAsia="Arial" w:hAnsi="Arial"/>
          <w:sz w:val="16"/>
          <w:szCs w:val="16"/>
          <w:u w:val="single" w:color="auto"/>
          <w:color w:val="auto"/>
        </w:rPr>
        <w:t>SVB Leerink</w:t>
      </w:r>
      <w:r>
        <w:rPr>
          <w:rFonts w:ascii="Arial" w:cs="Arial" w:eastAsia="Arial" w:hAnsi="Arial"/>
          <w:sz w:val="16"/>
          <w:szCs w:val="16"/>
          <w:color w:val="auto"/>
        </w:rPr>
        <w:t>”) proposes to enter into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with the Company providing for the public offering (the “</w:t>
      </w:r>
      <w:r>
        <w:rPr>
          <w:rFonts w:ascii="Arial" w:cs="Arial" w:eastAsia="Arial" w:hAnsi="Arial"/>
          <w:sz w:val="16"/>
          <w:szCs w:val="16"/>
          <w:u w:val="single" w:color="auto"/>
          <w:color w:val="auto"/>
        </w:rPr>
        <w:t>Public Offering</w:t>
      </w:r>
      <w:r>
        <w:rPr>
          <w:rFonts w:ascii="Arial" w:cs="Arial" w:eastAsia="Arial" w:hAnsi="Arial"/>
          <w:sz w:val="16"/>
          <w:szCs w:val="16"/>
          <w:color w:val="auto"/>
        </w:rPr>
        <w:t>”) of shares (the “</w:t>
      </w:r>
      <w:r>
        <w:rPr>
          <w:rFonts w:ascii="Arial" w:cs="Arial" w:eastAsia="Arial" w:hAnsi="Arial"/>
          <w:sz w:val="16"/>
          <w:szCs w:val="16"/>
          <w:u w:val="single" w:color="auto"/>
          <w:color w:val="auto"/>
        </w:rPr>
        <w:t>Securities</w:t>
      </w:r>
      <w:r>
        <w:rPr>
          <w:rFonts w:ascii="Arial" w:cs="Arial" w:eastAsia="Arial" w:hAnsi="Arial"/>
          <w:sz w:val="16"/>
          <w:szCs w:val="16"/>
          <w:color w:val="auto"/>
        </w:rPr>
        <w:t>”) of the Company’s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In recognition of the benefit that such an offering will confer upon the undersigned as a stockholder,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Arial" w:cs="Arial" w:eastAsia="Arial" w:hAnsi="Arial"/>
          <w:sz w:val="16"/>
          <w:szCs w:val="16"/>
          <w:u w:val="single" w:color="auto"/>
          <w:color w:val="auto"/>
        </w:rPr>
        <w:t>Underwriters</w:t>
      </w:r>
      <w:r>
        <w:rPr>
          <w:rFonts w:ascii="Arial" w:cs="Arial" w:eastAsia="Arial" w:hAnsi="Arial"/>
          <w:sz w:val="16"/>
          <w:szCs w:val="16"/>
          <w:color w:val="auto"/>
        </w:rPr>
        <w:t>”) that, during the period beginning on the date hereof and ending on the date that is 90 days from the date of the Underwriting Agreement (the “</w:t>
      </w:r>
      <w:r>
        <w:rPr>
          <w:rFonts w:ascii="Arial" w:cs="Arial" w:eastAsia="Arial" w:hAnsi="Arial"/>
          <w:sz w:val="16"/>
          <w:szCs w:val="16"/>
          <w:u w:val="single" w:color="auto"/>
          <w:color w:val="auto"/>
        </w:rPr>
        <w:t>Lock-Up Period</w:t>
      </w:r>
      <w:r>
        <w:rPr>
          <w:rFonts w:ascii="Arial" w:cs="Arial" w:eastAsia="Arial" w:hAnsi="Arial"/>
          <w:sz w:val="16"/>
          <w:szCs w:val="16"/>
          <w:color w:val="auto"/>
        </w:rPr>
        <w:t>”), the undersigned will not, without the prior written consent of SVB Leerink, on behalf of the Underwriters, directly or indirectly, (i) offer, 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Common Stock, whether now owned or hereafter acquired by the undersigned or with respect to which the undersigned has or hereafter acquires the power of disposition (collectively, the “</w:t>
      </w:r>
      <w:r>
        <w:rPr>
          <w:rFonts w:ascii="Arial" w:cs="Arial" w:eastAsia="Arial" w:hAnsi="Arial"/>
          <w:sz w:val="16"/>
          <w:szCs w:val="16"/>
          <w:u w:val="single" w:color="auto"/>
          <w:color w:val="auto"/>
        </w:rPr>
        <w:t>Lock-Up Securities</w:t>
      </w:r>
      <w:r>
        <w:rPr>
          <w:rFonts w:ascii="Arial" w:cs="Arial" w:eastAsia="Arial" w:hAnsi="Arial"/>
          <w:sz w:val="16"/>
          <w:szCs w:val="16"/>
          <w:color w:val="auto"/>
        </w:rPr>
        <w:t>”),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foregoing, and subject to the conditions below, the undersigned may transfer Lock-Up Securities without the prior written consent of SVB Leerink, provided, in each case, that (1) SVB Leerink receives a signed lock-up agreement for the balance of the Lock-Up Period from each donee, trustee, distributee, or transferee, as the case may be, (2) any such transfer shall not involve a disposition for value, (3) such transfers are not required to be reported with the Securities and Exchange Commission on Form 4 in accordance with Section 16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(4) the undersigned does not otherwise voluntarily effect any public filing or report regarding such transfers (other than a filing on a Form 5 made after the expiration of the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 a distribution or other transfer by a partnership to its partners or former partners or by a limited liability company to its members or retired members or by a corporation to its stockholders or former stockholders or to any wholly-owned subsidiary of such corporation;</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the undersigned’s affiliates or to any investment fund or other entity controlled or managed by the undersigned;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a qualified domestic relations order or in connection with a divorce settlement;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will or intestate succession upon the death of the undersigned;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the Company in satisfaction of any tax withholding obligation.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Furthermore, no provision in this letter shall be deemed to restrict or prohibit (1) the transfer of the undersigned’s Lock-Up Securities to the Company in connection with the termination of the undersigned’s services to the Company, provided that any filing under Section 16 of the Exchange Act made in connection with such transfer shall clearly indicate in the footnotes thereto that the filing relates to the circumstances described in this clause (1); (2) the exercise or exchange by the undersigned of any option or warrant to acquire any shares of Common Stock or options to purchase shares of Common Stock, in each case for cash or on a “cashless” or “net exercise” basis, pursuant to any stock option, stock bonus or other stock plan or arrangement; provided, however, that the underlying shares of Common Stock shall continue to be subject to the restrictions on transfer set forth in this letter and that any filing under Section 16 of the Exchange Act made in connection with such exercise or exchange shall clearly indicate in the footnotes thereto that (a) the filing relates to the circumstances described in this clause (2) and (b) no shares were sold by the reporting person; (3) the transfer of Lock-Up Securities upon the completion of a bona fide third-party tender offer, merger, consolidation or other similar transaction made to all holders of the Company’s securities involving a change of control of the Company; provided, however, that in the event that such tender offer, merger, consolidation or other such transaction is not completed, such securities held by the undersigned shall remain subject to the restrictions on transfer set forth in this letter; and (4) the conversion of outstanding preferred stock of the Company into shares of Common Stock, provided that any such shares received upon such conversion shall be subject to the restrictions on transfer set forth in this letter.</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anything herein to the contrary, nothing herein shall prevent the undersigned from establishing a 10b5-1 trading plan that complies with Rule 10b5-1 under the Exchange Act (“</w:t>
      </w:r>
      <w:r>
        <w:rPr>
          <w:rFonts w:ascii="Arial" w:cs="Arial" w:eastAsia="Arial" w:hAnsi="Arial"/>
          <w:sz w:val="18"/>
          <w:szCs w:val="18"/>
          <w:u w:val="single" w:color="auto"/>
          <w:color w:val="auto"/>
        </w:rPr>
        <w:t>10b5-1 Trading Plan</w:t>
      </w:r>
      <w:r>
        <w:rPr>
          <w:rFonts w:ascii="Arial" w:cs="Arial" w:eastAsia="Arial" w:hAnsi="Arial"/>
          <w:sz w:val="18"/>
          <w:szCs w:val="18"/>
          <w:color w:val="auto"/>
        </w:rPr>
        <w:t>”) or from amending an existing 10b5-1 Trading Plan so long as there are no sales of Lock-Up Securities under any such 10b5-1 Trading Plan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Exchange Commission, or otherwise and (ii) the undersigned does not otherwise voluntarily effect any public filing or report regarding the establishment or amendment of such plan.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648"/>
        <w:spacing w:after="0" w:line="255"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Securities except in compliance with the foregoing restrictions. This lock-up agreement shall automatically terminate, and the undersigned shall be released from the undersigned’s obligations hereunder, upon the earliest to occur, if any, of (i) prior to the execution of the Underwriting Agreement, the Company advises SVB Leerink in writing that it has determined not to proceed with the Public Offering; (ii) the Underwriting Agreement is executed but is terminated prior to the closing of the Public Offering (other than the provisions thereof which survive termination), or (iii) January 31, 2020, in the event that the Underwriting Agreement has not been executed by such date.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Name of Security Holder </w:t>
      </w:r>
      <w:r>
        <w:rPr>
          <w:rFonts w:ascii="Arial" w:cs="Arial" w:eastAsia="Arial" w:hAnsi="Arial"/>
          <w:sz w:val="18"/>
          <w:szCs w:val="18"/>
          <w:i w:val="1"/>
          <w:iCs w:val="1"/>
          <w:color w:val="auto"/>
        </w:rPr>
        <w:t>(Print exact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-130175</wp:posOffset>
            </wp:positionV>
            <wp:extent cx="36277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If not signing in an individual capacity:</w:t>
      </w: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-130175</wp:posOffset>
            </wp:positionV>
            <wp:extent cx="36277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-130175</wp:posOffset>
            </wp:positionV>
            <wp:extent cx="36277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ind w:left="4500"/>
        <w:spacing w:after="0" w:line="277" w:lineRule="auto"/>
        <w:rPr>
          <w:sz w:val="20"/>
          <w:szCs w:val="20"/>
          <w:color w:val="auto"/>
        </w:rPr>
      </w:pPr>
      <w:r>
        <w:rPr>
          <w:rFonts w:ascii="Arial" w:cs="Arial" w:eastAsia="Arial" w:hAnsi="Arial"/>
          <w:sz w:val="18"/>
          <w:szCs w:val="18"/>
          <w:i w:val="1"/>
          <w:iCs w:val="1"/>
          <w:color w:val="auto"/>
        </w:rPr>
        <w:t>(indicate capacity of person signing if signing as custodian, trustee, or on behalf of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254635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5.1</w:t>
      </w:r>
    </w:p>
    <w:p>
      <w:pPr>
        <w:spacing w:after="0" w:line="24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57605" cy="7029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57605" cy="702945"/>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51 John F. Kennedy Parkway</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Suite 120</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Short Hills, New Jersey 07078-2704</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www.dlapiper.com</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8"/>
          <w:szCs w:val="18"/>
          <w:color w:val="auto"/>
        </w:rPr>
        <w:t>: 973-520-2550</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8"/>
          <w:szCs w:val="18"/>
          <w:color w:val="auto"/>
        </w:rPr>
        <w:t>: 973-520-2551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95" w:lineRule="auto"/>
        <w:rPr>
          <w:sz w:val="20"/>
          <w:szCs w:val="20"/>
          <w:color w:val="auto"/>
        </w:rPr>
      </w:pPr>
      <w:r>
        <w:rPr>
          <w:rFonts w:ascii="Arial" w:cs="Arial" w:eastAsia="Arial" w:hAnsi="Arial"/>
          <w:sz w:val="18"/>
          <w:szCs w:val="18"/>
          <w:color w:val="auto"/>
        </w:rPr>
        <w:t>200 Broadway,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You have requested our opinion with respect to certain matters in connection with the sale and issuance by Axsome 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of up to an aggregate of 2,300,000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the Company’s common stock,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pursuant to a Registration Statement on Form S-3 (File 333- 235372)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the related prospectus dated December 5, 2019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as supplemented by the prospectus supplement dated December 18, 2019, filed with the Commission pursuant to Rule 424(b) promulgated under the Act (together the “</w:t>
      </w:r>
      <w:r>
        <w:rPr>
          <w:rFonts w:ascii="Arial" w:cs="Arial" w:eastAsia="Arial" w:hAnsi="Arial"/>
          <w:sz w:val="17"/>
          <w:szCs w:val="17"/>
          <w:b w:val="1"/>
          <w:bCs w:val="1"/>
          <w:i w:val="1"/>
          <w:iCs w:val="1"/>
          <w:color w:val="auto"/>
        </w:rPr>
        <w:t>Prospectus Supplement</w:t>
      </w:r>
      <w:r>
        <w:rPr>
          <w:rFonts w:ascii="Arial" w:cs="Arial" w:eastAsia="Arial" w:hAnsi="Arial"/>
          <w:sz w:val="17"/>
          <w:szCs w:val="17"/>
          <w:color w:val="auto"/>
        </w:rPr>
        <w:t>”). The Shares include shares of Common Stock that are subject to an option to purchase additional shares granted to the underwriters in the offering.</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opinion, we have examined and relied upon the Registration Statement and the related Base Prospectus and Prospectus Supplement, the Company’s Amended and Restated Certificate of Incorporation and Amended and Restated Bylaws, as currently in effect, and the originals or copies certified to our satisfaction of such other documents, records, certificates, memoranda and other instruments as in our judgment are necessary or appropriate to enable us to render the opinion expressed below.</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rendering this opinion, we have assumed the genuineness and authenticity of all signatures on original documents; the genuineness and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prerequisites to the effectiveness of such documents (other than with respect to the Company).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basis of the foregoing, and in reliance thereon, we are of the opinion that the Shares have been duly and validly authorized and, when issued and sold pursuant to that certain Underwriting Agreement by and among the Company, SVB Leerink LLC and Morgan Stanley &amp; Co. LLC, as representatives of the several underwriters listed in Exhibit A thereto, dated December 18, 2019, in accordance with the Registration Statement and the related Base Prospectus and Prospectus Supplement, will be validly issued, fully paid and nonassessable.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consent to the reference to our firm under the caption “Legal Matters” in the Prospectus Supplement and to the filing of this opinion as an exhibit to a Current Report of the Company on Form 8-K. In giving our consent, we do not thereby admit that we are in the category of persons whose consent is required under Section 7 of the Securities Act of 1933, as amended, or the rules and regulations of the Commission thereunder.</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 DLA Piper LLP (US)</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165735</wp:posOffset>
            </wp:positionV>
            <wp:extent cx="1277620" cy="420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76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Therapeutics Announces Proposed Public Offering of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 NY, December 18, 2019 -- Axsome Therapeutics, Inc. (Nasdaq: AXSM) (“Axsome” or the “Company”), a clinical-stage biopharmaceutical company developing novel therapies for the management of central nervous system (CNS) disorders, today announced that it intends to offer and sell shares of its common stock, subject to market and other conditions, in an underwritten public offering. In addition, Axsome intends to grant the underwriters a 30-day option to purchase up to an additional 15% of the shares of its common stock offered in the public offering, on the same terms and conditions. All of the shares in the offering are to be sold by Axsome.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Axsome intends to use the proceeds from this offering to continue to fund the ongoing clinical development of its late stage product candidates and for other general corporate purposes, including funding existing and potential new clinical programs and product candidates. Additional indications may be explored with the 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SVB Leerink is acting as sole bookrunning manager for the offering.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shares of common stock described above are being offered by Axsome pursuant to its shelf registration statement on Form S-3ASR previously filed and declared effective by the Securities and Exchange Commission (the “SEC”). A preliminary prospectus supplement and the accompanying prospectus relating to the offering will be filed with the SEC and will be available on the SEC’s website at www.sec.gov. The offering may be made only by means of a prospectus supplement and accompanying prospectus, copies of which may be obtained by contacting SVB Leerink LLC, Attention: Syndicate Department, One Federal Street, 37th Floor Boston, MA, 02110, by telephone at 1-800-808-7525, ext. 6132, or by email at syndicate@svbleerink.com.</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and is being developed for major depressive disorder (MDD). AXS-05 is also being developed for smoking cessation treatment. AXS-07 is currently in two Phase 3 trials for the acute treatment of migraine. AXS-12 is being developed for the treatment of narcolepsy. AXS-05, AXS-07, AXS-09, and AXS-12 are investigational drug products not approved by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anticipated final terms, timing and completion of the proposed offering; the success, timing and cost of our ongoing clinical trials and anticipated clinical trials for our current product candidates, including statements regarding the timing of initiation and completion of the trials;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Broadway, 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154940</wp:posOffset>
            </wp:positionV>
            <wp:extent cx="1294765" cy="420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9476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Therapeutics Announces Pricing of Public Offering of $174 Million of Shares of Common Stock</w:t>
      </w:r>
    </w:p>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NEW YORK, NY, December 19, 2019 -- Axsome Therapeutics, Inc. (Nasdaq: AXSM) (“Axsome” or the “Company”), a clinical-stage biopharmaceutical company developing novel therapies for the management of central nervous system (CNS) disorders, today announced the pricing of an underwritten public offering of 2,000,000 shares of its common stock at a public offering price of $87.00 per share. The proceeds from the offering, before deducting the underwriting discounts and commissions and other estimated offering expenses payable by Axsome, are expected to be $174.0 million. In addition, Axsome has granted the underwriters a 30-day option to purchase up to 300,000 additional shares of common stock at the public offering price, less the underwriting discounts and commissions. The offering is expected to close on or about December 23, 2019, subject to customary closing conditions.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Axsome intends to use the proceeds from this offering to continue to fund the ongoing clinical development of its late stage product candidates and for other general corporate purposes, including funding existing and potential new clinical programs and product candidates. Additional indications may be explored with the use of proceeds.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SVB Leerink is acting as lead bookrunning manager for the offering. Morgan Stanley is acting as joint bookrunning manager for the offering. Cantor Fitzgerald &amp; Co., Ladenburg Thalmann &amp; Co. Inc., SunTrust Robinson Humphrey, Inc. and William Blair &amp; Company, L.L.C. are acting as co-lead managers for the Offering. BTIG, LLC and H.C. Wainwright &amp; Co. are acting as co-managers for the Offering.</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shares of common stock described above are being offered by Axsome pursuant to its shelf registration statement on Form S-3 previously filed and declared effective by the Securities and Exchange Commission (the “SEC”). The offering may be made only by means of a prospectus supplement and accompanying prospectus. A preliminary prospectus supplement and accompanying prospectus relating to the offering has been filed with the SEC and is available on the SEC’s website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A final prospectus supplement and accompanying prospectus will be filed with the SEC, copies of which may be obtained, when available, by contacting SVB Leerink, Attention: Syndicate Department, One Federal Street, 37th Floor Boston, MA, 02110, by telephone at 1-800-808-7525, ext. 6132, or by email at </w:t>
      </w:r>
      <w:r>
        <w:rPr>
          <w:rFonts w:ascii="Arial" w:cs="Arial" w:eastAsia="Arial" w:hAnsi="Arial"/>
          <w:sz w:val="17"/>
          <w:szCs w:val="17"/>
          <w:u w:val="single" w:color="auto"/>
          <w:color w:val="auto"/>
        </w:rPr>
        <w:t>syndicate@svbleerink.com</w:t>
      </w:r>
      <w:r>
        <w:rPr>
          <w:rFonts w:ascii="Arial" w:cs="Arial" w:eastAsia="Arial" w:hAnsi="Arial"/>
          <w:sz w:val="17"/>
          <w:szCs w:val="17"/>
          <w:color w:val="auto"/>
        </w:rPr>
        <w:t xml:space="preserve"> and Morgan Stanley &amp; Co. LLC, Attention: Prospectus Department, 180 Varick Street, 2nd Floor, New York, NY 10014.</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and is being developed for major depressive disorder (MDD). AXS-05 is also being developed for smoking cessation treatment. AXS-07 is currently in two Phase 3 trials for the acute treatment of migraine. AXS-12 is being developed for the treatment of narcolepsy. AXS-05, AXS-07, AXS-09, and AXS-12 are investigational drug products not approved by the FDA.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anticipated final terms, timing and completion of the proposed offering; the success, timing and cost of our ongoing clinical trials and anticipated clinical trials for our current product candidates, including statements regarding the timing of initiation and completion of the trials;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Broadway, 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4"/>
    </w:lvl>
  </w:abstractNum>
  <w:abstractNum w:abstractNumId="2">
    <w:nsid w:val="62BBD95A"/>
    <w:multiLevelType w:val="hybridMultilevel"/>
    <w:lvl w:ilvl="0">
      <w:lvlJc w:val="left"/>
      <w:lvlText w:val="(%1)"/>
      <w:numFmt w:val="lowerLetter"/>
      <w:start w:val="1"/>
    </w:lvl>
    <w:lvl w:ilvl="1">
      <w:lvlJc w:val="left"/>
      <w:lvlText w:val="(%2)"/>
      <w:numFmt w:val="lowerLetter"/>
      <w:start w:val="9"/>
    </w:lvl>
  </w:abstractNum>
  <w:abstractNum w:abstractNumId="3">
    <w:nsid w:val="436C6125"/>
    <w:multiLevelType w:val="hybridMultilevel"/>
    <w:lvl w:ilvl="0">
      <w:lvlJc w:val="left"/>
      <w:lvlText w:val="(%1)"/>
      <w:numFmt w:val="lowerRoman"/>
      <w:start w:val="2"/>
    </w:lvl>
  </w:abstractNum>
  <w:abstractNum w:abstractNumId="4">
    <w:nsid w:val="628C895D"/>
    <w:multiLevelType w:val="hybridMultilevel"/>
    <w:lvl w:ilvl="0">
      <w:lvlJc w:val="left"/>
      <w:lvlText w:val="\endash "/>
      <w:numFmt w:val="bullet"/>
      <w:start w:val="1"/>
    </w:lvl>
  </w:abstractNum>
  <w:abstractNum w:abstractNumId="5">
    <w:nsid w:val="333AB105"/>
    <w:multiLevelType w:val="hybridMultilevel"/>
    <w:lvl w:ilvl="0">
      <w:lvlJc w:val="left"/>
      <w:lvlText w:val="(%1)"/>
      <w:numFmt w:val="lowerRoman"/>
      <w:start w:val="3"/>
    </w:lvl>
  </w:abstractNum>
  <w:abstractNum w:abstractNumId="6">
    <w:nsid w:val="721DA317"/>
    <w:multiLevelType w:val="hybridMultilevel"/>
    <w:lvl w:ilvl="0">
      <w:lvlJc w:val="left"/>
      <w:lvlText w:val="(%1)"/>
      <w:numFmt w:val="lowerRoman"/>
      <w:start w:val="10"/>
    </w:lvl>
  </w:abstractNum>
  <w:abstractNum w:abstractNumId="7">
    <w:nsid w:val="2443A858"/>
    <w:multiLevelType w:val="hybridMultilevel"/>
    <w:lvl w:ilvl="0">
      <w:lvlJc w:val="left"/>
      <w:lvlText w:val="(%1)"/>
      <w:numFmt w:val="lowerRoman"/>
      <w:start w:val="13"/>
    </w:lvl>
  </w:abstractNum>
  <w:abstractNum w:abstractNumId="8">
    <w:nsid w:val="2D1D5AE9"/>
    <w:multiLevelType w:val="hybridMultilevel"/>
    <w:lvl w:ilvl="0">
      <w:lvlJc w:val="left"/>
      <w:lvlText w:val="(%1)"/>
      <w:numFmt w:val="lowerRoman"/>
      <w:start w:val="16"/>
    </w:lvl>
  </w:abstractNum>
  <w:abstractNum w:abstractNumId="9">
    <w:nsid w:val="6763845E"/>
    <w:multiLevelType w:val="hybridMultilevel"/>
    <w:lvl w:ilvl="0">
      <w:lvlJc w:val="left"/>
      <w:lvlText w:val="%1"/>
      <w:numFmt w:val="lowerRoman"/>
      <w:start w:val="1"/>
    </w:lvl>
    <w:lvl w:ilvl="1">
      <w:lvlJc w:val="left"/>
      <w:lvlText w:val="(%2)"/>
      <w:numFmt w:val="lowerRoman"/>
      <w:start w:val="20"/>
    </w:lvl>
  </w:abstractNum>
  <w:abstractNum w:abstractNumId="10">
    <w:nsid w:val="75A2A8D4"/>
    <w:multiLevelType w:val="hybridMultilevel"/>
    <w:lvl w:ilvl="0">
      <w:lvlJc w:val="left"/>
      <w:lvlText w:val="(%1)"/>
      <w:numFmt w:val="lowerRoman"/>
      <w:start w:val="3"/>
    </w:lvl>
    <w:lvl w:ilvl="1">
      <w:lvlJc w:val="left"/>
      <w:lvlText w:val="%2"/>
      <w:numFmt w:val="lowerRoman"/>
      <w:start w:val="1"/>
    </w:lvl>
  </w:abstractNum>
  <w:abstractNum w:abstractNumId="11">
    <w:nsid w:val="8EDBDAB"/>
    <w:multiLevelType w:val="hybridMultilevel"/>
    <w:lvl w:ilvl="0">
      <w:lvlJc w:val="left"/>
      <w:lvlText w:val="(%1)"/>
      <w:numFmt w:val="lowerRoman"/>
      <w:start w:val="23"/>
    </w:lvl>
  </w:abstractNum>
  <w:abstractNum w:abstractNumId="12">
    <w:nsid w:val="79838CB2"/>
    <w:multiLevelType w:val="hybridMultilevel"/>
    <w:lvl w:ilvl="0">
      <w:lvlJc w:val="left"/>
      <w:lvlText w:val="(%1)"/>
      <w:numFmt w:val="lowerRoman"/>
      <w:start w:val="28"/>
    </w:lvl>
  </w:abstractNum>
  <w:abstractNum w:abstractNumId="13">
    <w:nsid w:val="4353D0CD"/>
    <w:multiLevelType w:val="hybridMultilevel"/>
    <w:lvl w:ilvl="0">
      <w:lvlJc w:val="left"/>
      <w:lvlText w:val="%1"/>
      <w:numFmt w:val="lowerRoman"/>
      <w:start w:val="1"/>
    </w:lvl>
    <w:lvl w:ilvl="1">
      <w:lvlJc w:val="left"/>
      <w:lvlText w:val="(%2)"/>
      <w:numFmt w:val="lowerRoman"/>
      <w:start w:val="31"/>
    </w:lvl>
  </w:abstractNum>
  <w:abstractNum w:abstractNumId="14">
    <w:nsid w:val="B03E0C6"/>
    <w:multiLevelType w:val="hybridMultilevel"/>
    <w:lvl w:ilvl="0">
      <w:lvlJc w:val="left"/>
      <w:lvlText w:val="(%1)"/>
      <w:numFmt w:val="lowerRoman"/>
      <w:start w:val="5"/>
    </w:lvl>
    <w:lvl w:ilvl="1">
      <w:lvlJc w:val="left"/>
      <w:lvlText w:val="(%2)"/>
      <w:numFmt w:val="lowerRoman"/>
      <w:start w:val="33"/>
    </w:lvl>
  </w:abstractNum>
  <w:abstractNum w:abstractNumId="15">
    <w:nsid w:val="189A769B"/>
    <w:multiLevelType w:val="hybridMultilevel"/>
    <w:lvl w:ilvl="0">
      <w:lvlJc w:val="left"/>
      <w:lvlText w:val="(%1)"/>
      <w:numFmt w:val="lowerRoman"/>
      <w:start w:val="34"/>
    </w:lvl>
  </w:abstractNum>
  <w:abstractNum w:abstractNumId="16">
    <w:nsid w:val="54E49EB4"/>
    <w:multiLevelType w:val="hybridMultilevel"/>
    <w:lvl w:ilvl="0">
      <w:lvlJc w:val="left"/>
      <w:lvlText w:val="(%1)"/>
      <w:numFmt w:val="lowerRoman"/>
      <w:start w:val="37"/>
    </w:lvl>
  </w:abstractNum>
  <w:abstractNum w:abstractNumId="17">
    <w:nsid w:val="71F32454"/>
    <w:multiLevelType w:val="hybridMultilevel"/>
    <w:lvl w:ilvl="0">
      <w:lvlJc w:val="left"/>
      <w:lvlText w:val="(%1)"/>
      <w:numFmt w:val="lowerLetter"/>
      <w:start w:val="2"/>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3"/>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3"/>
    </w:lvl>
  </w:abstractNum>
  <w:abstractNum w:abstractNumId="22">
    <w:nsid w:val="8138641"/>
    <w:multiLevelType w:val="hybridMultilevel"/>
    <w:lvl w:ilvl="0">
      <w:lvlJc w:val="left"/>
      <w:lvlText w:val="(%1)"/>
      <w:numFmt w:val="lowerLetter"/>
      <w:start w:val="10"/>
    </w:lvl>
  </w:abstractNum>
  <w:abstractNum w:abstractNumId="23">
    <w:nsid w:val="1E7FF521"/>
    <w:multiLevelType w:val="hybridMultilevel"/>
    <w:lvl w:ilvl="0">
      <w:lvlJc w:val="left"/>
      <w:lvlText w:val="%1"/>
      <w:numFmt w:val="lowerRoman"/>
      <w:start w:val="1"/>
    </w:lvl>
    <w:lvl w:ilvl="1">
      <w:lvlJc w:val="left"/>
      <w:lvlText w:val="(%2)"/>
      <w:numFmt w:val="lowerLetter"/>
      <w:start w:val="1"/>
    </w:lvl>
  </w:abstractNum>
  <w:abstractNum w:abstractNumId="24">
    <w:nsid w:val="7C3DBD3D"/>
    <w:multiLevelType w:val="hybridMultilevel"/>
    <w:lvl w:ilvl="0">
      <w:lvlJc w:val="left"/>
      <w:lvlText w:val="(%1)"/>
      <w:numFmt w:val="lowerRoman"/>
      <w:start w:val="4"/>
    </w:lvl>
    <w:lvl w:ilvl="1">
      <w:lvlJc w:val="left"/>
      <w:lvlText w:val="(%2)"/>
      <w:numFmt w:val="lowerLetter"/>
      <w:start w:val="2"/>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2"/>
    </w:lvl>
  </w:abstractNum>
  <w:abstractNum w:abstractNumId="27">
    <w:nsid w:val="22221A70"/>
    <w:multiLevelType w:val="hybridMultilevel"/>
    <w:lvl w:ilvl="0">
      <w:lvlJc w:val="left"/>
      <w:lvlText w:val="(%1)"/>
      <w:numFmt w:val="lowerLetter"/>
      <w:start w:val="7"/>
    </w:lvl>
    <w:lvl w:ilvl="1">
      <w:lvlJc w:val="left"/>
      <w:lvlText w:val="(%2)"/>
      <w:numFmt w:val="lowerRoman"/>
      <w:start w:val="1"/>
    </w:lvl>
  </w:abstractNum>
  <w:abstractNum w:abstractNumId="28">
    <w:nsid w:val="4516DDE9"/>
    <w:multiLevelType w:val="hybridMultilevel"/>
    <w:lvl w:ilvl="0">
      <w:lvlJc w:val="left"/>
      <w:lvlText w:val="(%1)"/>
      <w:numFmt w:val="lowerLetter"/>
      <w:start w:val="12"/>
    </w:lvl>
  </w:abstractNum>
  <w:abstractNum w:abstractNumId="29">
    <w:nsid w:val="3006C83E"/>
    <w:multiLevelType w:val="hybridMultilevel"/>
    <w:lvl w:ilvl="0">
      <w:lvlJc w:val="left"/>
      <w:lvlText w:val="(%1)"/>
      <w:numFmt w:val="lowerLetter"/>
      <w:start w:val="1"/>
    </w:lvl>
    <w:lvl w:ilvl="1">
      <w:lvlJc w:val="left"/>
      <w:lvlText w:val="(%2)"/>
      <w:numFmt w:val="lowerRoman"/>
      <w:start w:val="1"/>
    </w:lvl>
  </w:abstractNum>
  <w:abstractNum w:abstractNumId="30">
    <w:nsid w:val="614FD4A1"/>
    <w:multiLevelType w:val="hybridMultilevel"/>
    <w:lvl w:ilvl="0">
      <w:lvlJc w:val="left"/>
      <w:lvlText w:val="(%1)"/>
      <w:numFmt w:val="lowerLetter"/>
      <w:start w:val="2"/>
    </w:lvl>
  </w:abstractNum>
  <w:abstractNum w:abstractNumId="31">
    <w:nsid w:val="419AC241"/>
    <w:multiLevelType w:val="hybridMultilevel"/>
    <w:lvl w:ilvl="0">
      <w:lvlJc w:val="left"/>
      <w:lvlText w:val="%1"/>
      <w:numFmt w:val="lowerLetter"/>
      <w:start w:val="1"/>
    </w:lvl>
    <w:lvl w:ilvl="1">
      <w:lvlJc w:val="left"/>
      <w:lvlText w:val="(%2)"/>
      <w:numFmt w:val="lowerLetter"/>
      <w:start w:val="1"/>
    </w:lvl>
  </w:abstractNum>
  <w:abstractNum w:abstractNumId="32">
    <w:nsid w:val="5577F8E1"/>
    <w:multiLevelType w:val="hybridMultilevel"/>
    <w:lvl w:ilvl="0">
      <w:lvlJc w:val="left"/>
      <w:lvlText w:val="(%1)"/>
      <w:numFmt w:val="lowerLetter"/>
      <w:start w:val="9"/>
    </w:lvl>
    <w:lvl w:ilvl="1">
      <w:lvlJc w:val="left"/>
      <w:lvlText w:val="%2"/>
      <w:numFmt w:val="lowerLetter"/>
      <w:start w:val="1"/>
    </w:lvl>
  </w:abstractNum>
  <w:abstractNum w:abstractNumId="33">
    <w:nsid w:val="440BADFC"/>
    <w:multiLevelType w:val="hybridMultilevel"/>
    <w:lvl w:ilvl="0">
      <w:lvlJc w:val="left"/>
      <w:lvlText w:val="(%1)"/>
      <w:numFmt w:val="lowerLetter"/>
      <w:start w:val="61"/>
    </w:lvl>
    <w:lvl w:ilvl="1">
      <w:lvlJc w:val="left"/>
      <w:lvlText w:val="(%2)"/>
      <w:numFmt w:val="lowerLetter"/>
      <w:start w:val="2"/>
    </w:lvl>
  </w:abstractNum>
  <w:abstractNum w:abstractNumId="34">
    <w:nsid w:val="5072367"/>
    <w:multiLevelType w:val="hybridMultilevel"/>
    <w:lvl w:ilvl="0">
      <w:lvlJc w:val="left"/>
      <w:lvlText w:val="(%1)"/>
      <w:numFmt w:val="lowerRoman"/>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2019-12-28T00:53:16Z</dcterms:created>
  <dcterms:modified xsi:type="dcterms:W3CDTF">2019-12-28T00:53:16Z</dcterms:modified>
</cp:coreProperties>
</file>