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45" w:type="dxa"/>
        <w:tblCellMar>
          <w:top w:w="0" w:type="dxa"/>
          <w:left w:w="0" w:type="dxa"/>
          <w:bottom w:w="0" w:type="dxa"/>
          <w:right w:w="0" w:type="dxa"/>
        </w:tblCellMar>
      </w:tblPr>
      <w:tr>
        <w:trPr>
          <w:trHeight w:val="195"/>
        </w:trPr>
        <w:tc>
          <w:tcPr>
            <w:tcW w:w="322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4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22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40" w:type="dxa"/>
            <w:vAlign w:val="bottom"/>
          </w:tcPr>
          <w:p>
            <w:pPr>
              <w:jc w:val="center"/>
              <w:ind w:right="3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22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22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One World Trade Center, 22nd Floor</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22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14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22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right="380" w:firstLine="510"/>
        <w:spacing w:after="0" w:line="310" w:lineRule="auto"/>
        <w:rPr>
          <w:sz w:val="20"/>
          <w:szCs w:val="20"/>
          <w:color w:val="auto"/>
        </w:rPr>
      </w:pPr>
      <w:r>
        <w:rPr>
          <w:rFonts w:ascii="Times New Roman" w:cs="Times New Roman" w:eastAsia="Times New Roman" w:hAnsi="Times New Roman"/>
          <w:sz w:val="15"/>
          <w:szCs w:val="15"/>
          <w:color w:val="auto"/>
        </w:rPr>
        <w:t>On February 18, 2025, Axsome Therapeutics, Inc. (the “Company”) issued a press release announcing its financial results for the three months and fiscal year ended December 31, 2024 and provided an update on the Company’s operations. The Company is furnishing a copy of the press release, which is attached hereto as Exhibit 99.1.</w:t>
      </w:r>
    </w:p>
    <w:p>
      <w:pPr>
        <w:spacing w:after="0" w:line="122"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600" w:firstLine="510"/>
        <w:spacing w:after="0" w:line="276" w:lineRule="auto"/>
        <w:rPr>
          <w:sz w:val="20"/>
          <w:szCs w:val="20"/>
          <w:color w:val="auto"/>
        </w:rPr>
      </w:pPr>
      <w:r>
        <w:rPr>
          <w:rFonts w:ascii="Times New Roman" w:cs="Times New Roman" w:eastAsia="Times New Roman" w:hAnsi="Times New Roman"/>
          <w:sz w:val="16"/>
          <w:szCs w:val="16"/>
          <w:color w:val="auto"/>
        </w:rPr>
        <w:t>On February 18, 2025, the Company updated its corporate presentation and posted such corporate presentation to the Company’s website. The updated corporate presentation is filed as Exhibit 99.2 hereto and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4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5"/>
                <w:szCs w:val="15"/>
                <w:color w:val="auto"/>
              </w:rPr>
            </w:pPr>
          </w:p>
        </w:tc>
        <w:tc>
          <w:tcPr>
            <w:tcW w:w="99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February 18, 2025.</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w:t>
            </w:r>
          </w:p>
        </w:tc>
        <w:tc>
          <w:tcPr>
            <w:tcW w:w="20" w:type="dxa"/>
            <w:vAlign w:val="bottom"/>
            <w:tcBorders>
              <w:top w:val="single" w:sz="8" w:color="0000FF"/>
              <w:bottom w:val="single" w:sz="8" w:color="0000EE"/>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7420" w:type="dxa"/>
            <w:vAlign w:val="bottom"/>
          </w:tcPr>
          <w:p>
            <w:pPr>
              <w:spacing w:after="0"/>
              <w:rPr>
                <w:sz w:val="14"/>
                <w:szCs w:val="14"/>
                <w:color w:val="auto"/>
              </w:rPr>
            </w:pPr>
          </w:p>
        </w:tc>
      </w:tr>
      <w:tr>
        <w:trPr>
          <w:trHeight w:val="20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February 18, 2025</w:t>
            </w:r>
          </w:p>
        </w:tc>
        <w:tc>
          <w:tcPr>
            <w:tcW w:w="254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5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40" w:type="dxa"/>
            <w:vAlign w:val="bottom"/>
          </w:tcPr>
          <w:p>
            <w:pPr>
              <w:ind w:left="18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5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698500" cy="398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8500" cy="398145"/>
                    </a:xfrm>
                    <a:prstGeom prst="rect">
                      <a:avLst/>
                    </a:prstGeom>
                    <a:noFill/>
                  </pic:spPr>
                </pic:pic>
              </a:graphicData>
            </a:graphic>
          </wp:anchor>
        </w:drawing>
        <w:t>Exhibit 99.1</w:t>
      </w:r>
    </w:p>
    <w:p>
      <w:pPr>
        <w:spacing w:after="0" w:line="159"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Axsome Therapeutics Reports Fourth Quarter and Full Year 2024 Financial Results and Provides Business Update</w:t>
      </w:r>
    </w:p>
    <w:p>
      <w:pPr>
        <w:spacing w:after="0" w:line="149"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Total 4Q and full year 2024 net product revenue of $118.8 million and $385.7 million, respectively, representing 66% and 88% year-over-year growth</w:t>
      </w:r>
    </w:p>
    <w:p>
      <w:pPr>
        <w:spacing w:after="0" w:line="165" w:lineRule="exact"/>
        <w:rPr>
          <w:sz w:val="20"/>
          <w:szCs w:val="20"/>
          <w:color w:val="auto"/>
        </w:rPr>
      </w:pPr>
    </w:p>
    <w:p>
      <w:pPr>
        <w:jc w:val="center"/>
        <w:ind w:right="55"/>
        <w:spacing w:after="0" w:line="389" w:lineRule="auto"/>
        <w:rPr>
          <w:sz w:val="20"/>
          <w:szCs w:val="20"/>
          <w:color w:val="auto"/>
        </w:rPr>
      </w:pPr>
      <w:r>
        <w:rPr>
          <w:rFonts w:ascii="Arial" w:cs="Arial" w:eastAsia="Arial" w:hAnsi="Arial"/>
          <w:sz w:val="16"/>
          <w:szCs w:val="16"/>
          <w:i w:val="1"/>
          <w:iCs w:val="1"/>
          <w:color w:val="auto"/>
        </w:rPr>
        <w:t>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4Q and full year 2024 net product sales of $92.6 million and $291.4 million, respectively, representing 89% and 124% year-over-year growth Sunosi</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4Q and full year 2024 net product revenue of $26.2 million and $94.3 million, respectively, representing 16% and 26% year-over-year growth 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approved in the U.S. for the acute treatment of migraine with or without aura in adults Successful completion of Phase 3 clinical program of AXS-05 in Alzheimer’s disease agitation announced; NDA submission anticipated in 2H 2025 Positive topline results of ENCORE Phase 3 trial of AXS-12 in narcolepsy announced; NDA submission anticipated in 2H 2025 Topline results of EMERGE Phase 3 trial of Symbravo in migraine in patients with prior inadequate response to oral CGRP inhibitors on track for 1Q 2025 Topline results of FOCUS and PARADIGM Phase 3 trials of solriamfetol in ADHD and MDD, respectively, on track for 1Q 2025 Company to host conference call today at 8:00 AM Eastern</w:t>
      </w:r>
    </w:p>
    <w:p>
      <w:pPr>
        <w:spacing w:after="0" w:line="335"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NEW YORK, February 18, 2025 (Globe Newswire) – Axsome Therapeutics, Inc. (NASDAQ: AXSM), a biopharmaceutical company leading a new era in the treatment of central nervous system (CNS) disorders, today announced financial results for the fourth quarter and full year of 2024 and provided a general business update.</w:t>
      </w:r>
    </w:p>
    <w:p>
      <w:pPr>
        <w:spacing w:after="0" w:line="132"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auto"/>
        </w:rPr>
        <w:t>“2024 was another defining year for Axsome, driven by strong commercial growth and a rapidly advancing late-stage pipeline, which culminated in the successful completion of our Phase 3 clinical program for AXS-05 in Alzheimer’s disease agitation, and most recently, the U.S. approval of Symbravo last month for the acute treatment of migraine with or without aura in adults,” said Herriot Tabuteau, MD, Chief Executive Officer of Axsome Therapeutics. “With potentially five marketed products across six CNS indications of great unmet need over the next 12-18 months, we are well positioned to continue delivering innovative new medicines to patients, and significant near- and long-term value to shareholders.”</w:t>
      </w:r>
    </w:p>
    <w:p>
      <w:pPr>
        <w:spacing w:after="0" w:line="12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Fourth Quarter and Full Year 2024 Financial Highlights</w:t>
      </w:r>
    </w:p>
    <w:p>
      <w:pPr>
        <w:spacing w:after="0" w:line="149" w:lineRule="exact"/>
        <w:rPr>
          <w:sz w:val="20"/>
          <w:szCs w:val="20"/>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product revenues were $118.8 million and $385.7 million for the fourth quarter and full year of 2024, representing 66% and 88% year-over-year growth, respectively. Total net product revenues for the comparable periods in 2023 were $71.5 million and $204.9 million, respectively.</w:t>
      </w:r>
    </w:p>
    <w:p>
      <w:pPr>
        <w:spacing w:after="0" w:line="120"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Auvelity net product sales were $92.6 million and $291.4 million for the fourth quarter and full year of 2024, representing 89% and 124% year-over-year growth, respectively. Auvelity net product sales for the comparable periods in 2023 were $49.0 million and $130.1 million, respectively.</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17" w:right="319" w:bottom="1440" w:gutter="0" w:footer="0" w:header="0"/>
        </w:sectPr>
      </w:pPr>
    </w:p>
    <w:bookmarkStart w:id="4" w:name="page5"/>
    <w:bookmarkEnd w:id="4"/>
    <w:p>
      <w:pPr>
        <w:jc w:val="both"/>
        <w:ind w:left="365" w:right="20"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Sunosi net product revenues were $26.2 million and $94.3 million for the fourth quarter and full year of 2024, representing 16% and 26% year-over-year growth, respectively, which consisted of $24.7 million and $90.3 million in net products sales and $1.4 million and $4.0 million in royalty and milestone revenue associated with Sunosi sales in out-licensed territories, respectively. Sunosi net product revenues for the comparable periods in 2023 were $22.5 million and $74.8 million, which consisted of $21.7 million and $72.4 million in net product sales, respectively.</w:t>
      </w:r>
    </w:p>
    <w:p>
      <w:pPr>
        <w:spacing w:after="0" w:line="126"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Total costs of revenue were $10.5 million and $33.3 million for the fourth quarter and full year of 2024, respectively. Total cost of revenue for the fourth quarter of 2024 included a one-time $2.5 million sales-based milestone expense related to world-wide Sunosi sales. Total costs of revenue for the comparable periods in 2023 were $7.4 million and $26.1 million, respectively.</w:t>
      </w:r>
    </w:p>
    <w:p>
      <w:pPr>
        <w:spacing w:after="0" w:line="133" w:lineRule="exact"/>
        <w:rPr>
          <w:rFonts w:ascii="Times New Roman" w:cs="Times New Roman" w:eastAsia="Times New Roman" w:hAnsi="Times New Roman"/>
          <w:sz w:val="16"/>
          <w:szCs w:val="16"/>
          <w:color w:val="auto"/>
        </w:rPr>
      </w:pPr>
    </w:p>
    <w:p>
      <w:pPr>
        <w:jc w:val="both"/>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Research and development (R&amp;D) expenses were $55.0 million and $187.1 million for the fourth quarter and full year of 2024, respectively, compared to $30.8 million and $97.9 million for the comparable periods in 2023. The increase in R&amp;D expenses for the year was primarily related to the Company’s ongoing Phase 3 trials of solriamfetol in ADHD, MDD, BED, and SWD, the advancement of Phase 3 trials of AXS-05 and AXS-12, manufacturing costs for AXS-07 and AXS-14, and higher personnel costs, including non-cash stock-based compensation, associated with organizational growth.</w:t>
      </w:r>
    </w:p>
    <w:p>
      <w:pPr>
        <w:spacing w:after="0" w:line="126" w:lineRule="exact"/>
        <w:rPr>
          <w:rFonts w:ascii="Times New Roman" w:cs="Times New Roman" w:eastAsia="Times New Roman" w:hAnsi="Times New Roman"/>
          <w:sz w:val="16"/>
          <w:szCs w:val="16"/>
          <w:color w:val="auto"/>
        </w:rPr>
      </w:pPr>
    </w:p>
    <w:p>
      <w:pPr>
        <w:jc w:val="both"/>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Selling, general, and administrative (SG&amp;A) expenses were $113.3 million and $411.4 million for the fourth quarter and full year of 2024, respectively, compared to $86.8 million and $323.1 million for the comparable periods in 2023. The increase in SG&amp;A expenses for the year was primarily related to commercialization activities for Auvelity and Sunosi, and higher personnel costs, including non-cash stock-based compensation, associated with organizational growth.</w:t>
      </w:r>
    </w:p>
    <w:p>
      <w:pPr>
        <w:spacing w:after="0" w:line="126" w:lineRule="exact"/>
        <w:rPr>
          <w:rFonts w:ascii="Times New Roman" w:cs="Times New Roman" w:eastAsia="Times New Roman" w:hAnsi="Times New Roman"/>
          <w:sz w:val="16"/>
          <w:szCs w:val="16"/>
          <w:color w:val="auto"/>
        </w:rPr>
      </w:pPr>
    </w:p>
    <w:p>
      <w:pPr>
        <w:jc w:val="both"/>
        <w:ind w:left="365" w:hanging="365"/>
        <w:spacing w:after="0" w:line="236"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for the fourth quarter of 2024 was $74.9 million, or $(1.54) per share, compared to a net loss of $98.7 million, or $(2.08) per share for the comparable period in 2023. The net loss in the fourth quarter of 2024 includes $35.9 million in non-cash charges, primarily consisting of $22.0 million in stock-based compensation expense, $11.0 million in acquisition-related contingent consideration expense, and $1.6 million in intangible asset amortization. Net loss for the full year of 2024 was $287.2 million, or $(5.99) per share, compared to a net loss of $239.2 million, or $(5.27) per share for the full year of 2023. The net loss for the full year of 2024 includes $124.9 million in non-cash charges, including $85.2 million in stock-based compensation expense, $28.1 million in acquisition-related contingent consideration expense, and $6.4 million in intangible amortization, compared to $62.6 million, $48.9 million, and $6.4 million for the full year of 2023, respectively.</w:t>
      </w:r>
    </w:p>
    <w:p>
      <w:pPr>
        <w:spacing w:after="0" w:line="140"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totaled $315.4 million at December 31, 2024, compared to $386.2 million at December 31, 2023.</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outstanding were 48</w:t>
      </w:r>
      <w:r>
        <w:rPr>
          <w:rFonts w:ascii="Arial" w:cs="Arial" w:eastAsia="Arial" w:hAnsi="Arial"/>
          <w:sz w:val="16"/>
          <w:szCs w:val="16"/>
          <w:b w:val="1"/>
          <w:bCs w:val="1"/>
          <w:color w:val="auto"/>
        </w:rPr>
        <w:t>,</w:t>
      </w:r>
      <w:r>
        <w:rPr>
          <w:rFonts w:ascii="Arial" w:cs="Arial" w:eastAsia="Arial" w:hAnsi="Arial"/>
          <w:sz w:val="16"/>
          <w:szCs w:val="16"/>
          <w:color w:val="auto"/>
        </w:rPr>
        <w:t>667,587 at December 31, 2024.</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161"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Axsome believes that its current cash is sufficient to fund anticipated operations into cash flow positivity, based on the current operating plan.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Commercial Highlights</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Auvelity</w:t>
      </w:r>
    </w:p>
    <w:p>
      <w:pPr>
        <w:spacing w:after="0" w:line="159" w:lineRule="exact"/>
        <w:rPr>
          <w:sz w:val="20"/>
          <w:szCs w:val="20"/>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158,000 prescriptions were written for Auvelity in the fourth quarter of 2024, representing an increase of 87% compared to the same period in 2023, and an increase of 10% compared to the third quarter of 2024.</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Auvelity across all channels is at approximately 78% of all covered lives. The proportion of lives covered for Auvelity in the commercial and government (Medicare and Medicaid) channels are approximately 63% and 100%, respectively.</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previously announced expansion of the Auvelity psychiatry sales force from 260 to 300 sales representatives is now complete. The sales force expansion is expected to support continued growth within the primary care market and further improvements in payer coverage.</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Sunosi</w:t>
      </w:r>
    </w:p>
    <w:p>
      <w:pPr>
        <w:spacing w:after="0" w:line="159" w:lineRule="exact"/>
        <w:rPr>
          <w:sz w:val="20"/>
          <w:szCs w:val="20"/>
          <w:color w:val="auto"/>
        </w:rPr>
      </w:pPr>
    </w:p>
    <w:p>
      <w:pPr>
        <w:ind w:left="365"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49,000 prescriptions were written for Sunosi in the U.S. in the fourth quarter of 2024, representing an increase of 16% compared to the same period in 2023, and an increase of 4% compared to the third quarter of 2024.</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Sunosi across all channels is at approximately 83% of all covered lives. The proportion of lives covered for Sunosi in the commercial and government channels are approximately 95% and 60%, respectively.</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159" w:lineRule="exact"/>
        <w:rPr>
          <w:sz w:val="20"/>
          <w:szCs w:val="20"/>
          <w:color w:val="auto"/>
        </w:rPr>
      </w:pPr>
    </w:p>
    <w:p>
      <w:pPr>
        <w:jc w:val="both"/>
        <w:ind w:left="365" w:hanging="365"/>
        <w:spacing w:after="0" w:line="238" w:lineRule="auto"/>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30, 2025, the U.S. Food and Drug Administration (FDA) approved Symbravo for the acute treatment of migraine with or without aura in adults. Symbravo represents a novel, multi-mechanistic approach to treating migraine that targets multiple pathways underlying a migraine attack, and is engineered with Axsome’s patented MoSEIC™ (Molecular Solubility Enhanced Inclusion Complex) rapid absorption technology. Pre-launch activities, including sales force hiring and payer discussions, are underway. The Company anticipates Symbravo to be commercially available in the U.S. in approximately four months.</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Development Pipeline</w:t>
      </w:r>
    </w:p>
    <w:p>
      <w:pPr>
        <w:spacing w:after="0" w:line="149"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Axsome is advancing an industry-leading neuroscience pipeline of multiple, innovative, late-stage, patent-protected product candidates addressing a broad range of serious psychiatric and neurological conditions. Recent and anticipated progress for key pipeline programs is summarized below.</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AXS-05</w:t>
      </w:r>
    </w:p>
    <w:p>
      <w:pPr>
        <w:spacing w:after="0" w:line="147"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AXS-05 (dextromethorphan-bupropion) is Axsome’s novel, oral, investigational N-methyl-D-aspartate (NMDA) receptor antagonist, sigma-1 agonist, and aminoketone CYP2D6 inhibitor being developed for the treatment of Alzheimer’s disease (AD) agitation and smoking cessation. AXS-05 has been granted FDA Breakthrough Therapy designation for AD agitation.</w:t>
      </w:r>
    </w:p>
    <w:p>
      <w:pPr>
        <w:spacing w:after="0" w:line="118" w:lineRule="exact"/>
        <w:rPr>
          <w:sz w:val="20"/>
          <w:szCs w:val="20"/>
          <w:color w:val="auto"/>
        </w:rPr>
      </w:pPr>
    </w:p>
    <w:p>
      <w:pPr>
        <w:jc w:val="both"/>
        <w:ind w:left="365" w:hanging="365"/>
        <w:spacing w:after="0" w:line="239"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Alzheimer’s Disease Agitation: </w:t>
      </w:r>
      <w:r>
        <w:rPr>
          <w:rFonts w:ascii="Arial" w:cs="Arial" w:eastAsia="Arial" w:hAnsi="Arial"/>
          <w:sz w:val="16"/>
          <w:szCs w:val="16"/>
          <w:color w:val="auto"/>
        </w:rPr>
        <w:t>Axsome has completed the Phase 3 clinical program of AXS-05 in Alzheimer’s disease agitation consisting of four</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Phase 3 efficacy trials and a long-term safety trial. AXS-05 demonstrated statistically significant improvements in Alzheimer’s disease agitation compared to placebo in three efficacy trials (ADVANCE-1, ACCORD-1, and ACCORD-2), with supportive efficacy and controlled safety results in a fourth trial (ADVANCE-2). Based on the results from these studies, Axsome plans to submit a New Drug Application (NDA) for AXS-05 for the treatment of Alzheimer’s disease agitation to the FDA in the second half of 2025.</w:t>
      </w:r>
    </w:p>
    <w:p>
      <w:pPr>
        <w:spacing w:after="0" w:line="135"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Axsome plans to initiate a pivotal Phase 2/3 trial of AXS-05 in smoking cessation in 2025.</w:t>
      </w:r>
    </w:p>
    <w:p>
      <w:pPr>
        <w:spacing w:after="0" w:line="200" w:lineRule="exact"/>
        <w:rPr>
          <w:sz w:val="20"/>
          <w:szCs w:val="20"/>
          <w:color w:val="auto"/>
        </w:rPr>
      </w:pPr>
    </w:p>
    <w:p>
      <w:pPr>
        <w:spacing w:after="0" w:line="33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ind w:left="5"/>
        <w:spacing w:after="0"/>
        <w:rPr>
          <w:sz w:val="20"/>
          <w:szCs w:val="20"/>
          <w:color w:val="auto"/>
        </w:rPr>
      </w:pPr>
      <w:r>
        <w:rPr>
          <w:rFonts w:ascii="Arial" w:cs="Arial" w:eastAsia="Arial" w:hAnsi="Arial"/>
          <w:sz w:val="16"/>
          <w:szCs w:val="16"/>
          <w:b w:val="1"/>
          <w:bCs w:val="1"/>
          <w:i w:val="1"/>
          <w:iCs w:val="1"/>
          <w:color w:val="auto"/>
        </w:rPr>
        <w:t>Solriamfetol</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color w:val="auto"/>
        </w:rPr>
        <w:t>Solriamfetol is Axsome’s dopamine and norepinephrine reuptake inhibitor (DNRI), TAAR1 agonist, and 5-HT</w:t>
      </w:r>
      <w:r>
        <w:rPr>
          <w:rFonts w:ascii="Arial" w:cs="Arial" w:eastAsia="Arial" w:hAnsi="Arial"/>
          <w:sz w:val="21"/>
          <w:szCs w:val="21"/>
          <w:color w:val="auto"/>
          <w:vertAlign w:val="subscript"/>
        </w:rPr>
        <w:t>1A</w:t>
      </w:r>
      <w:r>
        <w:rPr>
          <w:rFonts w:ascii="Arial" w:cs="Arial" w:eastAsia="Arial" w:hAnsi="Arial"/>
          <w:sz w:val="16"/>
          <w:szCs w:val="16"/>
          <w:color w:val="auto"/>
        </w:rPr>
        <w:t xml:space="preserve"> agonist being developed for the treatment of</w:t>
      </w:r>
    </w:p>
    <w:p>
      <w:pPr>
        <w:spacing w:after="0" w:line="30" w:lineRule="exact"/>
        <w:rPr>
          <w:sz w:val="20"/>
          <w:szCs w:val="20"/>
          <w:color w:val="auto"/>
        </w:rPr>
      </w:pPr>
    </w:p>
    <w:p>
      <w:pPr>
        <w:ind w:left="5" w:right="20"/>
        <w:spacing w:after="0" w:line="242" w:lineRule="auto"/>
        <w:rPr>
          <w:sz w:val="20"/>
          <w:szCs w:val="20"/>
          <w:color w:val="auto"/>
        </w:rPr>
      </w:pPr>
      <w:r>
        <w:rPr>
          <w:rFonts w:ascii="Arial" w:cs="Arial" w:eastAsia="Arial" w:hAnsi="Arial"/>
          <w:sz w:val="16"/>
          <w:szCs w:val="16"/>
          <w:color w:val="auto"/>
        </w:rPr>
        <w:t>attention deficit hyperactivity disorder (ADHD), major depressive disorder (MDD), binge eating disorder (BED), and excessive sleepiness associated with shift work disorder (SWD).</w:t>
      </w:r>
    </w:p>
    <w:p>
      <w:pPr>
        <w:spacing w:after="0" w:line="133" w:lineRule="exact"/>
        <w:rPr>
          <w:sz w:val="20"/>
          <w:szCs w:val="20"/>
          <w:color w:val="auto"/>
        </w:rPr>
      </w:pPr>
    </w:p>
    <w:p>
      <w:pPr>
        <w:jc w:val="both"/>
        <w:ind w:left="365" w:hanging="365"/>
        <w:spacing w:after="0" w:line="247"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Attention Deficit Hyperactivity Disorder: </w:t>
      </w:r>
      <w:r>
        <w:rPr>
          <w:rFonts w:ascii="Arial" w:cs="Arial" w:eastAsia="Arial" w:hAnsi="Arial"/>
          <w:sz w:val="16"/>
          <w:szCs w:val="16"/>
          <w:color w:val="auto"/>
        </w:rPr>
        <w:t>Axsome is conducting the FOCUS study, a Phase 3, randomized, double-blind, placebo-controlled, multicenter</w:t>
      </w:r>
      <w:r>
        <w:rPr>
          <w:rFonts w:ascii="Arial" w:cs="Arial" w:eastAsia="Arial" w:hAnsi="Arial"/>
          <w:sz w:val="16"/>
          <w:szCs w:val="16"/>
          <w:b w:val="1"/>
          <w:bCs w:val="1"/>
          <w:color w:val="auto"/>
        </w:rPr>
        <w:t xml:space="preserve"> </w:t>
      </w:r>
      <w:r>
        <w:rPr>
          <w:rFonts w:ascii="Arial" w:cs="Arial" w:eastAsia="Arial" w:hAnsi="Arial"/>
          <w:sz w:val="16"/>
          <w:szCs w:val="16"/>
          <w:color w:val="auto"/>
        </w:rPr>
        <w:t>trial evaluating the efficacy and safety of solriamfetol in ADHD in adults. The Company is on track to report topline results from the FOCUS Phase 3 trial in the first quarter of 2025.</w:t>
      </w:r>
    </w:p>
    <w:p>
      <w:pPr>
        <w:spacing w:after="0" w:line="117" w:lineRule="exact"/>
        <w:rPr>
          <w:rFonts w:ascii="Times New Roman" w:cs="Times New Roman" w:eastAsia="Times New Roman" w:hAnsi="Times New Roman"/>
          <w:sz w:val="16"/>
          <w:szCs w:val="16"/>
          <w:color w:val="auto"/>
        </w:rPr>
      </w:pPr>
    </w:p>
    <w:p>
      <w:pPr>
        <w:jc w:val="both"/>
        <w:ind w:left="365" w:right="20" w:hanging="365"/>
        <w:spacing w:after="0" w:line="247"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 Depressive Disorder: </w:t>
      </w:r>
      <w:r>
        <w:rPr>
          <w:rFonts w:ascii="Arial" w:cs="Arial" w:eastAsia="Arial" w:hAnsi="Arial"/>
          <w:sz w:val="16"/>
          <w:szCs w:val="16"/>
          <w:color w:val="auto"/>
        </w:rPr>
        <w:t>Axsome is conducting the PARADIGM study, a Phase 3, randomized, double-blind, placebo-controlled, multicenter trial</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evaluating the efficacy and safety of solriamfetol in MDD. The study will examine the effect of solriamfetol in MDD patients with and without excessive daytime sleepiness (EDS). The Company is on track to report topline results from the PARADIGM Phase 3 trial in the first quarter of 2025.</w:t>
      </w:r>
    </w:p>
    <w:p>
      <w:pPr>
        <w:spacing w:after="0" w:line="117" w:lineRule="exact"/>
        <w:rPr>
          <w:rFonts w:ascii="Times New Roman" w:cs="Times New Roman" w:eastAsia="Times New Roman" w:hAnsi="Times New Roman"/>
          <w:sz w:val="16"/>
          <w:szCs w:val="16"/>
          <w:color w:val="auto"/>
        </w:rPr>
      </w:pPr>
    </w:p>
    <w:p>
      <w:pPr>
        <w:jc w:val="both"/>
        <w:ind w:left="365" w:hanging="365"/>
        <w:spacing w:after="0" w:line="247"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Binge Eating Disorder: </w:t>
      </w:r>
      <w:r>
        <w:rPr>
          <w:rFonts w:ascii="Arial" w:cs="Arial" w:eastAsia="Arial" w:hAnsi="Arial"/>
          <w:sz w:val="16"/>
          <w:szCs w:val="16"/>
          <w:color w:val="auto"/>
        </w:rPr>
        <w:t>Axsome is conducting the ENGAGE study, a Phase 3, randomized, double-blind, placebo-controlled, multicenter trial evaluating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efficacy and safety of solriamfetol in BED. Based on current enrollment trends, the Company now anticipates topline results from the ENGAGE Phase 3 trial in 2026.</w:t>
      </w:r>
    </w:p>
    <w:p>
      <w:pPr>
        <w:spacing w:after="0" w:line="128"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Shift Work Disorder: </w:t>
      </w:r>
      <w:r>
        <w:rPr>
          <w:rFonts w:ascii="Arial" w:cs="Arial" w:eastAsia="Arial" w:hAnsi="Arial"/>
          <w:sz w:val="16"/>
          <w:szCs w:val="16"/>
          <w:color w:val="auto"/>
        </w:rPr>
        <w:t>Axsome is conducting the SUSTAIN study, a Phase 3, randomized, double-blind, placebo-controlled, multicenter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solriamfetol in SWD in adults. The Company anticipates topline results from the SUSTAIN Phase 3 trial in 2026.</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90" w:lineRule="exact"/>
        <w:rPr>
          <w:sz w:val="20"/>
          <w:szCs w:val="20"/>
          <w:color w:val="auto"/>
        </w:rPr>
      </w:pPr>
    </w:p>
    <w:p>
      <w:pPr>
        <w:ind w:left="5"/>
        <w:spacing w:after="0" w:line="290" w:lineRule="auto"/>
        <w:rPr>
          <w:sz w:val="20"/>
          <w:szCs w:val="20"/>
          <w:color w:val="auto"/>
        </w:rPr>
      </w:pPr>
      <w:r>
        <w:rPr>
          <w:rFonts w:ascii="Arial" w:cs="Arial" w:eastAsia="Arial" w:hAnsi="Arial"/>
          <w:sz w:val="16"/>
          <w:szCs w:val="16"/>
          <w:color w:val="auto"/>
        </w:rPr>
        <w:t>Symbravo (MoSEIC™ meloxicam-rizatriptan) is Axsome’s novel, oral, rapidly absorbed, multi-mechanistic, selective COX-2 inhibitor and 5-HT</w:t>
      </w:r>
      <w:r>
        <w:rPr>
          <w:rFonts w:ascii="Arial" w:cs="Arial" w:eastAsia="Arial" w:hAnsi="Arial"/>
          <w:sz w:val="21"/>
          <w:szCs w:val="21"/>
          <w:color w:val="auto"/>
          <w:vertAlign w:val="subscript"/>
        </w:rPr>
        <w:t>1B/1D</w:t>
      </w:r>
      <w:r>
        <w:rPr>
          <w:rFonts w:ascii="Arial" w:cs="Arial" w:eastAsia="Arial" w:hAnsi="Arial"/>
          <w:sz w:val="16"/>
          <w:szCs w:val="16"/>
          <w:color w:val="auto"/>
        </w:rPr>
        <w:t xml:space="preserve"> agonist indicated for the acute treatment of migraine with or without aura in adults.</w:t>
      </w:r>
    </w:p>
    <w:p>
      <w:pPr>
        <w:spacing w:after="0" w:line="85" w:lineRule="exact"/>
        <w:rPr>
          <w:sz w:val="20"/>
          <w:szCs w:val="20"/>
          <w:color w:val="auto"/>
        </w:rPr>
      </w:pPr>
    </w:p>
    <w:p>
      <w:pPr>
        <w:jc w:val="both"/>
        <w:ind w:left="365" w:right="20"/>
        <w:spacing w:after="0" w:line="247" w:lineRule="auto"/>
        <w:rPr>
          <w:sz w:val="20"/>
          <w:szCs w:val="20"/>
          <w:color w:val="auto"/>
        </w:rPr>
      </w:pPr>
      <w:r>
        <w:rPr>
          <w:rFonts w:ascii="Arial" w:cs="Arial" w:eastAsia="Arial" w:hAnsi="Arial"/>
          <w:sz w:val="16"/>
          <w:szCs w:val="16"/>
          <w:b w:val="1"/>
          <w:bCs w:val="1"/>
          <w:color w:val="auto"/>
        </w:rPr>
        <w:t xml:space="preserve">Migraine: </w:t>
      </w:r>
      <w:r>
        <w:rPr>
          <w:rFonts w:ascii="Arial" w:cs="Arial" w:eastAsia="Arial" w:hAnsi="Arial"/>
          <w:sz w:val="16"/>
          <w:szCs w:val="16"/>
          <w:color w:val="auto"/>
        </w:rPr>
        <w:t>Axsome is conducting the EMERGE study, a Phase 3, single-group, multicenter trial evaluating the efficacy and safety of Symbravo for the acute</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of migraine in adults with a prior inadequate response to an oral CGRP inhibitor. The Company anticipates topline results from the EMERGE Phase 3 trial in the first quarter of 2025.</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AXS-12</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spacing w:after="0" w:line="120" w:lineRule="exact"/>
        <w:rPr>
          <w:sz w:val="20"/>
          <w:szCs w:val="20"/>
          <w:color w:val="auto"/>
        </w:rPr>
      </w:pPr>
    </w:p>
    <w:p>
      <w:pPr>
        <w:jc w:val="both"/>
        <w:ind w:left="365" w:right="20" w:hanging="365"/>
        <w:spacing w:after="0" w:line="241" w:lineRule="auto"/>
        <w:tabs>
          <w:tab w:leader="none" w:pos="36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 has completed three controlled Phase 2 and Phase 3 efficacy trials and a long-term safety trial of AXS-12 in patients with narcolepsy</w:t>
      </w:r>
      <w:r>
        <w:rPr>
          <w:rFonts w:ascii="Arial" w:cs="Arial" w:eastAsia="Arial" w:hAnsi="Arial"/>
          <w:sz w:val="16"/>
          <w:szCs w:val="16"/>
          <w:b w:val="1"/>
          <w:bCs w:val="1"/>
          <w:color w:val="auto"/>
        </w:rPr>
        <w:t xml:space="preserve"> </w:t>
      </w:r>
      <w:r>
        <w:rPr>
          <w:rFonts w:ascii="Arial" w:cs="Arial" w:eastAsia="Arial" w:hAnsi="Arial"/>
          <w:sz w:val="16"/>
          <w:szCs w:val="16"/>
          <w:color w:val="auto"/>
        </w:rPr>
        <w:t>with cataplexy. AXS-12 demonstrated statistically significant efficacy compared to placebo in all three efficacy trials (CONCERT, SYMPHONY, and ENCORE). Based on the results from these studies, Axsome plans to submit an NDA for AXS-12 for the treatment of cataplexy in patients with narcolepsy to the FDA in the second half of 2025.</w:t>
      </w:r>
    </w:p>
    <w:p>
      <w:pPr>
        <w:spacing w:after="0" w:line="200" w:lineRule="exact"/>
        <w:rPr>
          <w:sz w:val="20"/>
          <w:szCs w:val="20"/>
          <w:color w:val="auto"/>
        </w:rPr>
      </w:pPr>
    </w:p>
    <w:p>
      <w:pPr>
        <w:spacing w:after="0" w:line="3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7" w:name="page8"/>
    <w:bookmarkEnd w:id="7"/>
    <w:p>
      <w:pPr>
        <w:ind w:left="5"/>
        <w:spacing w:after="0"/>
        <w:rPr>
          <w:sz w:val="20"/>
          <w:szCs w:val="20"/>
          <w:color w:val="auto"/>
        </w:rPr>
      </w:pPr>
      <w:r>
        <w:rPr>
          <w:rFonts w:ascii="Arial" w:cs="Arial" w:eastAsia="Arial" w:hAnsi="Arial"/>
          <w:sz w:val="16"/>
          <w:szCs w:val="16"/>
          <w:b w:val="1"/>
          <w:bCs w:val="1"/>
          <w:i w:val="1"/>
          <w:iCs w:val="1"/>
          <w:color w:val="auto"/>
        </w:rPr>
        <w:t>AXS-14</w:t>
      </w:r>
    </w:p>
    <w:p>
      <w:pPr>
        <w:spacing w:after="0" w:line="147"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AXS-14 (esreboxetine) is Axsome’s novel, oral, investigational, highly selective and potent norepinephrine reuptake inhibitor being developed for the management of fibromyalgia. Esreboxetine, the SS-enantiomer of reboxetine, is more potent and selective than racemic reboxetine.</w:t>
      </w:r>
    </w:p>
    <w:p>
      <w:pPr>
        <w:spacing w:after="0" w:line="120" w:lineRule="exact"/>
        <w:rPr>
          <w:sz w:val="20"/>
          <w:szCs w:val="20"/>
          <w:color w:val="auto"/>
        </w:rPr>
      </w:pPr>
    </w:p>
    <w:p>
      <w:pPr>
        <w:ind w:left="365" w:hanging="365"/>
        <w:spacing w:after="0"/>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plans to submit an NDA to the FDA for AXS-14 for the management of fibromyalgia in the first quarter of 2025.</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Corporate Update</w:t>
      </w:r>
    </w:p>
    <w:p>
      <w:pPr>
        <w:spacing w:after="0" w:line="149" w:lineRule="exact"/>
        <w:rPr>
          <w:sz w:val="20"/>
          <w:szCs w:val="20"/>
          <w:color w:val="auto"/>
        </w:rPr>
      </w:pPr>
    </w:p>
    <w:p>
      <w:pPr>
        <w:jc w:val="both"/>
        <w:ind w:left="365" w:right="20" w:hanging="365"/>
        <w:spacing w:after="0" w:line="238" w:lineRule="auto"/>
        <w:tabs>
          <w:tab w:leader="none" w:pos="365"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In February 2025, Axsome announced that it has entered into a settlement agreement resolving all outstanding patent litigation related to Auvelity (dextromethorphan HBr – bupropion HCl). The litigation resulted from submission by Teva of an ANDA to the FDA seeking approval to market a generic version of Auvelity in the United States prior to the expiration of applicable Axsome patents. Under the terms of the settlement agreement, Axsome will grant Teva a license to sell its generic version of Auvelity beginning on or after March 31, 2039, if pediatric exclusivity is granted, or on or after September 30, 2038, if no pediatric exclusivity is granted, subject to FDA approval and conditions and exceptions customary for agreements of this type.</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Anticipated Milestones</w:t>
      </w:r>
    </w:p>
    <w:p>
      <w:pPr>
        <w:spacing w:after="0" w:line="147" w:lineRule="exact"/>
        <w:rPr>
          <w:sz w:val="20"/>
          <w:szCs w:val="20"/>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Regulatory and Commercial:</w:t>
      </w:r>
    </w:p>
    <w:p>
      <w:pPr>
        <w:spacing w:after="0" w:line="160" w:lineRule="exact"/>
        <w:rPr>
          <w:sz w:val="20"/>
          <w:szCs w:val="20"/>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AXS-14 for fibromyalgia, NDA submission (1Q 2025)</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AXS-05 for Alzheimer’s disease agitation, NDA submission (2H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AXS-12 for narcolepsy, NDA submission (2H 2025)</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Topline Results: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EMERGE trial of AXS-07 in migraine in patients with inadequate response to oral CGRP inhibitors (1Q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FOCUS trial of solriamfetol in ADHD in adults (1Q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PARADIGM trial of solriamfetol in major depressive disorder (1Q 2025)</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ENGAGE trial of solriamfetol in binge eating disorder (2026)</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SUSTAIN trial of solriamfetol in shift work disorder (2026)</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Initiations and Progress: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Pivotal Phase 2/3 trial of AXS-05 in smoking cessation, initiation (2025)</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Information</w:t>
      </w:r>
    </w:p>
    <w:p>
      <w:pPr>
        <w:spacing w:after="0" w:line="149"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auto"/>
        </w:rPr>
        <w:t>Axsome will host a conference call and webcast today at 8:00 a.m. Eastern Time to discuss its fourth quarter and full year 2024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200" w:lineRule="exact"/>
        <w:rPr>
          <w:sz w:val="20"/>
          <w:szCs w:val="20"/>
          <w:color w:val="auto"/>
        </w:rPr>
      </w:pPr>
    </w:p>
    <w:p>
      <w:pPr>
        <w:spacing w:after="0" w:line="31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About Axsome Therapeutics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 Auvelity®, and Symbravo®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color w:val="auto"/>
        </w:rPr>
        <w:t>(Unaudited, 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2"/>
                <w:szCs w:val="12"/>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2"/>
        </w:trPr>
        <w:tc>
          <w:tcPr>
            <w:tcW w:w="7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386,193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142,001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485,064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504,263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46,894</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588,236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78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71,997</w:t>
            </w:r>
          </w:p>
        </w:tc>
        <w:tc>
          <w:tcPr>
            <w:tcW w:w="22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90,501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230,104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138,854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91,680</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180,710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78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511,483</w:t>
            </w:r>
          </w:p>
        </w:tc>
        <w:tc>
          <w:tcPr>
            <w:tcW w:w="2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397,259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3"/>
        </w:trPr>
        <w:tc>
          <w:tcPr>
            <w:tcW w:w="7860" w:type="dxa"/>
            <w:vAlign w:val="bottom"/>
          </w:tcPr>
          <w:p>
            <w:pPr>
              <w:ind w:left="140"/>
              <w:spacing w:after="0" w:line="173" w:lineRule="exact"/>
              <w:rPr>
                <w:sz w:val="20"/>
                <w:szCs w:val="20"/>
                <w:color w:val="auto"/>
              </w:rPr>
            </w:pPr>
            <w:r>
              <w:rPr>
                <w:rFonts w:ascii="Times New Roman" w:cs="Times New Roman" w:eastAsia="Times New Roman" w:hAnsi="Times New Roman"/>
                <w:sz w:val="16"/>
                <w:szCs w:val="16"/>
                <w:color w:val="auto"/>
              </w:rPr>
              <w:t>Common stock, $0.0001 par value per share (150,000,000 shares authorized, 48,667,587 and 47,351,363 shares issued</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outstanding at December 31, 2024 and December 31, 2023, respectively)</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1,179,797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1,026,543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(1,122,787 )</w:t>
            </w:r>
          </w:p>
        </w:tc>
        <w:tc>
          <w:tcPr>
            <w:tcW w:w="24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(835,571 )</w:t>
            </w:r>
          </w:p>
        </w:tc>
        <w:tc>
          <w:tcPr>
            <w:tcW w:w="0" w:type="dxa"/>
            <w:vAlign w:val="bottom"/>
          </w:tcPr>
          <w:p>
            <w:pPr>
              <w:spacing w:after="0"/>
              <w:rPr>
                <w:sz w:val="1"/>
                <w:szCs w:val="1"/>
                <w:color w:val="auto"/>
              </w:rPr>
            </w:pPr>
          </w:p>
        </w:tc>
      </w:tr>
      <w:tr>
        <w:trPr>
          <w:trHeight w:val="181"/>
        </w:trPr>
        <w:tc>
          <w:tcPr>
            <w:tcW w:w="78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3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57,015</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190,977</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588,236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2"/>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7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-3514090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-3498850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-3514090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-3498850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-2770505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-2770505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-1186180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-1186180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4"/>
        <w:spacing w:after="0"/>
        <w:rPr>
          <w:sz w:val="20"/>
          <w:szCs w:val="20"/>
          <w:color w:val="auto"/>
        </w:rPr>
      </w:pPr>
      <w:r>
        <w:rPr>
          <w:rFonts w:ascii="Arial" w:cs="Arial" w:eastAsia="Arial" w:hAnsi="Arial"/>
          <w:sz w:val="16"/>
          <w:szCs w:val="16"/>
          <w:color w:val="auto"/>
        </w:rPr>
        <w:t>(Unaudited, in thousands, except share and per share amounts)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00" w:type="dxa"/>
            <w:vAlign w:val="bottom"/>
          </w:tcPr>
          <w:p>
            <w:pPr>
              <w:spacing w:after="0"/>
              <w:rPr>
                <w:sz w:val="13"/>
                <w:szCs w:val="13"/>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r>
      <w:tr>
        <w:trPr>
          <w:trHeight w:val="122"/>
        </w:trPr>
        <w:tc>
          <w:tcPr>
            <w:tcW w:w="576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6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402"/>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sales, net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117,325</w:t>
            </w:r>
          </w:p>
        </w:tc>
        <w:tc>
          <w:tcPr>
            <w:tcW w:w="240" w:type="dxa"/>
            <w:vAlign w:val="bottom"/>
          </w:tcPr>
          <w:p>
            <w:pPr>
              <w:spacing w:after="0"/>
              <w:rPr>
                <w:sz w:val="16"/>
                <w:szCs w:val="16"/>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70,747</w:t>
            </w:r>
          </w:p>
        </w:tc>
        <w:tc>
          <w:tcPr>
            <w:tcW w:w="2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381,677</w:t>
            </w:r>
          </w:p>
        </w:tc>
        <w:tc>
          <w:tcPr>
            <w:tcW w:w="220" w:type="dxa"/>
            <w:vAlign w:val="bottom"/>
          </w:tcPr>
          <w:p>
            <w:pPr>
              <w:spacing w:after="0"/>
              <w:rPr>
                <w:sz w:val="16"/>
                <w:szCs w:val="16"/>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202,460</w:t>
            </w:r>
          </w:p>
        </w:tc>
        <w:tc>
          <w:tcPr>
            <w:tcW w:w="120" w:type="dxa"/>
            <w:vAlign w:val="bottom"/>
          </w:tcPr>
          <w:p>
            <w:pPr>
              <w:spacing w:after="0"/>
              <w:rPr>
                <w:sz w:val="16"/>
                <w:szCs w:val="16"/>
                <w:color w:val="auto"/>
              </w:rPr>
            </w:pPr>
          </w:p>
        </w:tc>
      </w:tr>
      <w:tr>
        <w:trPr>
          <w:trHeight w:val="189"/>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License revenue</w:t>
            </w:r>
          </w:p>
        </w:tc>
        <w:tc>
          <w:tcPr>
            <w:tcW w:w="2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120" w:type="dxa"/>
            <w:vAlign w:val="bottom"/>
            <w:shd w:val="clear" w:color="auto" w:fill="CFF0FC"/>
          </w:tcPr>
          <w:p>
            <w:pPr>
              <w:spacing w:after="0"/>
              <w:rPr>
                <w:sz w:val="16"/>
                <w:szCs w:val="16"/>
                <w:color w:val="auto"/>
              </w:rPr>
            </w:pPr>
          </w:p>
        </w:tc>
      </w:tr>
      <w:tr>
        <w:trPr>
          <w:trHeight w:val="18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Royalty and milestone revenue</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20" w:type="dxa"/>
            <w:vAlign w:val="bottom"/>
          </w:tcPr>
          <w:p>
            <w:pPr>
              <w:spacing w:after="0"/>
              <w:rPr>
                <w:sz w:val="16"/>
                <w:szCs w:val="16"/>
                <w:color w:val="auto"/>
              </w:rPr>
            </w:pPr>
          </w:p>
        </w:tc>
      </w:tr>
      <w:tr>
        <w:trPr>
          <w:trHeight w:val="181"/>
        </w:trPr>
        <w:tc>
          <w:tcPr>
            <w:tcW w:w="57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118,766</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71,531</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385,693</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270,600</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33,303</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26,065</w:t>
            </w:r>
          </w:p>
        </w:tc>
        <w:tc>
          <w:tcPr>
            <w:tcW w:w="120" w:type="dxa"/>
            <w:vAlign w:val="bottom"/>
            <w:shd w:val="clear" w:color="auto" w:fill="CFF0FC"/>
          </w:tcPr>
          <w:p>
            <w:pPr>
              <w:spacing w:after="0"/>
              <w:rPr>
                <w:sz w:val="16"/>
                <w:szCs w:val="16"/>
                <w:color w:val="auto"/>
              </w:rPr>
            </w:pPr>
          </w:p>
        </w:tc>
      </w:tr>
      <w:tr>
        <w:trPr>
          <w:trHeight w:val="18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187,077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97,944</w:t>
            </w:r>
          </w:p>
        </w:tc>
        <w:tc>
          <w:tcPr>
            <w:tcW w:w="120" w:type="dxa"/>
            <w:vAlign w:val="bottom"/>
          </w:tcPr>
          <w:p>
            <w:pPr>
              <w:spacing w:after="0"/>
              <w:rPr>
                <w:sz w:val="16"/>
                <w:szCs w:val="16"/>
                <w:color w:val="auto"/>
              </w:rPr>
            </w:pPr>
          </w:p>
        </w:tc>
      </w:tr>
      <w:tr>
        <w:trPr>
          <w:trHeight w:val="189"/>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113,271</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86,810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411,359</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323,123</w:t>
            </w:r>
          </w:p>
        </w:tc>
        <w:tc>
          <w:tcPr>
            <w:tcW w:w="120" w:type="dxa"/>
            <w:vAlign w:val="bottom"/>
            <w:shd w:val="clear" w:color="auto" w:fill="CFF0FC"/>
          </w:tcPr>
          <w:p>
            <w:pPr>
              <w:spacing w:after="0"/>
              <w:rPr>
                <w:sz w:val="16"/>
                <w:szCs w:val="16"/>
                <w:color w:val="auto"/>
              </w:rPr>
            </w:pPr>
          </w:p>
        </w:tc>
      </w:tr>
      <w:tr>
        <w:trPr>
          <w:trHeight w:val="18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20" w:type="dxa"/>
            <w:vAlign w:val="bottom"/>
          </w:tcPr>
          <w:p>
            <w:pPr>
              <w:spacing w:after="0"/>
              <w:rPr>
                <w:sz w:val="16"/>
                <w:szCs w:val="16"/>
                <w:color w:val="auto"/>
              </w:rPr>
            </w:pPr>
          </w:p>
        </w:tc>
      </w:tr>
      <w:tr>
        <w:trPr>
          <w:trHeight w:val="189"/>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191,383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169,804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666,255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502,425</w:t>
            </w:r>
          </w:p>
        </w:tc>
        <w:tc>
          <w:tcPr>
            <w:tcW w:w="120" w:type="dxa"/>
            <w:vAlign w:val="bottom"/>
          </w:tcPr>
          <w:p>
            <w:pPr>
              <w:spacing w:after="0"/>
              <w:rPr>
                <w:sz w:val="15"/>
                <w:szCs w:val="15"/>
                <w:color w:val="auto"/>
              </w:rPr>
            </w:pPr>
          </w:p>
        </w:tc>
      </w:tr>
      <w:tr>
        <w:trPr>
          <w:trHeight w:val="181"/>
        </w:trPr>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(72,617 )</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(98,273 )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(280,562 )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(231,825 )</w:t>
            </w:r>
          </w:p>
        </w:tc>
      </w:tr>
      <w:tr>
        <w:trPr>
          <w:trHeight w:val="18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(2,210 )</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(703 )</w:t>
            </w: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(6,569 )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(6,453 )</w:t>
            </w:r>
          </w:p>
        </w:tc>
      </w:tr>
      <w:tr>
        <w:trPr>
          <w:trHeight w:val="18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(74,827 )</w:t>
            </w:r>
          </w:p>
        </w:tc>
        <w:tc>
          <w:tcPr>
            <w:tcW w:w="2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(98,976 )</w:t>
            </w: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(287,131 )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(238,278 )</w:t>
            </w:r>
          </w:p>
        </w:tc>
      </w:tr>
      <w:tr>
        <w:trPr>
          <w:trHeight w:val="18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(85 )</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(960 )</w:t>
            </w:r>
          </w:p>
        </w:tc>
      </w:tr>
      <w:tr>
        <w:trPr>
          <w:trHeight w:val="20"/>
        </w:trPr>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(74,912 )</w:t>
            </w:r>
          </w:p>
        </w:tc>
        <w:tc>
          <w:tcPr>
            <w:tcW w:w="28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(98,651 )</w:t>
            </w:r>
          </w:p>
        </w:tc>
        <w:tc>
          <w:tcPr>
            <w:tcW w:w="20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(287,216 )</w:t>
            </w:r>
          </w:p>
        </w:tc>
        <w:tc>
          <w:tcPr>
            <w:tcW w:w="28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(239,238 )</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65"/>
        </w:trPr>
        <w:tc>
          <w:tcPr>
            <w:tcW w:w="57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220" w:type="dxa"/>
            <w:vAlign w:val="bottom"/>
          </w:tcPr>
          <w:p>
            <w:pPr>
              <w:jc w:val="right"/>
              <w:ind w:right="6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(1.54 )</w:t>
            </w:r>
          </w:p>
        </w:tc>
        <w:tc>
          <w:tcPr>
            <w:tcW w:w="28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(2.08 )</w:t>
            </w:r>
          </w:p>
        </w:tc>
        <w:tc>
          <w:tcPr>
            <w:tcW w:w="200" w:type="dxa"/>
            <w:vAlign w:val="bottom"/>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(5.99 )</w:t>
            </w:r>
          </w:p>
        </w:tc>
        <w:tc>
          <w:tcPr>
            <w:tcW w:w="280" w:type="dxa"/>
            <w:vAlign w:val="bottom"/>
          </w:tcPr>
          <w:p>
            <w:pPr>
              <w:jc w:val="right"/>
              <w:ind w:right="1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(5.27 )</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576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48,541,905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47,329,782</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47,914,253</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45,425,212</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-1779270</wp:posOffset>
            </wp:positionV>
            <wp:extent cx="749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-1779270</wp:posOffset>
            </wp:positionV>
            <wp:extent cx="749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-1779270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-1779270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-1050925</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-1050925</wp:posOffset>
            </wp:positionV>
            <wp:extent cx="74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-1050925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-1050925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-307340</wp:posOffset>
            </wp:positionV>
            <wp:extent cx="749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-292100</wp:posOffset>
            </wp:positionV>
            <wp:extent cx="749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-307340</wp:posOffset>
            </wp:positionV>
            <wp:extent cx="749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-292100</wp:posOffset>
            </wp:positionV>
            <wp:extent cx="749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-307340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-292100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-307340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-292100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-21590</wp:posOffset>
            </wp:positionV>
            <wp:extent cx="7493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-6985</wp:posOffset>
            </wp:positionV>
            <wp:extent cx="749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-21590</wp:posOffset>
            </wp:positionV>
            <wp:extent cx="749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-6985</wp:posOffset>
            </wp:positionV>
            <wp:extent cx="7493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-21590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-6985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Mark Jacobson</w:t>
      </w:r>
    </w:p>
    <w:p>
      <w:pPr>
        <w:ind w:left="5"/>
        <w:spacing w:after="0" w:line="231" w:lineRule="auto"/>
        <w:rPr>
          <w:sz w:val="20"/>
          <w:szCs w:val="20"/>
          <w:color w:val="auto"/>
        </w:rPr>
      </w:pPr>
      <w:r>
        <w:rPr>
          <w:rFonts w:ascii="Arial" w:cs="Arial" w:eastAsia="Arial" w:hAnsi="Arial"/>
          <w:sz w:val="16"/>
          <w:szCs w:val="16"/>
          <w:color w:val="auto"/>
        </w:rPr>
        <w:t>Chief Operating Officer</w:t>
      </w:r>
    </w:p>
    <w:p>
      <w:pPr>
        <w:ind w:left="5" w:right="9440" w:hanging="5"/>
        <w:spacing w:after="0" w:line="274" w:lineRule="auto"/>
        <w:tabs>
          <w:tab w:leader="none" w:pos="417" w:val="left"/>
        </w:tabs>
        <w:numPr>
          <w:ilvl w:val="0"/>
          <w:numId w:val="16"/>
        </w:numPr>
        <w:rPr>
          <w:rFonts w:ascii="Arial" w:cs="Arial" w:eastAsia="Arial" w:hAnsi="Arial"/>
          <w:sz w:val="15"/>
          <w:szCs w:val="15"/>
          <w:color w:val="auto"/>
        </w:rPr>
      </w:pPr>
      <w:r>
        <w:rPr>
          <w:rFonts w:ascii="Arial" w:cs="Arial" w:eastAsia="Arial" w:hAnsi="Arial"/>
          <w:sz w:val="15"/>
          <w:szCs w:val="15"/>
          <w:color w:val="auto"/>
        </w:rPr>
        <w:t>332-3243 mjacobson@axsome.com</w:t>
      </w:r>
    </w:p>
    <w:p>
      <w:pPr>
        <w:spacing w:after="0" w:line="9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8" w:lineRule="auto"/>
        <w:rPr>
          <w:sz w:val="20"/>
          <w:szCs w:val="20"/>
          <w:color w:val="auto"/>
        </w:rPr>
      </w:pPr>
      <w:r>
        <w:rPr>
          <w:rFonts w:ascii="Arial" w:cs="Arial" w:eastAsia="Arial" w:hAnsi="Arial"/>
          <w:sz w:val="16"/>
          <w:szCs w:val="16"/>
          <w:color w:val="auto"/>
        </w:rPr>
        <w:t>Director, Corporate Communications</w:t>
      </w:r>
    </w:p>
    <w:p>
      <w:pPr>
        <w:ind w:left="5" w:right="9660" w:hanging="5"/>
        <w:spacing w:after="0" w:line="274" w:lineRule="auto"/>
        <w:tabs>
          <w:tab w:leader="none" w:pos="417" w:val="left"/>
        </w:tabs>
        <w:numPr>
          <w:ilvl w:val="0"/>
          <w:numId w:val="17"/>
        </w:numPr>
        <w:rPr>
          <w:rFonts w:ascii="Arial" w:cs="Arial" w:eastAsia="Arial" w:hAnsi="Arial"/>
          <w:sz w:val="15"/>
          <w:szCs w:val="15"/>
          <w:color w:val="auto"/>
        </w:rPr>
      </w:pPr>
      <w:r>
        <w:rPr>
          <w:rFonts w:ascii="Arial" w:cs="Arial" w:eastAsia="Arial" w:hAnsi="Arial"/>
          <w:sz w:val="15"/>
          <w:szCs w:val="15"/>
          <w:color w:val="auto"/>
        </w:rPr>
        <w:t>837-1065 dopland@axsome.com</w:t>
      </w: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lvl w:ilvl="1">
      <w:lvlJc w:val="left"/>
      <w:lvlText w:val="o"/>
      <w:numFmt w:val="bullet"/>
      <w:start w:val="1"/>
    </w:lvl>
  </w:abstractNum>
  <w:abstractNum w:abstractNumId="15">
    <w:nsid w:val="4E6AFB66"/>
    <w:multiLevelType w:val="hybridMultilevel"/>
    <w:lvl w:ilvl="0">
      <w:lvlJc w:val="left"/>
      <w:lvlText w:val="(%1)"/>
      <w:numFmt w:val="decimal"/>
      <w:start w:val="212"/>
    </w:lvl>
  </w:abstractNum>
  <w:abstractNum w:abstractNumId="16">
    <w:nsid w:val="25E45D32"/>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2025-02-18T06:13:58Z</dcterms:created>
  <dcterms:modified xsi:type="dcterms:W3CDTF">2025-02-18T06:13:58Z</dcterms:modified>
</cp:coreProperties>
</file>