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w:t>
      </w: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June 1, 2018</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44" w:right="27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880" w:space="720"/>
            <w:col w:w="3020"/>
          </w:cols>
          <w:pgMar w:left="240" w:top="544" w:right="279" w:bottom="0" w:gutter="0" w:footer="0" w:header="0"/>
          <w:type w:val="continuous"/>
        </w:sectPr>
      </w:pPr>
    </w:p>
    <w:p>
      <w:pPr>
        <w:ind w:left="132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380"/>
          </w:cols>
          <w:pgMar w:left="240" w:top="544" w:right="279" w:bottom="0" w:gutter="0" w:footer="0" w:header="0"/>
          <w:type w:val="continuous"/>
        </w:sectPr>
      </w:pPr>
    </w:p>
    <w:p>
      <w:pPr>
        <w:spacing w:after="0" w:line="218"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4"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60"/>
          </w:cols>
          <w:pgMar w:left="240" w:top="544" w:right="279" w:bottom="0" w:gutter="0" w:footer="0" w:header="0"/>
          <w:type w:val="continuous"/>
        </w:sectPr>
      </w:pP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7"/>
          <w:szCs w:val="17"/>
          <w:b w:val="1"/>
          <w:bCs w:val="1"/>
          <w:color w:val="auto"/>
        </w:rPr>
        <w:t>212) 332-3241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80"/>
          </w:cols>
          <w:pgMar w:left="240" w:top="544" w:right="27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At the 2018 annual meeting of stockholders (the “Annual Meeting”) of Axsome Therapeutics, Inc. (the “Company”) held on June 1, 2018, the following proposals were submitted to the stockholders of the Company:</w:t>
      </w:r>
    </w:p>
    <w:p>
      <w:pPr>
        <w:spacing w:after="0" w:line="170" w:lineRule="exact"/>
        <w:rPr>
          <w:sz w:val="24"/>
          <w:szCs w:val="24"/>
          <w:color w:val="auto"/>
        </w:rPr>
      </w:pPr>
    </w:p>
    <w:p>
      <w:pPr>
        <w:ind w:left="1300" w:right="600" w:hanging="1296"/>
        <w:spacing w:after="0" w:line="277" w:lineRule="auto"/>
        <w:tabs>
          <w:tab w:leader="none" w:pos="128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8"/>
          <w:szCs w:val="18"/>
          <w:color w:val="auto"/>
        </w:rPr>
        <w:t>The election of two directors to serve as Class III directors until the Company’s 2021 annual meeting of stockholders and until their successors are duly elected and qualified.</w:t>
      </w:r>
    </w:p>
    <w:p>
      <w:pPr>
        <w:spacing w:after="0" w:line="170" w:lineRule="exact"/>
        <w:rPr>
          <w:sz w:val="24"/>
          <w:szCs w:val="24"/>
          <w:color w:val="auto"/>
        </w:rPr>
      </w:pPr>
    </w:p>
    <w:p>
      <w:pPr>
        <w:ind w:left="1300" w:right="240" w:hanging="1296"/>
        <w:spacing w:after="0" w:line="277" w:lineRule="auto"/>
        <w:tabs>
          <w:tab w:leader="none" w:pos="128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8"/>
          <w:szCs w:val="18"/>
          <w:color w:val="auto"/>
        </w:rPr>
        <w:t>The ratification of the appointment of Ernst &amp; Young LLP as the Company’s independent registered public accounting firm for the fiscal year ending December 31, 2018.</w:t>
      </w:r>
    </w:p>
    <w:p>
      <w:pPr>
        <w:spacing w:after="0" w:line="170" w:lineRule="exact"/>
        <w:rPr>
          <w:sz w:val="24"/>
          <w:szCs w:val="24"/>
          <w:color w:val="auto"/>
        </w:rPr>
      </w:pPr>
    </w:p>
    <w:p>
      <w:pPr>
        <w:ind w:right="180"/>
        <w:spacing w:after="0" w:line="302" w:lineRule="auto"/>
        <w:rPr>
          <w:sz w:val="20"/>
          <w:szCs w:val="20"/>
          <w:color w:val="auto"/>
        </w:rPr>
      </w:pPr>
      <w:r>
        <w:rPr>
          <w:rFonts w:ascii="Arial" w:cs="Arial" w:eastAsia="Arial" w:hAnsi="Arial"/>
          <w:sz w:val="16"/>
          <w:szCs w:val="16"/>
          <w:color w:val="auto"/>
        </w:rPr>
        <w:t>For more information about the foregoing proposals, see the Company’s definitive proxy statement on Schedule 14A filed with the United States Securities and Exchange Commission on April 30, 2018 (the “Proxy Statement”). Of the 25,550,492 shares of the Company’s common stock entitled to vote at the Annual Meeting, 21,888,049 shares, or approximately 86%, were represented at the meeting in person or by proxy, constituting a quorum. The number of votes cast for, against or withheld, as well as abstentions and broker non-votes, if applicable, in respect of each such proposal is set forth below:</w:t>
      </w:r>
    </w:p>
    <w:p>
      <w:pPr>
        <w:spacing w:after="0" w:line="154"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6"/>
          <w:szCs w:val="16"/>
          <w:color w:val="auto"/>
        </w:rPr>
        <w:t>Election of Class III Directors.</w:t>
      </w:r>
    </w:p>
    <w:p>
      <w:pPr>
        <w:sectPr>
          <w:pgSz w:w="11900" w:h="16838" w:orient="portrait"/>
          <w:cols w:equalWidth="0" w:num="1">
            <w:col w:w="11380"/>
          </w:cols>
          <w:pgMar w:left="240" w:top="544" w:right="279" w:bottom="0" w:gutter="0" w:footer="0" w:header="0"/>
          <w:type w:val="continuous"/>
        </w:sectPr>
      </w:pPr>
    </w:p>
    <w:bookmarkStart w:id="1" w:name="page2"/>
    <w:bookmarkEnd w:id="1"/>
    <w:p>
      <w:pPr>
        <w:ind w:right="580"/>
        <w:spacing w:after="0" w:line="277" w:lineRule="auto"/>
        <w:rPr>
          <w:sz w:val="20"/>
          <w:szCs w:val="20"/>
          <w:color w:val="auto"/>
        </w:rPr>
      </w:pPr>
      <w:r>
        <w:rPr>
          <w:rFonts w:ascii="Arial" w:cs="Arial" w:eastAsia="Arial" w:hAnsi="Arial"/>
          <w:sz w:val="18"/>
          <w:szCs w:val="18"/>
          <w:color w:val="auto"/>
        </w:rPr>
        <w:t>The Company’s stockholders elected the following directors to serve as Class III directors until the 2021 annual meeting of stockholders and until their successors are duly elected and qualified. The votes regarding the election of directors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tcPr>
          <w:p>
            <w:pPr>
              <w:spacing w:after="0"/>
              <w:rPr>
                <w:sz w:val="20"/>
                <w:szCs w:val="20"/>
                <w:color w:val="auto"/>
              </w:rPr>
            </w:pPr>
            <w:r>
              <w:rPr>
                <w:rFonts w:ascii="Arial" w:cs="Arial" w:eastAsia="Arial" w:hAnsi="Arial"/>
                <w:sz w:val="14"/>
                <w:szCs w:val="14"/>
                <w:b w:val="1"/>
                <w:bCs w:val="1"/>
                <w:color w:val="auto"/>
              </w:rPr>
              <w:t>Director</w:t>
            </w:r>
          </w:p>
        </w:tc>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Votes For</w:t>
            </w: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Votes Withheld</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Broker Non-Votes</w:t>
            </w:r>
          </w:p>
        </w:tc>
      </w:tr>
      <w:tr>
        <w:trPr>
          <w:trHeight w:val="210"/>
        </w:trPr>
        <w:tc>
          <w:tcPr>
            <w:tcW w:w="4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Herriot Tabuteau, M.D.</w:t>
            </w:r>
          </w:p>
        </w:tc>
        <w:tc>
          <w:tcPr>
            <w:tcW w:w="3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11,712,417</w:t>
            </w:r>
          </w:p>
        </w:tc>
        <w:tc>
          <w:tcPr>
            <w:tcW w:w="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845,377</w:t>
            </w:r>
          </w:p>
        </w:tc>
        <w:tc>
          <w:tcPr>
            <w:tcW w:w="2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9,330,255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280" w:type="dxa"/>
            <w:vAlign w:val="bottom"/>
            <w:gridSpan w:val="3"/>
          </w:tcPr>
          <w:p>
            <w:pPr>
              <w:spacing w:after="0"/>
              <w:rPr>
                <w:sz w:val="20"/>
                <w:szCs w:val="20"/>
                <w:color w:val="auto"/>
              </w:rPr>
            </w:pPr>
            <w:r>
              <w:rPr>
                <w:rFonts w:ascii="Arial" w:cs="Arial" w:eastAsia="Arial" w:hAnsi="Arial"/>
                <w:sz w:val="18"/>
                <w:szCs w:val="18"/>
                <w:color w:val="auto"/>
              </w:rPr>
              <w:t>Mark Coleman, M.D.</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11,716,735</w:t>
            </w:r>
          </w:p>
        </w:tc>
        <w:tc>
          <w:tcPr>
            <w:tcW w:w="2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841,059</w:t>
            </w:r>
          </w:p>
        </w:tc>
        <w:tc>
          <w:tcPr>
            <w:tcW w:w="28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9,330,255</w:t>
            </w:r>
          </w:p>
        </w:tc>
        <w:tc>
          <w:tcPr>
            <w:tcW w:w="100" w:type="dxa"/>
            <w:vAlign w:val="bottom"/>
          </w:tcPr>
          <w:p>
            <w:pPr>
              <w:spacing w:after="0"/>
              <w:rPr>
                <w:sz w:val="20"/>
                <w:szCs w:val="20"/>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Proposal 2:</w:t>
            </w:r>
          </w:p>
        </w:tc>
        <w:tc>
          <w:tcPr>
            <w:tcW w:w="4220" w:type="dxa"/>
            <w:vAlign w:val="bottom"/>
            <w:gridSpan w:val="2"/>
          </w:tcPr>
          <w:p>
            <w:pPr>
              <w:ind w:left="240"/>
              <w:spacing w:after="0"/>
              <w:rPr>
                <w:sz w:val="20"/>
                <w:szCs w:val="20"/>
                <w:color w:val="auto"/>
              </w:rPr>
            </w:pPr>
            <w:r>
              <w:rPr>
                <w:rFonts w:ascii="Arial" w:cs="Arial" w:eastAsia="Arial" w:hAnsi="Arial"/>
                <w:sz w:val="18"/>
                <w:szCs w:val="18"/>
                <w:color w:val="auto"/>
                <w:w w:val="99"/>
              </w:rPr>
              <w:t>Ratification of Appointment of Ernst &amp; Young LLP.</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stockholders ratified the appointment of Ernst &amp; Young LLP as the Company’s independent registered public accounting firm for the fiscal year ending December 31, 2018. The votes regarding this proposal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Votes For</w:t>
            </w:r>
          </w:p>
        </w:tc>
        <w:tc>
          <w:tcPr>
            <w:tcW w:w="2060" w:type="dxa"/>
            <w:vAlign w:val="bottom"/>
          </w:tcPr>
          <w:p>
            <w:pPr>
              <w:jc w:val="center"/>
              <w:ind w:left="379"/>
              <w:spacing w:after="0"/>
              <w:rPr>
                <w:sz w:val="20"/>
                <w:szCs w:val="20"/>
                <w:color w:val="auto"/>
              </w:rPr>
            </w:pPr>
            <w:r>
              <w:rPr>
                <w:rFonts w:ascii="Arial" w:cs="Arial" w:eastAsia="Arial" w:hAnsi="Arial"/>
                <w:sz w:val="14"/>
                <w:szCs w:val="14"/>
                <w:b w:val="1"/>
                <w:bCs w:val="1"/>
                <w:color w:val="auto"/>
                <w:w w:val="89"/>
              </w:rPr>
              <w:t>Votes Against</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Votes Abstaining</w:t>
            </w:r>
          </w:p>
        </w:tc>
        <w:tc>
          <w:tcPr>
            <w:tcW w:w="2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Broker Non-Votes</w:t>
            </w:r>
          </w:p>
        </w:tc>
        <w:tc>
          <w:tcPr>
            <w:tcW w:w="40" w:type="dxa"/>
            <w:vAlign w:val="bottom"/>
          </w:tcPr>
          <w:p>
            <w:pPr>
              <w:spacing w:after="0"/>
              <w:rPr>
                <w:sz w:val="14"/>
                <w:szCs w:val="14"/>
                <w:color w:val="auto"/>
              </w:rPr>
            </w:pPr>
          </w:p>
        </w:tc>
      </w:tr>
      <w:tr>
        <w:trPr>
          <w:trHeight w:val="210"/>
        </w:trPr>
        <w:tc>
          <w:tcPr>
            <w:tcW w:w="2920" w:type="dxa"/>
            <w:vAlign w:val="bottom"/>
            <w:tcBorders>
              <w:top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rPr>
              <w:t>21,284,957</w:t>
            </w:r>
          </w:p>
        </w:tc>
        <w:tc>
          <w:tcPr>
            <w:tcW w:w="3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rPr>
              <w:t>585,885</w:t>
            </w: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rPr>
              <w:t>17,207</w:t>
            </w:r>
          </w:p>
        </w:tc>
        <w:tc>
          <w:tcPr>
            <w:tcW w:w="30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ind w:right="1139"/>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9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4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AXSOME THERAPEUTICS,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700" w:val="left"/>
          <w:tab w:leader="none" w:pos="6180" w:val="left"/>
        </w:tabs>
        <w:rPr>
          <w:sz w:val="20"/>
          <w:szCs w:val="20"/>
          <w:color w:val="auto"/>
        </w:rPr>
      </w:pPr>
      <w:r>
        <w:rPr>
          <w:rFonts w:ascii="Arial" w:cs="Arial" w:eastAsia="Arial" w:hAnsi="Arial"/>
          <w:sz w:val="18"/>
          <w:szCs w:val="18"/>
          <w:color w:val="auto"/>
        </w:rPr>
        <w:t>Date: June 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Herriot Tabuteau, M.D.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2019-12-08T06:34:45Z</dcterms:created>
  <dcterms:modified xsi:type="dcterms:W3CDTF">2019-12-08T06:34:45Z</dcterms:modified>
</cp:coreProperties>
</file>