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42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25440"/>
                    </a:xfrm>
                    <a:prstGeom prst="rect">
                      <a:avLst/>
                    </a:prstGeom>
                    <a:noFill/>
                  </pic:spPr>
                </pic:pic>
              </a:graphicData>
            </a:graphic>
          </wp:anchor>
        </w:drawing>
      </w:r>
    </w:p>
    <w:p>
      <w:pPr>
        <w:spacing w:after="0" w:line="1178"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Maizel Ari</w:t>
              </w:r>
            </w:hyperlink>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3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02/21/2025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3" w:lineRule="exact"/>
        <w:rPr>
          <w:sz w:val="20"/>
          <w:szCs w:val="20"/>
          <w:color w:val="auto"/>
        </w:rPr>
      </w:pPr>
    </w:p>
    <w:p>
      <w:pPr>
        <w:sectPr>
          <w:pgSz w:w="11900" w:h="16838" w:orient="portrait"/>
          <w:cols w:equalWidth="0" w:num="2">
            <w:col w:w="7660" w:space="62"/>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372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spacing w:after="0"/>
              <w:rPr>
                <w:sz w:val="10"/>
                <w:szCs w:val="10"/>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10007</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gridSpan w:val="2"/>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137.75</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11"/>
                <w:szCs w:val="11"/>
                <w:color w:val="auto"/>
              </w:rPr>
            </w:pPr>
          </w:p>
        </w:tc>
        <w:tc>
          <w:tcPr>
            <w:tcW w:w="62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7,816</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w w:val="95"/>
              </w:rPr>
              <w:t>7,816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02/21/2025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7,740</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7,740</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7,740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w w:val="93"/>
              </w:rPr>
              <w:t>(4)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02/24/2025</w:t>
            </w:r>
          </w:p>
        </w:tc>
        <w:tc>
          <w:tcPr>
            <w:tcW w:w="126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7,740</w:t>
            </w:r>
          </w:p>
        </w:tc>
        <w:tc>
          <w:tcPr>
            <w:tcW w:w="30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7,740</w:t>
            </w:r>
          </w:p>
        </w:tc>
        <w:tc>
          <w:tcPr>
            <w:tcW w:w="40" w:type="dxa"/>
            <w:vAlign w:val="bottom"/>
          </w:tcPr>
          <w:p>
            <w:pPr>
              <w:spacing w:after="0"/>
              <w:rPr>
                <w:sz w:val="20"/>
                <w:szCs w:val="20"/>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7,740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-2789555</wp:posOffset>
            </wp:positionV>
            <wp:extent cx="29210" cy="279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946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21, 2029.</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21, 2029.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will vest upon achievement of certain financial, regulatory and developmental performance milestones, subject to the reporting person's continued service as of each vesting date.</w:t>
      </w:r>
    </w:p>
    <w:p>
      <w:pPr>
        <w:spacing w:after="0" w:line="5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/s/ Ari Maizel</w:t>
            </w:r>
          </w:p>
        </w:tc>
        <w:tc>
          <w:tcPr>
            <w:tcW w:w="1260" w:type="dxa"/>
            <w:vAlign w:val="bottom"/>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02/25/2025</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28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2025-02-25T19:07:23Z</dcterms:created>
  <dcterms:modified xsi:type="dcterms:W3CDTF">2025-02-25T19:07:23Z</dcterms:modified>
</cp:coreProperties>
</file>