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80" w:lineRule="exact"/>
        <w:rPr>
          <w:sz w:val="24"/>
          <w:szCs w:val="24"/>
          <w:color w:val="auto"/>
        </w:rPr>
      </w:pPr>
    </w:p>
    <w:p>
      <w:pPr>
        <w:ind w:left="1580" w:hanging="182"/>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41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For the quarterly period ended March 31, 2026</w:t>
      </w:r>
    </w:p>
    <w:p>
      <w:pPr>
        <w:spacing w:after="0" w:line="72"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2" w:lineRule="exact"/>
        <w:rPr>
          <w:rFonts w:ascii="MS PGothic" w:cs="MS PGothic" w:eastAsia="MS PGothic" w:hAnsi="MS PGothic"/>
          <w:sz w:val="16"/>
          <w:szCs w:val="16"/>
          <w:color w:val="auto"/>
          <w:highlight w:val="black"/>
        </w:rPr>
      </w:pPr>
    </w:p>
    <w:p>
      <w:pPr>
        <w:jc w:val="center"/>
        <w:ind w:left="3800" w:right="1400" w:hanging="2398"/>
        <w:spacing w:after="0" w:line="334" w:lineRule="auto"/>
        <w:tabs>
          <w:tab w:leader="none" w:pos="1592"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6" w:lineRule="exact"/>
        <w:rPr>
          <w:sz w:val="24"/>
          <w:szCs w:val="24"/>
          <w:color w:val="auto"/>
        </w:rPr>
      </w:pPr>
    </w:p>
    <w:tbl>
      <w:tblPr>
        <w:tblLayout w:type="fixed"/>
        <w:tblInd w:w="1100" w:type="dxa"/>
        <w:tblCellMar>
          <w:top w:w="0" w:type="dxa"/>
          <w:left w:w="0" w:type="dxa"/>
          <w:bottom w:w="0" w:type="dxa"/>
          <w:right w:w="0" w:type="dxa"/>
        </w:tblCellMar>
      </w:tblP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37"/>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520" w:type="dxa"/>
            <w:vAlign w:val="bottom"/>
          </w:tcPr>
          <w:p>
            <w:pPr>
              <w:spacing w:after="0"/>
              <w:rPr>
                <w:sz w:val="20"/>
                <w:szCs w:val="20"/>
                <w:color w:val="auto"/>
              </w:rPr>
            </w:pPr>
          </w:p>
        </w:tc>
      </w:tr>
      <w:tr>
        <w:trPr>
          <w:trHeight w:val="203"/>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29th Floor</w:t>
            </w:r>
          </w:p>
        </w:tc>
        <w:tc>
          <w:tcPr>
            <w:tcW w:w="3520" w:type="dxa"/>
            <w:vAlign w:val="bottom"/>
          </w:tcPr>
          <w:p>
            <w:pPr>
              <w:spacing w:after="0"/>
              <w:rPr>
                <w:sz w:val="17"/>
                <w:szCs w:val="17"/>
                <w:color w:val="auto"/>
              </w:rPr>
            </w:pPr>
          </w:p>
        </w:tc>
      </w:t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352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6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51,459,766 shares of the registrant’s common stock, $0.0001 par value, outstanding as of 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40" w:type="dxa"/>
            <w:vAlign w:val="bottom"/>
            <w:gridSpan w:val="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20" w:type="dxa"/>
            <w:vAlign w:val="bottom"/>
            <w:gridSpan w:val="14"/>
            <w:vMerge w:val="continue"/>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8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6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240" w:type="dxa"/>
            <w:vAlign w:val="bottom"/>
            <w:gridSpan w:val="4"/>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3040" w:type="dxa"/>
            <w:vAlign w:val="bottom"/>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220" w:type="dxa"/>
            <w:vAlign w:val="bottom"/>
            <w:gridSpan w:val="3"/>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20" w:type="dxa"/>
            <w:vAlign w:val="bottom"/>
            <w:tcBorders>
              <w:top w:val="single" w:sz="8" w:color="0000EE"/>
            </w:tcBorders>
            <w:gridSpan w:val="3"/>
          </w:tcPr>
          <w:p>
            <w:pPr>
              <w:spacing w:after="0"/>
              <w:rPr>
                <w:sz w:val="24"/>
                <w:szCs w:val="24"/>
                <w:color w:val="auto"/>
              </w:rPr>
            </w:pPr>
          </w:p>
        </w:tc>
        <w:tc>
          <w:tcPr>
            <w:tcW w:w="7540" w:type="dxa"/>
            <w:vAlign w:val="bottom"/>
            <w:gridSpan w:val="5"/>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8180" w:type="dxa"/>
            <w:vAlign w:val="bottom"/>
            <w:gridSpan w:val="9"/>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4140" w:type="dxa"/>
            <w:vAlign w:val="bottom"/>
            <w:gridSpan w:val="9"/>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40"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305,106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322,933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588,986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713,607</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689,805</w:t>
            </w:r>
          </w:p>
        </w:tc>
        <w:tc>
          <w:tcPr>
            <w:tcW w:w="100" w:type="dxa"/>
            <w:vAlign w:val="bottom"/>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4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106,702</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378,836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4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4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51,420,445 and</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50,882,766 shares issued and outstanding at March 31, 2026 and December 31, 2025, respectively)</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(1,370,503)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(1,305,961)</w:t>
            </w:r>
          </w:p>
        </w:tc>
      </w:tr>
      <w:tr>
        <w:trPr>
          <w:trHeight w:val="210"/>
        </w:trPr>
        <w:tc>
          <w:tcPr>
            <w:tcW w:w="20" w:type="dxa"/>
            <w:vAlign w:val="bottom"/>
          </w:tcPr>
          <w:p>
            <w:pPr>
              <w:spacing w:after="0"/>
              <w:rPr>
                <w:sz w:val="18"/>
                <w:szCs w:val="18"/>
                <w:color w:val="auto"/>
              </w:rPr>
            </w:pPr>
          </w:p>
        </w:tc>
        <w:tc>
          <w:tcPr>
            <w:tcW w:w="7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88,295</w:t>
            </w:r>
          </w:p>
        </w:tc>
        <w:tc>
          <w:tcPr>
            <w:tcW w:w="100" w:type="dxa"/>
            <w:vAlign w:val="bottom"/>
            <w:tcBorders>
              <w:top w:val="single" w:sz="8" w:color="CFF0F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713,607</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689,805</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-3102610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-3085465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-3102610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-3085465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-1422400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-316865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189,400</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120,358</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revenue and milestone revenue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121,463</w:t>
            </w:r>
          </w:p>
        </w:tc>
        <w:tc>
          <w:tcPr>
            <w:tcW w:w="100" w:type="dxa"/>
            <w:vAlign w:val="bottom"/>
          </w:tcPr>
          <w:p>
            <w:pPr>
              <w:spacing w:after="0"/>
              <w:rPr>
                <w:sz w:val="18"/>
                <w:szCs w:val="18"/>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8"/>
                <w:szCs w:val="18"/>
                <w:color w:val="auto"/>
              </w:rPr>
            </w:pPr>
          </w:p>
        </w:tc>
      </w:tr>
      <w:tr>
        <w:trPr>
          <w:trHeight w:val="21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(56,982)</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(2,431)</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(59,413)</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(64,542)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(59,413)</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90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7"/>
        </w:trPr>
        <w:tc>
          <w:tcPr>
            <w:tcW w:w="6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51,198,349</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48,871,163</w:t>
            </w:r>
          </w:p>
        </w:tc>
        <w:tc>
          <w:tcPr>
            <w:tcW w:w="100" w:type="dxa"/>
            <w:vAlign w:val="bottom"/>
            <w:tcBorders>
              <w:top w:val="single" w:sz="8" w:color="CFF0FC"/>
            </w:tcBorders>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-2185035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-779780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2100" w:type="dxa"/>
            <w:vAlign w:val="bottom"/>
            <w:gridSpan w:val="3"/>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Additional paid-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0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1080" w:type="dxa"/>
            <w:vAlign w:val="bottom"/>
            <w:tcBorders>
              <w:bottom w:val="single" w:sz="8" w:color="auto"/>
            </w:tcBorders>
          </w:tcPr>
          <w:p>
            <w:pPr>
              <w:jc w:val="right"/>
              <w:ind w:right="30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25"/>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65"/>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46"/>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December 31, 2024</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48,667,587</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1,179,797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(1,122,787)</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57,015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23,647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331,853</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17,035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60,835</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156,484</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19,257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19,257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(4,336)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(4,336)</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(59,413)</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(59,413)</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2025</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49,216,759</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1,235,400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(1,182,200)</w:t>
            </w:r>
          </w:p>
        </w:tc>
        <w:tc>
          <w:tcPr>
            <w:tcW w:w="1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53,205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Balance at December 31, 2025</w:t>
            </w:r>
          </w:p>
        </w:tc>
        <w:tc>
          <w:tcPr>
            <w:tcW w:w="10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50,882,766</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1,394,251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(1,305,961)</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88,295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23,906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23,906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412,310</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89,567</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35,802</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6,248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(9,301)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(9,301)</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(64,542)</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(64,542)</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2026</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51,420,445</w:t>
            </w:r>
          </w:p>
        </w:tc>
        <w:tc>
          <w:tcPr>
            <w:tcW w:w="1020" w:type="dxa"/>
            <w:vAlign w:val="bottom"/>
            <w:gridSpan w:val="2"/>
          </w:tcPr>
          <w:p>
            <w:pPr>
              <w:jc w:val="right"/>
              <w:ind w:right="637"/>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420" w:type="dxa"/>
            <w:vAlign w:val="bottom"/>
            <w:gridSpan w:val="2"/>
          </w:tcPr>
          <w:p>
            <w:pPr>
              <w:jc w:val="right"/>
              <w:ind w:right="57"/>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1,425,085</w:t>
            </w:r>
          </w:p>
        </w:tc>
        <w:tc>
          <w:tcPr>
            <w:tcW w:w="140" w:type="dxa"/>
            <w:vAlign w:val="bottom"/>
          </w:tcPr>
          <w:p>
            <w:pPr>
              <w:spacing w:after="0"/>
              <w:rPr>
                <w:sz w:val="13"/>
                <w:szCs w:val="13"/>
                <w:color w:val="auto"/>
              </w:rPr>
            </w:pPr>
          </w:p>
        </w:tc>
        <w:tc>
          <w:tcPr>
            <w:tcW w:w="2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(1,370,503)  $</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54,587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-993775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-993775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-993775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-993775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-136525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-136525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-136525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-136525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140" w:type="dxa"/>
            <w:vAlign w:val="bottom"/>
            <w:gridSpan w:val="2"/>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(64,542)</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(59,413)</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Loss in fair value of contingent consideration</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from lease modification</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(2,250)</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Non-cash lease expense</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amortization for finance lease</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(26,598)</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(19,396)</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w:t>
            </w:r>
          </w:p>
        </w:tc>
      </w:tr>
      <w:tr>
        <w:trPr>
          <w:trHeight w:val="203"/>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(9,872)</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(4,029)</w:t>
            </w: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(955)</w:t>
            </w:r>
          </w:p>
        </w:tc>
      </w:tr>
      <w:tr>
        <w:trPr>
          <w:trHeight w:val="203"/>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41,165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13,662</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FF0FC"/>
          </w:tcPr>
          <w:p>
            <w:pPr>
              <w:spacing w:after="0"/>
              <w:rPr>
                <w:sz w:val="17"/>
                <w:szCs w:val="17"/>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(20,700)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(43,375)</w:t>
            </w: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equipment</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(338)</w:t>
            </w: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(338)</w:t>
            </w:r>
          </w:p>
        </w:tc>
      </w:tr>
      <w:tr>
        <w:trPr>
          <w:trHeight w:val="196"/>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8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draw down of debt</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debt</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on principal portion of finance lease obligation</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(401)</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financing</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19,650</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common stock issuance costs</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(393)</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options</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17,035</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(3,262)</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(2,285)</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Payments of tax withholdings on stock awards</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(9,301)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(4,336)</w:t>
            </w:r>
          </w:p>
        </w:tc>
      </w:tr>
      <w:tr>
        <w:trPr>
          <w:trHeight w:val="19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(17,827)</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(14,443)</w:t>
            </w:r>
          </w:p>
        </w:tc>
      </w:tr>
      <w:tr>
        <w:trPr>
          <w:trHeight w:val="20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1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322,933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Cash at end of period</w:t>
            </w:r>
          </w:p>
        </w:tc>
        <w:tc>
          <w:tcPr>
            <w:tcW w:w="2140" w:type="dxa"/>
            <w:vAlign w:val="bottom"/>
            <w:gridSpan w:val="2"/>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305,106</w:t>
            </w:r>
          </w:p>
        </w:tc>
        <w:tc>
          <w:tcPr>
            <w:tcW w:w="160" w:type="dxa"/>
            <w:vAlign w:val="bottom"/>
          </w:tcPr>
          <w:p>
            <w:pPr>
              <w:spacing w:after="0"/>
              <w:rPr>
                <w:sz w:val="17"/>
                <w:szCs w:val="17"/>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300,910</w:t>
            </w:r>
          </w:p>
        </w:tc>
        <w:tc>
          <w:tcPr>
            <w:tcW w:w="10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140" w:type="dxa"/>
            <w:vAlign w:val="bottom"/>
            <w:gridSpan w:val="2"/>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60" w:type="dxa"/>
            <w:vAlign w:val="bottom"/>
          </w:tcPr>
          <w:p>
            <w:pPr>
              <w:spacing w:after="0"/>
              <w:rPr>
                <w:sz w:val="17"/>
                <w:szCs w:val="17"/>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right-of-use asset obtained in exchange for finance lease liability</w:t>
            </w: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 operating lease right-of-use asset due to lease modification</w:t>
            </w:r>
          </w:p>
        </w:tc>
        <w:tc>
          <w:tcPr>
            <w:tcW w:w="1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shd w:val="clear" w:color="auto" w:fill="CFF0FC"/>
          </w:tcPr>
          <w:p>
            <w:pPr>
              <w:spacing w:after="0"/>
              <w:rPr>
                <w:sz w:val="17"/>
                <w:szCs w:val="17"/>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Decrease in operating lease liability due to lease modification</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-3047365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-3047365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-2507615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-2507615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-1204595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-1204595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-938530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Axsome Therapeutics, Inc. (“Axsome” or the “Company”), based in New York, New York, is a biopharmaceutical company dedicated to the development and commercialization of innovative medicines to improve the brain health of individuals living with central nervous system (“CNS”) conditions. Axsome has a broad and diverse commercial portfolio of four U.S. Food and Drug Administration (“FDA”) approved treatments for major depressive disorder, agitation associated with dementia due to Alzheimer’s disease, excessive daytime sleepiness associated with narcolepsy or obstructive sleep apnea, and migraine. Additionally, Axsome is advancing a deep pipeline of numerous novel product candidates in early- to late-stage development targeting a range of serious, underserved conditions across psychiatry and neurology that collectively impact over 150 million people in the United States.</w:t>
      </w:r>
    </w:p>
    <w:p>
      <w:pPr>
        <w:spacing w:after="0" w:line="194" w:lineRule="exact"/>
        <w:rPr>
          <w:sz w:val="20"/>
          <w:szCs w:val="20"/>
          <w:color w:val="auto"/>
        </w:rPr>
      </w:pPr>
    </w:p>
    <w:p>
      <w:pPr>
        <w:ind w:right="100" w:firstLine="749"/>
        <w:spacing w:after="0" w:line="242" w:lineRule="auto"/>
        <w:rPr>
          <w:sz w:val="20"/>
          <w:szCs w:val="20"/>
          <w:color w:val="auto"/>
        </w:rPr>
      </w:pPr>
      <w:r>
        <w:rPr>
          <w:rFonts w:ascii="Times New Roman" w:cs="Times New Roman" w:eastAsia="Times New Roman" w:hAnsi="Times New Roman"/>
          <w:sz w:val="18"/>
          <w:szCs w:val="18"/>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novel, oral, dopamine and norepinephrine reuptake inhibitor (DNRI), trace amine-associated receptor 1 (TAAR1) agonist, and 5-HT1A agonist approved in the United States, the European Union, and Canada for the treatment of excessive daytime sleepiness in adult patients with obstructive sleep apnea or narcolepsy. SUNOSI was approved by the FDA in March 2019, by the European Commission in January 2020, and by Health Canada in May 2021. The Company acquired the U.S. rights to SUNOSI in May 2022 and, in November 2022, acquired worldwide ex-U.S. rights, excluding certain Asian markets. In February 2023, the Company announced a licensing transaction with Atnahs Pharma UK Limited (“Pharmanovia”) to market SUNOSI in Europe and certain countries in the Middle East / North Africa.</w:t>
      </w:r>
    </w:p>
    <w:p>
      <w:pPr>
        <w:spacing w:after="0" w:line="204" w:lineRule="exact"/>
        <w:rPr>
          <w:sz w:val="20"/>
          <w:szCs w:val="20"/>
          <w:color w:val="auto"/>
        </w:rPr>
      </w:pPr>
    </w:p>
    <w:p>
      <w:pPr>
        <w:jc w:val="both"/>
        <w:ind w:right="120" w:firstLine="749"/>
        <w:spacing w:after="0" w:line="237" w:lineRule="auto"/>
        <w:rPr>
          <w:sz w:val="20"/>
          <w:szCs w:val="20"/>
          <w:color w:val="auto"/>
        </w:rPr>
      </w:pPr>
      <w:r>
        <w:rPr>
          <w:rFonts w:ascii="Times New Roman" w:cs="Times New Roman" w:eastAsia="Times New Roman" w:hAnsi="Times New Roman"/>
          <w:sz w:val="18"/>
          <w:szCs w:val="18"/>
          <w:color w:val="auto"/>
        </w:rPr>
        <w:t>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(dextromethorphan-bupropion) was developed by the Company and approved by the FDA in August 2022 as the first and only oral, N-methyl-D-aspartate (NMDA) receptor antagonist for the treatment of major depressive disorder in adults. The Company initiated the commercial availability of AUVELITY in October 2022. In April 2026, the FDA approved AUVELITY for the treatment of agitation associated with dementia due to Alzheimer’s disease.</w:t>
      </w:r>
    </w:p>
    <w:p>
      <w:pPr>
        <w:spacing w:after="0" w:line="208" w:lineRule="exact"/>
        <w:rPr>
          <w:sz w:val="20"/>
          <w:szCs w:val="20"/>
          <w:color w:val="auto"/>
        </w:rPr>
      </w:pPr>
    </w:p>
    <w:p>
      <w:pPr>
        <w:ind w:right="100" w:firstLine="749"/>
        <w:spacing w:after="0" w:line="234" w:lineRule="auto"/>
        <w:rPr>
          <w:sz w:val="20"/>
          <w:szCs w:val="20"/>
          <w:color w:val="auto"/>
        </w:rPr>
      </w:pPr>
      <w:r>
        <w:rPr>
          <w:rFonts w:ascii="Times New Roman" w:cs="Times New Roman" w:eastAsia="Times New Roman" w:hAnsi="Times New Roman"/>
          <w:sz w:val="18"/>
          <w:szCs w:val="18"/>
          <w:color w:val="auto"/>
        </w:rPr>
        <w:t>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is a novel, oral, rapidly absorbed, multi-mechanistic, selective COX-2 inhibitor and 5-HT1B/1D agonist that was developed by the Company and approved by the FDA in January 2025 for the acute treatment of migraine with or without aura in adults. The Company initiated the commercial availability of SYMBRAVO in June 2025.</w:t>
      </w:r>
    </w:p>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November 2025, the Company acquired global rights to AXS-17, a novel oral GABAA receptor α2,3 subtype-selective positive allosteric modulator (PAM). The Company plans to evaluate AXS-17 as a potential treatment for epilepsy. In December 2025, the Company acquired global rights to deuterium-stabilized S-bupropion. In April 2026, the Company acquired AXS-20, a selective PDE10A inhibitor. The Company plans to initially develop AXS-20 in schizophrenia and Tourette syndrome.</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Company refers herein to AUVELITY, SUNOSI, SYMBRAVO (also referred to as “AXS-07”), AXS-12, AXS-14, AXS-17, AXS-20 and its programs to develop additional indications for AXS-05 and solriamfetol as the Company’s products.</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(“GAAP”) for interim information and pursuant to the rules and regulations of the Securities and Exchange Commission (the “SEC”) for reporting on Form 10-Q. Accordingly, certain information and footnote disclosures normally included in financial statements prepared in accordance with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2025 filed with the SEC on February 23, 2026.</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2026 are not necessarily indicative of the operating results for the full fiscal year or any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March 31, 2026, the Company had an accumulated deficit of $1,370.5 million.</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SUNOSI, and SYMBRAVO,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three commercial products, AUVELITY, SUNOSI, and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13.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SUNOSI, and SYMBRAVO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and commenced commercial sales in June 2025. See Note 13. Revenues for a further breakout of product sales,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 </w:t>
      </w:r>
      <w:r>
        <w:rPr>
          <w:rFonts w:ascii="Times New Roman" w:cs="Times New Roman" w:eastAsia="Times New Roman" w:hAnsi="Times New Roman"/>
          <w:sz w:val="18"/>
          <w:szCs w:val="18"/>
          <w:color w:val="auto"/>
        </w:rPr>
        <w:t>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spacing w:after="0" w:line="185"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right="460" w:firstLine="749"/>
        <w:spacing w:after="0" w:line="312" w:lineRule="auto"/>
        <w:rPr>
          <w:sz w:val="20"/>
          <w:szCs w:val="20"/>
          <w:color w:val="auto"/>
        </w:rPr>
      </w:pPr>
      <w:r>
        <w:rPr>
          <w:rFonts w:ascii="Times New Roman" w:cs="Times New Roman" w:eastAsia="Times New Roman" w:hAnsi="Times New Roman"/>
          <w:sz w:val="17"/>
          <w:szCs w:val="17"/>
          <w:color w:val="auto"/>
        </w:rPr>
        <w:t>The Company’s cost of revenue consists of cost of product sales. Cost of product sales primarily include direct costs (inclusive of material, shipping, handling, and manufacturing costs), overhead and product royalties. Cost of product sales excludes depreciation and amortization.</w:t>
      </w:r>
    </w:p>
    <w:p>
      <w:pPr>
        <w:spacing w:after="0" w:line="14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$162.5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19. Segment Information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 holdings in checking and overnight sweep accounts. The Company’s cash equivalents, which are money market funds held in a sweep account, are measured at fair value on a recurring basis. As of March 31, 2026, the balance of cash and cash equivalents was $305.1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March 31, 2026,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183"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w:t>
      </w:r>
      <w:r>
        <w:rPr>
          <w:rFonts w:ascii="Times New Roman" w:cs="Times New Roman" w:eastAsia="Times New Roman" w:hAnsi="Times New Roman"/>
          <w:sz w:val="18"/>
          <w:szCs w:val="18"/>
          <w:color w:val="auto"/>
        </w:rPr>
        <w:t>- 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of SUNOSI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March 31, 2026, the Company has determined that it has one reporting unit. The Company has not identified any events or changes in circumstances that indicate the existence of potential impairment of goodwill during the three months ended March 31, 2026. The balance of goodwill was $12.0 million at both March 31, 2026 and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three months ended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Acquisitions that do not qualify as a business combination are accounted for as an acquisition of an asset. The cost of the acquisition is allocated to the assets acquired and liabilities assumed. At acquisition, in process research and development projects with no alternative future use are recorded as research and development expense. Direct and incremental transaction costs are included in the cost of the acquisition. Contingent consideration obligations relating to development, regulatory and commercial milestones are not recognized at the acquisition date and instead are recorded when it is probable they will occur and can be reasonably estimated.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short-term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spacing w:after="0" w:line="18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contingent warrant liability using the Black-Scholes model based on key assumptions and inputs. The Company utilized a probability assessment to estimate the likelihood of vesting for the remaining Hercules Loan Agreement (as defined below) warrants and allocated the probability of occurrence percentage to the fair values calculated, and, therefore, was considered Level 3 within the fair value hierarchy. The Company accounted for warrants anticipated to be issued in the future under the Hercules Loan Agreement as liabilities and measured them at fair value using the Black-Scholes valuation model. In the second quarter of 2025, the Company derecognized the fair value of contingent warrant liability upon extinguishment of the Hercules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As of March 31, 2026, the Company did not have an allowance for doubtful accounts balance and did not experience any significant credit losses. For further information about accounts receivable, see Note 3. Accounts Receivable,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 Costs that are directly attributable to the issuance of revolving credit facilities are capitalized and ratably amortized over the term of the revolving credit facility.</w:t>
      </w:r>
    </w:p>
    <w:p>
      <w:pPr>
        <w:spacing w:after="0" w:line="178"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In addition, research and development costs also include costs related to asset acquisitions involving clinical development programs that have not yet received regulatory approval.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three months ended March 31, 2026 and 2025, advertising costs were $59.4 million and $27.7 million,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2026 and has not recorded an income tax benefit for the three months ended March 31, 2026 since it is projecting losses and has incurred year to date losses in all significant jurisdictions from which the Company does not benefit due to the full valuation allowance position against the Company’s deferred tax assets.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2026,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60"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spacing w:after="0" w:line="200"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in the form of Company common stock. The fair market value of these awards is based on the market closing price per share on the grant date and for certain awards that are subject to a post-vesting holding period, an illiquidity discount is also applied.</w:t>
      </w:r>
    </w:p>
    <w:p>
      <w:pPr>
        <w:spacing w:after="0" w:line="176" w:lineRule="exact"/>
        <w:rPr>
          <w:sz w:val="20"/>
          <w:szCs w:val="20"/>
          <w:color w:val="auto"/>
        </w:rPr>
      </w:pPr>
    </w:p>
    <w:p>
      <w:pPr>
        <w:jc w:val="both"/>
        <w:ind w:right="60" w:firstLine="749"/>
        <w:spacing w:after="0" w:line="272" w:lineRule="auto"/>
        <w:rPr>
          <w:sz w:val="20"/>
          <w:szCs w:val="20"/>
          <w:color w:val="auto"/>
        </w:rPr>
      </w:pPr>
      <w:r>
        <w:rPr>
          <w:rFonts w:ascii="Times New Roman" w:cs="Times New Roman" w:eastAsia="Times New Roman" w:hAnsi="Times New Roman"/>
          <w:sz w:val="17"/>
          <w:szCs w:val="17"/>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w:t>
      </w:r>
    </w:p>
    <w:p>
      <w:pPr>
        <w:spacing w:after="0" w:line="2"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Stock-based compensation expense for PSUs with cliff-vesting terms is recognized on a straight-line basis. At the end of each reporting period, the Company reassesses the probability of achieving the performance condition and adjusts the stock-based compensation expense accordingly.</w:t>
      </w:r>
    </w:p>
    <w:p>
      <w:pPr>
        <w:spacing w:after="0" w:line="18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expense related to the stock-based compensation is recorded within the same financial statement line item as the grantee’s cash compensation. The Company’s policy upon exercise of stock options, vesting of RSUs and PSUs is that the Company will issue shares as new shares drawing on the Company’s 2025 Long-Term Incentive Plan share pool that the Board adopted in April 2025 and the stockholders approved in June 2025. In addition, the Company accounts for equity award forfeitures as they occur.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PSUs,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months ended March 31, 2026 and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1"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Leases are accounted for under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xml:space="preserve"> (“ASC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spacing w:after="0" w:line="18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273,186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(22,210)</w:t>
            </w:r>
          </w:p>
        </w:tc>
      </w:tr>
      <w:tr>
        <w:trPr>
          <w:trHeight w:val="20"/>
        </w:trPr>
        <w:tc>
          <w:tcPr>
            <w:tcW w:w="7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251,062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224,464</w:t>
            </w:r>
          </w:p>
        </w:tc>
        <w:tc>
          <w:tcPr>
            <w:tcW w:w="100" w:type="dxa"/>
            <w:vAlign w:val="bottom"/>
            <w:shd w:val="clear" w:color="auto" w:fill="CFF0FC"/>
          </w:tcPr>
          <w:p>
            <w:pPr>
              <w:spacing w:after="0"/>
              <w:rPr>
                <w:sz w:val="21"/>
                <w:szCs w:val="21"/>
                <w:color w:val="auto"/>
              </w:rPr>
            </w:pPr>
          </w:p>
        </w:tc>
      </w:tr>
      <w:tr>
        <w:trPr>
          <w:trHeight w:val="655"/>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March 31, 2026. Non-current inventory, which consists of raw materials and work in process inventory, is included in non-current inventory and other assets on the accompanying consolidated balance sheets. Non-current inventory is estimated to be consumed beyond the next 12 months.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3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3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3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5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jc w:val="center"/>
              <w:ind w:right="353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260" w:type="dxa"/>
            <w:vAlign w:val="bottom"/>
          </w:tcPr>
          <w:p>
            <w:pPr>
              <w:spacing w:after="0"/>
              <w:rPr>
                <w:sz w:val="18"/>
                <w:szCs w:val="18"/>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7-years</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26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6-years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March 31, 2026, and assuming the underlying asset will not be impaired and that the Company will not change the expected life of the asset, future amortization expense over the next five years and periods thereafter are estimated to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73"/>
        </w:trPr>
        <w:tc>
          <w:tcPr>
            <w:tcW w:w="9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tcPr>
          <w:p>
            <w:pPr>
              <w:spacing w:after="0"/>
              <w:rPr>
                <w:sz w:val="18"/>
                <w:szCs w:val="18"/>
                <w:color w:val="auto"/>
              </w:rPr>
            </w:pP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$11.2 million and non-current contingent consideration liability of $73.7 million in the consolidated balance sheet as of March 31, 2026.</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184,171</w:t>
            </w: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184,171</w:t>
            </w:r>
          </w:p>
        </w:tc>
        <w:tc>
          <w:tcPr>
            <w:tcW w:w="12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84,880</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84,880</w:t>
            </w:r>
          </w:p>
        </w:tc>
        <w:tc>
          <w:tcPr>
            <w:tcW w:w="120" w:type="dxa"/>
            <w:vAlign w:val="bottom"/>
          </w:tcPr>
          <w:p>
            <w:pPr>
              <w:spacing w:after="0"/>
              <w:rPr>
                <w:sz w:val="20"/>
                <w:szCs w:val="20"/>
                <w:color w:val="auto"/>
              </w:rPr>
            </w:pPr>
          </w:p>
        </w:tc>
      </w:tr>
      <w:tr>
        <w:trPr>
          <w:trHeight w:val="616"/>
        </w:trPr>
        <w:tc>
          <w:tcPr>
            <w:tcW w:w="4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173,111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173,111</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87,552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87,552</w:t>
            </w:r>
          </w:p>
        </w:tc>
      </w:tr>
      <w:tr>
        <w:trPr>
          <w:trHeight w:val="846"/>
        </w:trPr>
        <w:tc>
          <w:tcPr>
            <w:tcW w:w="458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liabilities is marked-to-market at each reporting period and was remeasured at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March 31, 2026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0" w:type="dxa"/>
            <w:vAlign w:val="bottom"/>
          </w:tcPr>
          <w:p>
            <w:pPr>
              <w:spacing w:after="0"/>
              <w:rPr>
                <w:sz w:val="15"/>
                <w:szCs w:val="15"/>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87,552</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fair value</w:t>
            </w:r>
          </w:p>
        </w:tc>
        <w:tc>
          <w:tcPr>
            <w:tcW w:w="12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(3,262)</w:t>
            </w:r>
          </w:p>
        </w:tc>
      </w:tr>
      <w:tr>
        <w:trPr>
          <w:trHeight w:val="228"/>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 (Level 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84,880</w:t>
            </w:r>
          </w:p>
        </w:tc>
        <w:tc>
          <w:tcPr>
            <w:tcW w:w="12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vMerge w:val="restart"/>
          </w:tcPr>
          <w:p>
            <w:pPr>
              <w:spacing w:after="0"/>
              <w:rPr>
                <w:sz w:val="10"/>
                <w:szCs w:val="10"/>
                <w:color w:val="auto"/>
              </w:rPr>
            </w:pPr>
          </w:p>
        </w:tc>
        <w:tc>
          <w:tcPr>
            <w:tcW w:w="2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120" w:type="dxa"/>
            <w:vAlign w:val="bottom"/>
          </w:tcPr>
          <w:p>
            <w:pPr>
              <w:spacing w:after="0"/>
              <w:rPr>
                <w:sz w:val="10"/>
                <w:szCs w:val="10"/>
                <w:color w:val="auto"/>
              </w:rPr>
            </w:pPr>
          </w:p>
        </w:tc>
        <w:tc>
          <w:tcPr>
            <w:tcW w:w="2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1"/>
        </w:trPr>
        <w:tc>
          <w:tcPr>
            <w:tcW w:w="1600" w:type="dxa"/>
            <w:vAlign w:val="bottom"/>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auto"/>
              </w:rPr>
              <w:t>Contingent</w:t>
            </w:r>
          </w:p>
        </w:tc>
        <w:tc>
          <w:tcPr>
            <w:tcW w:w="23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rPr>
              <w:t>Discount rate</w:t>
            </w:r>
          </w:p>
        </w:tc>
        <w:tc>
          <w:tcPr>
            <w:tcW w:w="2320" w:type="dxa"/>
            <w:vAlign w:val="bottom"/>
            <w:shd w:val="clear" w:color="auto" w:fill="CFF0FC"/>
          </w:tcPr>
          <w:p>
            <w:pPr>
              <w:jc w:val="right"/>
              <w:ind w:right="842"/>
              <w:spacing w:after="0" w:line="191" w:lineRule="exact"/>
              <w:rPr>
                <w:sz w:val="20"/>
                <w:szCs w:val="20"/>
                <w:color w:val="auto"/>
              </w:rPr>
            </w:pPr>
            <w:r>
              <w:rPr>
                <w:rFonts w:ascii="Times New Roman" w:cs="Times New Roman" w:eastAsia="Times New Roman" w:hAnsi="Times New Roman"/>
                <w:sz w:val="18"/>
                <w:szCs w:val="18"/>
                <w:color w:val="auto"/>
              </w:rPr>
              <w:t>15.5%</w:t>
            </w:r>
          </w:p>
        </w:tc>
        <w:tc>
          <w:tcPr>
            <w:tcW w:w="2460" w:type="dxa"/>
            <w:vAlign w:val="bottom"/>
            <w:gridSpan w:val="2"/>
            <w:shd w:val="clear" w:color="auto" w:fill="CFF0FC"/>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4"/>
        </w:trPr>
        <w:tc>
          <w:tcPr>
            <w:tcW w:w="1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32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rPr>
              <w:t>17.3% - 20.3%</w:t>
            </w:r>
          </w:p>
        </w:tc>
        <w:tc>
          <w:tcPr>
            <w:tcW w:w="24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17.2% - 20.2%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judgment and estimation of factors which requires use of unobservable inputs.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10,174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8,654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36,938</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3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27,713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26,423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170,237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150,247</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12,248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3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3,193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2,545</w:t>
            </w:r>
          </w:p>
        </w:tc>
      </w:tr>
      <w:tr>
        <w:trPr>
          <w:trHeight w:val="25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250,731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232,853</w:t>
            </w:r>
          </w:p>
        </w:tc>
      </w:tr>
      <w:tr>
        <w:trPr>
          <w:trHeight w:val="844"/>
        </w:trPr>
        <w:tc>
          <w:tcPr>
            <w:tcW w:w="454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-1070610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Blackstone Alternative Credit Advisors LP and Blackstone Life Sciences Advisors L.L.C.</w:t>
      </w:r>
    </w:p>
    <w:p>
      <w:pPr>
        <w:spacing w:after="0" w:line="227"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8, capitalized terms used but not otherwise defined herein shall have the meanings assigned to them in the Blackstone Loan Agreement (as defined below).</w:t>
      </w:r>
    </w:p>
    <w:p>
      <w:pPr>
        <w:spacing w:after="0" w:line="16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the Company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The Blackstone Loan Agreement provides for loans in an aggregate principal amount of up to $570.0 million, consisting of (i) a first lien senior secured term loan in an aggregate principal amount of $120.0 million funded to the Company on the Closing Date, (ii) a $180.0 million senior secured term loan available to the Company at its option, of which $90.0 million is available until May 31, 2026, and the remaining $90.0 million is available until May 31, 2027 (the “Term Loans”), and (iii) a super senior revolving credit facility in an aggregate principal amount of up to $70.0 million available at the Company’s option (the “Revolver” and, together with the Term Loans, the “Loans”). The Blackstone Loan Agreement also permits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the Company’s obligations under the Hercules Loan Agreement (as defined below). As of March 31, 2026, there were $120.0 million and $70.0 million of outstanding principal amounts under the Term Loans and Revolver facilities, respectively. The outstanding balance under the Revolver was classified as short-term based on the Company’s intent and ability to repay this amount in the next twelve months, and included in short-term borrowings on the accompanying consolidated balance sheets. In April 2026, the Company repaid the entire outstanding balance as of March 31, 2026 under the Revolver.</w:t>
      </w:r>
    </w:p>
    <w:p>
      <w:pPr>
        <w:spacing w:after="0" w:line="19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Term Loans bear interest at a rate equal to the Term SOFR (“Secured Overnight Financing Rate”) plus a margin of 4.75%. The effective interest rate on the Term Loans was 9.58% for the three months ended March 31, 2026. The Revolver bears interest at SOFR plus a margin of 4.00%. If an Event of Default occurs and is continuing, all amounts outstanding under the Blackstone Loan Agreement will bear an additional 2.00% interest. The weighted-average interest rate on the Revolver was 7.70% and 7.67% as of March 31, 2026 and December 31, 2025, respectively. The Loans mature and the principal amount (including any interest and fees) must be repaid on the date that is five years from the Closing Date. Fees and costs that were directly attributable to the Revolver have been capitalized as deferred assets and will be ratably expensed over the life of the Revolver. Deferred assets are included in non-current inventory and other assets on the accompanying consolidated balance sheets. As of March 31, 2026, the remaining unamortized balance of deferred assets was $0.9 million.</w:t>
      </w:r>
    </w:p>
    <w:p>
      <w:pPr>
        <w:spacing w:after="0" w:line="19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Loans are subject to mandatory prepayment provisions that may require prepayment upon a change of control, the incurrence of certain additional indebtedness, certain asset sales, or an event of loss, subject to certain conditions set forth in the Blackstone Loan Agreement. The Company may prepay the Loans in whole at its option at any time, subject to certain yield protection premiums. The obligations under the Blackstone Loan Agreement are guaranteed by the Company’s subsidiaries party thereto as guarantors and are secured by a first lien security interest in certain assets of the Company and the guarantors.</w:t>
      </w:r>
    </w:p>
    <w:p>
      <w:pPr>
        <w:spacing w:after="0" w:line="18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Blackstone Loan Agreement contains customary representations and warranties, affirmative and negative covenants, and events of default applicable to the Company and the guarantors. The Blackstone Loan Agreement also contains a minimum liquidity covenant of $30.0 million, tested quarterly. If an event of default occurs and is continuing, the Lenders may declare all amounts outstanding under the Blackstone Loan Agreement to be immediately due and payable.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Blackstone Loan Agreement, Blackstone purchased $15.0 million of the Company’s common stock at a purchase price of $107.14 per share in a private placement transaction. The purchase agreement for the private placement contains customary representations, warranties, and covenants, and includes a lock-up period that generally prohibits, without the prior written consent of the Company, the sale, transfer, pledge, or other disposition of the securities through the period ending 120 days from the Closing Date.</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us, Antecip and Hercules Capital, Inc. (“Hercules”) that had been entered into in connection with the Hercules Loan Agreement, which terminated automatically upon repayment of the Hercules loan obligations in full on May 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September 2020, the Company entered into a Loan and Security Agreement for a term loan with Hercules, a Maryland corporation, in its capacity as administrative agent and collateral agent, and as a lender, and the other financial institutions that from time to time act as lenders (the “Hercules Loan Agreement”, as amended).</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Borrowings under the Hercules Loan Agreement bore interest at a rate equal to: (a) if the prime rate was greater than or equal to 7.00%, the greater of either (i) the prime rate plus 2.20%, and (ii) 9.95%, but in no event greater than 10.70%, and (b) if the prime rate was less than 7.00%, 9.70%. In addition, the Company was required to pay certain end of term charges, including (A) an initial end of term charge of $4.45 million and (B) a subsequent end of term charge of (i) 1.10% of the aggregate amount of all Tranche 1A Advances (as defined in the Hercules Loan Agreement) plus (ii) 4.95% of the aggregate amount of all term loan advances (other than Tranche 1A Advances) funded minus (iii) any charges paid by the Borrower (as defined in the Hercules Loan Agreement) to Hercules related to partial prepayments of the outstanding Secured Obligations (as defined in the Hercules Loan Agreement). The end of term charges were accreted into interest expense using the effective interest rate method over the term of the loan. If certain maturity extension conditions were satisfied, the Company was required to pay an extension end of term charge equal to 1.00% of the aggregate amount of all Term Loan Advances (as defined in the Hercules Loan Agreement) outstanding as of the date on which the maturity extension conditions were satisfied, in addition to the end of term charges described above. The Company could, at its option, prepay the term loans in full or in part, subject to a prepayment penalty equal to</w:t>
      </w:r>
    </w:p>
    <w:p>
      <w:pPr>
        <w:spacing w:after="0" w:line="5" w:lineRule="exact"/>
        <w:rPr>
          <w:sz w:val="20"/>
          <w:szCs w:val="20"/>
          <w:color w:val="auto"/>
        </w:rPr>
      </w:pPr>
    </w:p>
    <w:p>
      <w:pPr>
        <w:ind w:firstLine="8"/>
        <w:spacing w:after="0" w:line="255"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Advance (as defined in the Hercules Loan Agreement) amount prepaid if the prepayment occurred prior to February 1, 2024, (ii) 1.5% of the Advance amount prepaid if the prepayment occurred on or after February 1, 2024 but prior to February 1, 2025, and (iii) 1.0% of the Advance amount prepaid if the prepayment occurred on or after February 1, 2025 but prior to February 1, 2026.</w:t>
      </w:r>
    </w:p>
    <w:p>
      <w:pPr>
        <w:spacing w:after="0" w:line="18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Debt issuance costs and the value of warrants issued in connection with the Hercules Loan Agreement were recorded as a debt discount and amortized to interest expense using the effective interest method over the expected term of the borrowing.</w:t>
      </w:r>
    </w:p>
    <w:p>
      <w:pPr>
        <w:spacing w:after="0" w:line="162"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On May 8, 2025, the Company repaid in full its obligations under the Hercules Loan Agreement using proceeds from the Blackstone Loan Agreement. Upon repayment, the Company recorded a loss on debt extinguishment of $10.4 million in the Company’s consolidated statement of operations. As of March 31, 2026, there are no outstanding obligations under the Hercules Loan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debt, long-term</w:t>
            </w:r>
          </w:p>
        </w:tc>
        <w:tc>
          <w:tcPr>
            <w:tcW w:w="3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3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117,850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117,746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3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4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and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76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1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8"/>
                <w:szCs w:val="18"/>
                <w:color w:val="auto"/>
              </w:rPr>
            </w:pPr>
          </w:p>
        </w:tc>
      </w:tr>
      <w:tr>
        <w:trPr>
          <w:trHeight w:val="432"/>
        </w:trPr>
        <w:tc>
          <w:tcPr>
            <w:tcW w:w="87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long-term, as of March 31, 2026, are as follows: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120,000</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15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120,000</w:t>
            </w:r>
          </w:p>
        </w:tc>
        <w:tc>
          <w:tcPr>
            <w:tcW w:w="100" w:type="dxa"/>
            <w:vAlign w:val="bottom"/>
            <w:tcBorders>
              <w:bottom w:val="single" w:sz="8" w:color="auto"/>
            </w:tcBorders>
            <w:shd w:val="clear" w:color="auto" w:fill="CFF0FC"/>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2023, the Company entered into a sublease agreement (the “Sublease”) for the previous office space located at One World Trade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w:t>
      </w:r>
    </w:p>
    <w:p>
      <w:pPr>
        <w:spacing w:after="0" w:line="2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Sublease which resulted in the recognition of a gain on modification of $2.3 million which is included in selling, general and administrative expenses. The Company also recorded a right-of-use asset and corresponding lease liability of $23.9 million during the first quarter of fiscal year 2025. Based on the Company’s past experience and current expectations for administrative office needs, the Company determined the lease term to be approximately six years. As of March 31, 2026, the remaining lease term for the Company’s operating lease was 5.0 years with the discount rate of 7.12%.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three months ended March 31, 2026, the Company recognized a right-of-use asset and lease liability, both, of $3.4 million in connection to this lease. As of March 31, 2026, right-of-use asset and lease liability related to the finance lease were $8.9 million and $9.0 million, respectively, and the weighted average remaining lease term was 2.9 years, with a weighted average discount rate of 9.40%.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18"/>
                <w:szCs w:val="18"/>
                <w:color w:val="auto"/>
              </w:rPr>
            </w:pPr>
          </w:p>
        </w:tc>
      </w:tr>
      <w:tr>
        <w:trPr>
          <w:trHeight w:val="234"/>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r>
      <w:tr>
        <w:trPr>
          <w:trHeight w:val="41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Future minimum lease payments of the Company’s leases as of March 31, 2026 were as follows: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28,207</w:t>
            </w: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(1,218)</w:t>
            </w:r>
          </w:p>
        </w:tc>
      </w:tr>
      <w:tr>
        <w:trPr>
          <w:trHeight w:val="249"/>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be involved in various claims, litigation and legal proceedings from time to time. On a quarterly basis, the Company reviews the status of each significant matter and assesses its potential financial exposure. Because of uncertainties related to claims, litigation and legal proceedings, accruals are based on the Company’s best estimates based on available information. The Company records accruals for outstanding legal matters if a matter is both probable to result in material liability and the amount of loss or a range of possible loss can be reasonably estimated. If a loss contingency is not both probable and reasonably estimable, the Company does not establish an accrued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May 13, 2022, Evy Gru filed a putative class action complaint captioned </w:t>
      </w:r>
      <w:r>
        <w:rPr>
          <w:rFonts w:ascii="Times New Roman" w:cs="Times New Roman" w:eastAsia="Times New Roman" w:hAnsi="Times New Roman"/>
          <w:sz w:val="18"/>
          <w:szCs w:val="18"/>
          <w:i w:val="1"/>
          <w:iCs w:val="1"/>
          <w:color w:val="auto"/>
        </w:rPr>
        <w:t>Gru v. Axsome Therapeutics, Inc., et al.</w:t>
      </w:r>
      <w:r>
        <w:rPr>
          <w:rFonts w:ascii="Times New Roman" w:cs="Times New Roman" w:eastAsia="Times New Roman" w:hAnsi="Times New Roman"/>
          <w:sz w:val="18"/>
          <w:szCs w:val="18"/>
          <w:color w:val="auto"/>
        </w:rPr>
        <w:t xml:space="preserve"> in the U.S. District Court for the Southern District of New York, or the SDNY District Court, against the Company and certain of its current and former officers and one director, which the Company refers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New Drug Application (“NDA”) with the FDA, with respect to one of its then product candidates, AXS-07, now SYMBRAVO.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October 13, 2023, plaintiffs’ counsel filed a letter seeking leave to file an amended complaint and to substitute new plaintiffs. On January 22, 2024, the SDNY District Court granted that motion and ordered that the case name be changed to </w:t>
      </w:r>
      <w:r>
        <w:rPr>
          <w:rFonts w:ascii="Times New Roman" w:cs="Times New Roman" w:eastAsia="Times New Roman" w:hAnsi="Times New Roman"/>
          <w:sz w:val="18"/>
          <w:szCs w:val="18"/>
          <w:i w:val="1"/>
          <w:iCs w:val="1"/>
          <w:color w:val="auto"/>
        </w:rPr>
        <w:t>In re Axsome Therapeutics, Inc. Securities Litigation</w:t>
      </w:r>
      <w:r>
        <w:rPr>
          <w:rFonts w:ascii="Times New Roman" w:cs="Times New Roman" w:eastAsia="Times New Roman" w:hAnsi="Times New Roman"/>
          <w:sz w:val="18"/>
          <w:szCs w:val="18"/>
          <w:color w:val="auto"/>
        </w:rPr>
        <w:t>.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 On March 31, 2025, the SDNY District Court entered an order granting in part and denying in part defendants’ motions to dismiss, dismissing plaintiffs’ claims against three of Axsome’s current and former officers and allowing the claims against the Company and two current officers to proceed. On October 27, 2025, the SDNY District Court preliminarily approved the terms of a settlement resolving the Securities Class Action. On February 10, 2026, the SDNY District Court conducted a hearing on plaintiffs’ motion for final approval of the settlement. On February 26, 2026, the SDNY District Court issued a Final Order and Judgment approving the settlement and dismissing the Securities Class Action with prejudice.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Derivative Action</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July 21, 2022, Daniel Engel filed a stockholder derivative complaint captioned </w:t>
      </w:r>
      <w:r>
        <w:rPr>
          <w:rFonts w:ascii="Times New Roman" w:cs="Times New Roman" w:eastAsia="Times New Roman" w:hAnsi="Times New Roman"/>
          <w:sz w:val="18"/>
          <w:szCs w:val="18"/>
          <w:i w:val="1"/>
          <w:iCs w:val="1"/>
          <w:color w:val="auto"/>
        </w:rPr>
        <w:t>Engel v. Herriot Tabuteau, et al.</w:t>
      </w:r>
      <w:r>
        <w:rPr>
          <w:rFonts w:ascii="Times New Roman" w:cs="Times New Roman" w:eastAsia="Times New Roman" w:hAnsi="Times New Roman"/>
          <w:sz w:val="18"/>
          <w:szCs w:val="18"/>
          <w:color w:val="auto"/>
        </w:rPr>
        <w:t xml:space="preserve"> in the SDNY District Court against the Company’s then-current directors, certain of the Company’s current and former officers, and the Company (as nominal defendant). On January 27, 2023, Kyle Guterba filed a stockholder derivative complaint captioned </w:t>
      </w:r>
      <w:r>
        <w:rPr>
          <w:rFonts w:ascii="Times New Roman" w:cs="Times New Roman" w:eastAsia="Times New Roman" w:hAnsi="Times New Roman"/>
          <w:sz w:val="18"/>
          <w:szCs w:val="18"/>
          <w:i w:val="1"/>
          <w:iCs w:val="1"/>
          <w:color w:val="auto"/>
        </w:rPr>
        <w:t>Guterba v. Tabuteau, et al.</w:t>
      </w:r>
      <w:r>
        <w:rPr>
          <w:rFonts w:ascii="Times New Roman" w:cs="Times New Roman" w:eastAsia="Times New Roman" w:hAnsi="Times New Roman"/>
          <w:sz w:val="18"/>
          <w:szCs w:val="18"/>
          <w:color w:val="auto"/>
        </w:rPr>
        <w:t xml:space="preserve"> in the SDNY District Court against the Company’s then-current directors, certain of the Company’s current and former officers, and the Company (as nominal defendant). The SDNY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were stayed pending further proceedings in the Securities Class Action. On November 25, 2025, the plaintiffs filed an amended complaint. On February 13, 2026, the defendants moved to dismiss the amended complaint. The motion to dismiss is fully briefed and the parties await the Court’s decision.</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On September 23, 2025, John Wickstrom filed a stockholder derivative complaint captioned </w:t>
      </w:r>
      <w:r>
        <w:rPr>
          <w:rFonts w:ascii="Times New Roman" w:cs="Times New Roman" w:eastAsia="Times New Roman" w:hAnsi="Times New Roman"/>
          <w:sz w:val="18"/>
          <w:szCs w:val="18"/>
          <w:i w:val="1"/>
          <w:iCs w:val="1"/>
          <w:color w:val="auto"/>
        </w:rPr>
        <w:t>Wickstrom v. Herriot Tabuteau, et al.</w:t>
      </w:r>
      <w:r>
        <w:rPr>
          <w:rFonts w:ascii="Times New Roman" w:cs="Times New Roman" w:eastAsia="Times New Roman" w:hAnsi="Times New Roman"/>
          <w:sz w:val="18"/>
          <w:szCs w:val="18"/>
          <w:color w:val="auto"/>
        </w:rPr>
        <w:t xml:space="preserve"> in the Court of Chancery of the State of Delaware against the Company’s current directors, certain of the Company’s current and former officers, and the Company (as nominal defendant). On September 29, 2025, John Gildea filed a stockholder derivative complaint captioned </w:t>
      </w:r>
      <w:r>
        <w:rPr>
          <w:rFonts w:ascii="Times New Roman" w:cs="Times New Roman" w:eastAsia="Times New Roman" w:hAnsi="Times New Roman"/>
          <w:sz w:val="18"/>
          <w:szCs w:val="18"/>
          <w:i w:val="1"/>
          <w:iCs w:val="1"/>
          <w:color w:val="auto"/>
        </w:rPr>
        <w:t>Gildea v. Herriot Tabuteau, et al.</w:t>
      </w:r>
      <w:r>
        <w:rPr>
          <w:rFonts w:ascii="Times New Roman" w:cs="Times New Roman" w:eastAsia="Times New Roman" w:hAnsi="Times New Roman"/>
          <w:sz w:val="18"/>
          <w:szCs w:val="18"/>
          <w:color w:val="auto"/>
        </w:rPr>
        <w:t xml:space="preserve"> in the Court of Chancery of the State of Delaware against the Company’s current directors, certain of the Company’s current and former officers, and the Company (as nominal defendant). The Delaware derivative complaints arise out of similar allegations as those made in the Securities Class Action and the SDNY derivative action. The plaintiffs assert claims for breach of fiduciary duties, unjust enrichment, and corporate waste against all of the defendants. The plaintiffs seek unspecified damages, fees, interest, and costs, as well as corporate governance changes. On November 6, 2025, the court consolidated the actions and designated the complaint in the Wickstrom action as the operative complaint. On February 2, 2026, the defendants moved to dismiss the complaint. The motion to dismiss is fully briefed. Oral argument on the motion to dismiss is scheduled for May 29, 2026.</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September 13, 2023, the Company commenced a patent infringement action against Hikma Pharmaceuticals USA, Inc. (“Hikma”) and five other drug companies relating to each defendant’s Abbreviated New Drug Application (“ANDA”) for SUNOSI. This action is captioned </w:t>
      </w:r>
      <w:r>
        <w:rPr>
          <w:rFonts w:ascii="Times New Roman" w:cs="Times New Roman" w:eastAsia="Times New Roman" w:hAnsi="Times New Roman"/>
          <w:sz w:val="18"/>
          <w:szCs w:val="18"/>
          <w:i w:val="1"/>
          <w:iCs w:val="1"/>
          <w:color w:val="auto"/>
        </w:rPr>
        <w:t>Axsome Malta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Ltd. &amp; Axsome Therapeutics, Inc. v. Alkem Laboratories Ltd., et al</w:t>
      </w:r>
      <w:r>
        <w:rPr>
          <w:rFonts w:ascii="Times New Roman" w:cs="Times New Roman" w:eastAsia="Times New Roman" w:hAnsi="Times New Roman"/>
          <w:sz w:val="18"/>
          <w:szCs w:val="18"/>
          <w:color w:val="auto"/>
        </w:rPr>
        <w:t>. No. 2:23-cv-20354 in the U.S. District Court for the District of New Jersey, or the NJ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District Court. The Company commenced 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January 29, 2025, May 1, 2025, August 15, 2025, November 12, 2025, November 14, 2025, and February 18, 2026. Those actions are captioned </w:t>
      </w:r>
      <w:r>
        <w:rPr>
          <w:rFonts w:ascii="Times New Roman" w:cs="Times New Roman" w:eastAsia="Times New Roman" w:hAnsi="Times New Roman"/>
          <w:sz w:val="18"/>
          <w:szCs w:val="18"/>
          <w:i w:val="1"/>
          <w:iCs w:val="1"/>
          <w:color w:val="auto"/>
        </w:rPr>
        <w:t>Axsome Malta Ltd. &amp; Axsome Therapeutics, Inc. v. Unichem Laboratories Ltd</w:t>
      </w:r>
      <w:r>
        <w:rPr>
          <w:rFonts w:ascii="Times New Roman" w:cs="Times New Roman" w:eastAsia="Times New Roman" w:hAnsi="Times New Roman"/>
          <w:sz w:val="18"/>
          <w:szCs w:val="18"/>
          <w:color w:val="auto"/>
        </w:rPr>
        <w:t xml:space="preserve">. No. 2:23-cv-23255; </w:t>
      </w:r>
      <w:r>
        <w:rPr>
          <w:rFonts w:ascii="Times New Roman" w:cs="Times New Roman" w:eastAsia="Times New Roman" w:hAnsi="Times New Roman"/>
          <w:sz w:val="18"/>
          <w:szCs w:val="18"/>
          <w:i w:val="1"/>
          <w:iCs w:val="1"/>
          <w:color w:val="auto"/>
        </w:rPr>
        <w:t>Axsome Malta Ltd. &amp; Axsome Therapeutics, Inc. v. Hetero USA, Inc. et al</w:t>
      </w:r>
      <w:r>
        <w:rPr>
          <w:rFonts w:ascii="Times New Roman" w:cs="Times New Roman" w:eastAsia="Times New Roman" w:hAnsi="Times New Roman"/>
          <w:sz w:val="18"/>
          <w:szCs w:val="18"/>
          <w:color w:val="auto"/>
        </w:rPr>
        <w:t xml:space="preserve">. No. 2:24-cv-00196;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Aurobindo Pharma USA, Inc. et al</w:t>
      </w:r>
      <w:r>
        <w:rPr>
          <w:rFonts w:ascii="Times New Roman" w:cs="Times New Roman" w:eastAsia="Times New Roman" w:hAnsi="Times New Roman"/>
          <w:sz w:val="18"/>
          <w:szCs w:val="18"/>
          <w:color w:val="auto"/>
        </w:rPr>
        <w:t>. No. 2:24-cv-00309;</w:t>
      </w:r>
      <w:r>
        <w:rPr>
          <w:rFonts w:ascii="Times New Roman" w:cs="Times New Roman" w:eastAsia="Times New Roman" w:hAnsi="Times New Roman"/>
          <w:sz w:val="18"/>
          <w:szCs w:val="18"/>
          <w:i w:val="1"/>
          <w:iCs w:val="1"/>
          <w:color w:val="auto"/>
        </w:rPr>
        <w:t xml:space="preserve"> Axsome Malta Ltd. &amp; Axsome Therapeutics, Inc. v. Sandoz, Inc</w:t>
      </w:r>
      <w:r>
        <w:rPr>
          <w:rFonts w:ascii="Times New Roman" w:cs="Times New Roman" w:eastAsia="Times New Roman" w:hAnsi="Times New Roman"/>
          <w:sz w:val="18"/>
          <w:szCs w:val="18"/>
          <w:color w:val="auto"/>
        </w:rPr>
        <w:t xml:space="preserve">. No. 2:24-cv-00860; </w:t>
      </w:r>
      <w:r>
        <w:rPr>
          <w:rFonts w:ascii="Times New Roman" w:cs="Times New Roman" w:eastAsia="Times New Roman" w:hAnsi="Times New Roman"/>
          <w:sz w:val="18"/>
          <w:szCs w:val="18"/>
          <w:i w:val="1"/>
          <w:iCs w:val="1"/>
          <w:color w:val="auto"/>
        </w:rPr>
        <w:t>Axsome Malta Ltd. &amp; Axsome Therapeutics, Inc. v. Hetero USA, Inc. et al</w:t>
      </w:r>
      <w:r>
        <w:rPr>
          <w:rFonts w:ascii="Times New Roman" w:cs="Times New Roman" w:eastAsia="Times New Roman" w:hAnsi="Times New Roman"/>
          <w:sz w:val="18"/>
          <w:szCs w:val="18"/>
          <w:color w:val="auto"/>
        </w:rPr>
        <w:t xml:space="preserve">. No. 2:24-cv-03999; </w:t>
      </w:r>
      <w:r>
        <w:rPr>
          <w:rFonts w:ascii="Times New Roman" w:cs="Times New Roman" w:eastAsia="Times New Roman" w:hAnsi="Times New Roman"/>
          <w:sz w:val="18"/>
          <w:szCs w:val="18"/>
          <w:i w:val="1"/>
          <w:iCs w:val="1"/>
          <w:color w:val="auto"/>
        </w:rPr>
        <w:t>Axsome Malta Ltd. &amp; Axsome Therapeutics,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Aurobindo Pharma USA, Inc. et al</w:t>
      </w:r>
      <w:r>
        <w:rPr>
          <w:rFonts w:ascii="Times New Roman" w:cs="Times New Roman" w:eastAsia="Times New Roman" w:hAnsi="Times New Roman"/>
          <w:sz w:val="18"/>
          <w:szCs w:val="18"/>
          <w:color w:val="auto"/>
        </w:rPr>
        <w:t>. No. 2:24-cv-04002;</w:t>
      </w:r>
      <w:r>
        <w:rPr>
          <w:rFonts w:ascii="Times New Roman" w:cs="Times New Roman" w:eastAsia="Times New Roman" w:hAnsi="Times New Roman"/>
          <w:sz w:val="18"/>
          <w:szCs w:val="18"/>
          <w:i w:val="1"/>
          <w:iCs w:val="1"/>
          <w:color w:val="auto"/>
        </w:rPr>
        <w:t xml:space="preserve"> Axsome Malta Ltd. &amp; Axsome Therapeutics, Inc. v. Alkem Laboratories Ltd., et al</w:t>
      </w:r>
      <w:r>
        <w:rPr>
          <w:rFonts w:ascii="Times New Roman" w:cs="Times New Roman" w:eastAsia="Times New Roman" w:hAnsi="Times New Roman"/>
          <w:sz w:val="18"/>
          <w:szCs w:val="18"/>
          <w:color w:val="auto"/>
        </w:rPr>
        <w:t xml:space="preserve">. No. 2:24-cv-04608;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2-24-cv-07511;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Therapeutics, Inc. v. Alkem Laboratories Ltd. </w:t>
      </w:r>
      <w:r>
        <w:rPr>
          <w:rFonts w:ascii="Times New Roman" w:cs="Times New Roman" w:eastAsia="Times New Roman" w:hAnsi="Times New Roman"/>
          <w:sz w:val="18"/>
          <w:szCs w:val="18"/>
          <w:color w:val="auto"/>
        </w:rPr>
        <w:t>No. 2-24-cv-08365;</w:t>
      </w:r>
      <w:r>
        <w:rPr>
          <w:rFonts w:ascii="Times New Roman" w:cs="Times New Roman" w:eastAsia="Times New Roman" w:hAnsi="Times New Roman"/>
          <w:sz w:val="18"/>
          <w:szCs w:val="18"/>
          <w:i w:val="1"/>
          <w:iCs w:val="1"/>
          <w:color w:val="auto"/>
        </w:rPr>
        <w:t xml:space="preserve"> Axsome Malta Ltd. &amp; Axsome Therapeutics, Inc. v. Aurobindo Pharma USA, Inc. et al. </w:t>
      </w:r>
      <w:r>
        <w:rPr>
          <w:rFonts w:ascii="Times New Roman" w:cs="Times New Roman" w:eastAsia="Times New Roman" w:hAnsi="Times New Roman"/>
          <w:sz w:val="18"/>
          <w:szCs w:val="18"/>
          <w:color w:val="auto"/>
        </w:rPr>
        <w:t xml:space="preserve">No. 2-24-cv-08624;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2-24-cv-09209;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Therapeutics, Inc. v. Alkem Laboratories Ltd. </w:t>
      </w:r>
      <w:r>
        <w:rPr>
          <w:rFonts w:ascii="Times New Roman" w:cs="Times New Roman" w:eastAsia="Times New Roman" w:hAnsi="Times New Roman"/>
          <w:sz w:val="18"/>
          <w:szCs w:val="18"/>
          <w:color w:val="auto"/>
        </w:rPr>
        <w:t>No. 2-24-cv-10617;</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xml:space="preserve">. No. 2:24-cv-10618;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2:24-cv-10619;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Hikma Pharmaceuticals USA Inc</w:t>
      </w:r>
      <w:r>
        <w:rPr>
          <w:rFonts w:ascii="Times New Roman" w:cs="Times New Roman" w:eastAsia="Times New Roman" w:hAnsi="Times New Roman"/>
          <w:sz w:val="18"/>
          <w:szCs w:val="18"/>
          <w:color w:val="auto"/>
        </w:rPr>
        <w:t>. No. 2:24-cv-10620;</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2:25-cv-00643;</w:t>
      </w:r>
      <w:r>
        <w:rPr>
          <w:rFonts w:ascii="Times New Roman" w:cs="Times New Roman" w:eastAsia="Times New Roman" w:hAnsi="Times New Roman"/>
          <w:sz w:val="18"/>
          <w:szCs w:val="18"/>
          <w:i w:val="1"/>
          <w:iCs w:val="1"/>
          <w:color w:val="auto"/>
        </w:rPr>
        <w:t xml:space="preserve"> Axsome Malta Ltd. et al v. Hetero USA Inc. et al</w:t>
      </w:r>
      <w:r>
        <w:rPr>
          <w:rFonts w:ascii="Times New Roman" w:cs="Times New Roman" w:eastAsia="Times New Roman" w:hAnsi="Times New Roman"/>
          <w:sz w:val="18"/>
          <w:szCs w:val="18"/>
          <w:color w:val="auto"/>
        </w:rPr>
        <w:t>. No. 2-25-cv-00801;</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2-25-cv-03721;</w:t>
      </w:r>
      <w:r>
        <w:rPr>
          <w:rFonts w:ascii="Times New Roman" w:cs="Times New Roman" w:eastAsia="Times New Roman" w:hAnsi="Times New Roman"/>
          <w:sz w:val="18"/>
          <w:szCs w:val="18"/>
          <w:i w:val="1"/>
          <w:iCs w:val="1"/>
          <w:color w:val="auto"/>
        </w:rPr>
        <w:t xml:space="preserve"> Axsome Malta Ltd. et al v. Alkem Laboratories Ltd</w:t>
      </w:r>
      <w:r>
        <w:rPr>
          <w:rFonts w:ascii="Times New Roman" w:cs="Times New Roman" w:eastAsia="Times New Roman" w:hAnsi="Times New Roman"/>
          <w:sz w:val="18"/>
          <w:szCs w:val="18"/>
          <w:color w:val="auto"/>
        </w:rPr>
        <w:t>. No. 2-25-cv-14694;</w:t>
      </w:r>
      <w:r>
        <w:rPr>
          <w:rFonts w:ascii="Times New Roman" w:cs="Times New Roman" w:eastAsia="Times New Roman" w:hAnsi="Times New Roman"/>
          <w:sz w:val="18"/>
          <w:szCs w:val="18"/>
          <w:i w:val="1"/>
          <w:iCs w:val="1"/>
          <w:color w:val="auto"/>
        </w:rPr>
        <w:t xml:space="preserve"> Axsome Malta Ltd. et al v. Alkem Laboratories Ltd</w:t>
      </w:r>
      <w:r>
        <w:rPr>
          <w:rFonts w:ascii="Times New Roman" w:cs="Times New Roman" w:eastAsia="Times New Roman" w:hAnsi="Times New Roman"/>
          <w:sz w:val="18"/>
          <w:szCs w:val="18"/>
          <w:color w:val="auto"/>
        </w:rPr>
        <w:t>. No. 2-25-cv-17395;</w:t>
      </w:r>
      <w:r>
        <w:rPr>
          <w:rFonts w:ascii="Times New Roman" w:cs="Times New Roman" w:eastAsia="Times New Roman" w:hAnsi="Times New Roman"/>
          <w:sz w:val="18"/>
          <w:szCs w:val="18"/>
          <w:i w:val="1"/>
          <w:iCs w:val="1"/>
          <w:color w:val="auto"/>
        </w:rPr>
        <w:t xml:space="preserve"> Axsome Malta Ltd. et al. v. Aurobindo Pharma USA, Inc. et al</w:t>
      </w:r>
      <w:r>
        <w:rPr>
          <w:rFonts w:ascii="Times New Roman" w:cs="Times New Roman" w:eastAsia="Times New Roman" w:hAnsi="Times New Roman"/>
          <w:sz w:val="18"/>
          <w:szCs w:val="18"/>
          <w:color w:val="auto"/>
        </w:rPr>
        <w:t>. 2-25-cv-17592; and</w:t>
      </w:r>
      <w:r>
        <w:rPr>
          <w:rFonts w:ascii="Times New Roman" w:cs="Times New Roman" w:eastAsia="Times New Roman" w:hAnsi="Times New Roman"/>
          <w:sz w:val="18"/>
          <w:szCs w:val="18"/>
          <w:i w:val="1"/>
          <w:iCs w:val="1"/>
          <w:color w:val="auto"/>
        </w:rPr>
        <w:t xml:space="preserve"> Axsome Malta Ltd. et al v. Aurobindo Pharma USA, Inc. et al</w:t>
      </w:r>
      <w:r>
        <w:rPr>
          <w:rFonts w:ascii="Times New Roman" w:cs="Times New Roman" w:eastAsia="Times New Roman" w:hAnsi="Times New Roman"/>
          <w:sz w:val="18"/>
          <w:szCs w:val="18"/>
          <w:color w:val="auto"/>
        </w:rPr>
        <w:t>. 2-26-cv-01580, respectively, all of which were filed in the NJ District Court.</w:t>
      </w:r>
    </w:p>
    <w:p>
      <w:pPr>
        <w:spacing w:after="0" w:line="188"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June 4, 2024, Axsome and Axsome Malta Ltd. (the “Malta Subsidiary”) entered into a settlement agreement with Unichem Laboratories Ltd. (“Unichem”) under which agreement Unichem agreed not to launch its generic solriamfetol product until June 30, 2042, or earlier under certain circumstances. On August 21, 2024, Axsome and the Malta Subsidiary reached an agreement to dismiss the actions pending against Sandoz Inc. On September 25, 2024, Hikma filed a petition for Inter Partes Review of U.S. Patent No. 11,560,354 before the United States Patent and Trademark Office’s Patent Trial and Appeal Board. That petition was captioned </w:t>
      </w:r>
      <w:r>
        <w:rPr>
          <w:rFonts w:ascii="Times New Roman" w:cs="Times New Roman" w:eastAsia="Times New Roman" w:hAnsi="Times New Roman"/>
          <w:sz w:val="18"/>
          <w:szCs w:val="18"/>
          <w:i w:val="1"/>
          <w:iCs w:val="1"/>
          <w:color w:val="auto"/>
        </w:rPr>
        <w:t>Hikma Pharmaceuticals USA Inc. f/k/a West-Ward Pharmaceuticals Corp. v. Axsome Malta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Ltd</w:t>
      </w:r>
      <w:r>
        <w:rPr>
          <w:rFonts w:ascii="Times New Roman" w:cs="Times New Roman" w:eastAsia="Times New Roman" w:hAnsi="Times New Roman"/>
          <w:sz w:val="18"/>
          <w:szCs w:val="18"/>
          <w:color w:val="auto"/>
        </w:rPr>
        <w:t>. IPR2024-01418. On March 2, 2025, Axsome and the Malta Subsidiary entered into a settlement agreement with Hikma under which agreement Hikma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not to launch its generic solriamfetol product until September 1, 2040, if pediatric exclusivity is granted for SUNOSI, or on or after March 1, 2040, if no pediatric exclusivity is granted, or earlier under certain circumstances. On March 6, 2025 the Malta Subsidiary and Hikma jointly requested that the PTAB dismiss IPR2024-01418. That request was granted on March 12, 2025. On May 21, 2025, Axsome and the Malta Subsidiary entered into a settlement with Hetero USA, Inc., Hetero Labs Limited Unit-V, and Hetero Labs Ltd. (collectively, “Hetero”) under which agreement Hetero agreed not to launch its generic solriamfetol product until September 1, 2040, if pediatric exclusivity is granted for SUNOSI, or on or after March 1, 2040, if no pediatric exclusivity is granted, or earlier under certain circumstances. On February 13, 2026, Axsome and the Malta Subsidiary entered into a settlement with Alkem Laboratories Ltd. (“Alkem”) under which agreement Alkem agreed not to launch its generic solriamfetol product until September 1, 2040, if pediatric exclusivity is granted for SUNOSI, or on or after March 1, 2040, if no pediatric exclusivity is granted, or earlier under certain circumstances. All other actions remain pending and are in fact discovery.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SYMBRAVO Paragraph IV Litigation</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On September 26, 2025, the Company commenced a patent infringement action against Apotex Inc. relating to Apotex’s ANDA for SYMBRAVO. This action is captioned </w:t>
      </w:r>
      <w:r>
        <w:rPr>
          <w:rFonts w:ascii="Times New Roman" w:cs="Times New Roman" w:eastAsia="Times New Roman" w:hAnsi="Times New Roman"/>
          <w:sz w:val="18"/>
          <w:szCs w:val="18"/>
          <w:i w:val="1"/>
          <w:iCs w:val="1"/>
          <w:color w:val="auto"/>
        </w:rPr>
        <w:t>Axsome Therapeutics, Inc. v. Apotex, Inc.,</w:t>
      </w:r>
      <w:r>
        <w:rPr>
          <w:rFonts w:ascii="Times New Roman" w:cs="Times New Roman" w:eastAsia="Times New Roman" w:hAnsi="Times New Roman"/>
          <w:sz w:val="18"/>
          <w:szCs w:val="18"/>
          <w:color w:val="auto"/>
        </w:rPr>
        <w:t xml:space="preserve"> No. 1:25-cv-16038 in the NJ District Court. On March 10, 2026, Apotex filed a motion for judgment on the pleadings to dismiss certain of the asserted patents. On April 22, 2026, the Company filed its opposition to Apotex’s motion for judgment on the pleadings. The motion is not yet fully briefed. The Court has not yet set a schedule for the action.</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believes that its assertions in pending legal proceedings have merit and does not believe that any of these matters, individually or in the aggregate, will have a material adverse effect on its financial position. As of March 31, 2026, there were no potential material losses from claims, asserted or unasserted, or legal proceedings that the Company determined were both probable and reasonably estimable.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Partners LLC (“Leerink”) and filed a prospectus supplement. The March 2022 Sales Agreement supersedes the sales agreement, dated December 5, 2019, by and between the Company and Leerink. The Company exhausted sales of shares of our common stock under our sales agreement, dated December 5, 2019.</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March 31, 2026, the Company received approximately $6.3 million in gross proceeds through the sale of 35,802 shares, of which net proceeds were approximately $6.2 million. For the three months ended March 31, 2025, the Company received approximately $19.7 million in gross proceeds through the sale of 156,484 shares, of which net proceeds were approximately $19.3 million under the March 2022 Sales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Blackstone Securities Purchase Agreement</w:t>
      </w:r>
    </w:p>
    <w:p>
      <w:pPr>
        <w:spacing w:after="0" w:line="22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securities purchase agreement with Blackstone, and its affiliates, for the private placement (the “Private Placement”) of an aggregate of 140,000 shares of the Company’s common stock, at a purchase price of $107.14 per share. Gross proceeds from the Private Placement were approximately $15.0 million. The closing of the Private Placement occurred contemporaneously with the closing of the Blackstone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November 3, 2025, the Company filed an automatic shelf registration statement (File No. 333-291228) (the “2025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2025 Shelf Registration Statement allows for the potential future offer and sale by the Company, from time to time, in one or more public offerings of an unlimited amount of the Company’s common stock, preferred stock, debt securities, and units at indeterminate prices. At the time any of the securities covered by the 2025 Shelf Registration Statement are offered for sale, a prospectus supplement will be prepared and filed with the SEC containing specific information about the terms of any such offering.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October 2015, the Board adopted the 2015 Omnibus Incentive Compensation Plan, as amended from time to time (the “2015 Plan”) and the Company’s stockholders approved the 2015 Plan in November 2015. In April 2025, the Board adopted the Company’s 2025 Long-Term Incentive Plan (“2025 Plan”) and the Company’s stockholders approved the 2025 Plan in June 2025. The Company will make all future equity awards from the 2025 Plan and the Company does not intend to grant any future equity awards from the 2015 Plan. As of March 31, 2026, there were 2,073,939 shares available for future grant under the 2025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3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7,034,278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6,615,393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53.29</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765,631</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30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6,615,393</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53.29</w:t>
            </w:r>
          </w:p>
        </w:tc>
        <w:tc>
          <w:tcPr>
            <w:tcW w:w="140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765,631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300" w:type="dxa"/>
            <w:vAlign w:val="bottom"/>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5,215,483</w:t>
            </w: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44.76</w:t>
            </w:r>
          </w:p>
        </w:tc>
        <w:tc>
          <w:tcPr>
            <w:tcW w:w="140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648,076</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-350520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-334010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-350520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-334010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-350520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-334010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option exercise history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there was $82.8 million of total unrecognized compensation cost related to unvested stock options which is expected to be recognized over a weighted average period of 1.8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fair value of the RSUs is recognized as an expense ratably over the vesting period of four years. As of March 31, 2026, total compensation cost not yet recognized related to nonvested RSUs was $153.8 million, which is expected to be recognized over a weighted-average period of 3.1 years. The intrinsic value of RSUs lapsed during the three months ended March 31, 2026 was $24.8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1,012,809</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(286,136)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1,307,801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February 2025, the Company granted PSUs to the executive officers. Vesting of the PSUs is subject to achievement of specified performance goals, which include achieving revenue, clinical, and regulatory targets.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March 31, 2026, total compensation cost not yet recognized related to nonvested PSUs was $3.9 million, which is expected to be recognized over a weighted-average period of 2.0 years.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PSU activity for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second offering period pursuant to the ESPP on June 1, 2024, and such offering ended on May 31, 2025.</w:t>
      </w:r>
    </w:p>
    <w:p>
      <w:pPr>
        <w:spacing w:after="0" w:line="180"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shares of common stock have been purchased or issued pursuant to the ESPP, and $0.6 million of expense was recorded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Stock-based compensation expense recognized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96"/>
        </w:trPr>
        <w:tc>
          <w:tcPr>
            <w:tcW w:w="40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7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6,903</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6,459</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16,535</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16,849</w:t>
            </w:r>
          </w:p>
        </w:tc>
      </w:tr>
      <w:tr>
        <w:trPr>
          <w:trHeight w:val="24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23,438</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23,308</w:t>
            </w:r>
          </w:p>
        </w:tc>
      </w:tr>
      <w:tr>
        <w:trPr>
          <w:trHeight w:val="844"/>
        </w:trPr>
        <w:tc>
          <w:tcPr>
            <w:tcW w:w="4020" w:type="dxa"/>
            <w:vAlign w:val="bottom"/>
            <w:tcBorders>
              <w:top w:val="single" w:sz="8" w:color="CFF0FC"/>
            </w:tcBorders>
          </w:tcPr>
          <w:p>
            <w:pPr>
              <w:spacing w:after="0"/>
              <w:rPr>
                <w:sz w:val="24"/>
                <w:szCs w:val="24"/>
                <w:color w:val="auto"/>
              </w:rPr>
            </w:pPr>
          </w:p>
        </w:tc>
        <w:tc>
          <w:tcPr>
            <w:tcW w:w="372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-1071245</wp:posOffset>
            </wp:positionV>
            <wp:extent cx="111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$0.5 million and $0.3 million for the three months ended March 31, 2026 and 2025, respectively. Capitalized stock-based compensation is recognized as an expense in cost of product sales when the related product is sold or in selling, general and administrative expense when the related product is dispensed as a physician sample.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Third Amendment to the Hercules Loan Agreement, which the Company entered into in January 2023,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Upon full repayment of the Company’s obligations under the Hercules Loan Agreement, no additional warrants are issuable under the Hercules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(59,413)</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25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51,198,349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48,871,163</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2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5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2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1111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2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72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6,615,393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8,289,857</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1,944,137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993,202</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64,281</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64,281</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79,220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73,068</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61,717</w:t>
            </w: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8,776,099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9,488,277</w:t>
            </w: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sells AUVELITY, SUNOSI, and SYMBRAVO in the United States through the Distributors. The Company also sells SUNOSI to Distributors in Canada and on a product supply basis to Pharmanovia. SUNOSI is subsequently sold by Pharmanovia in certain ex-U.S. markets. For the three months ended March 31, 2026, the Company’s three largest customers represented approximately 39%, 28%, and 24% of the Company’s gross product sales.</w:t>
      </w:r>
    </w:p>
    <w:p>
      <w:pPr>
        <w:spacing w:after="0" w:line="180"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Royalty revenue is related to the sales of SUNOSI by Pharmanovia in certain ex-U.S. markets and milestone revenue of $0.5 million is related to an achievement of a regulatory milestone for AUVELITY.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5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AUVELITY</w:t>
            </w:r>
          </w:p>
        </w:tc>
        <w:tc>
          <w:tcPr>
            <w:tcW w:w="14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152,696</w:t>
            </w:r>
          </w:p>
        </w:tc>
        <w:tc>
          <w:tcPr>
            <w:tcW w:w="1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SUNOSI</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SYMBRAVO</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5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189,400</w:t>
            </w:r>
          </w:p>
        </w:tc>
        <w:tc>
          <w:tcPr>
            <w:tcW w:w="2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120,358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AUVELITY milestone revenue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SUNOSI royalty revenue</w:t>
            </w:r>
          </w:p>
        </w:tc>
        <w:tc>
          <w:tcPr>
            <w:tcW w:w="5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191,203</w:t>
            </w:r>
          </w:p>
        </w:tc>
        <w:tc>
          <w:tcPr>
            <w:tcW w:w="1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5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188,872</w:t>
            </w:r>
          </w:p>
        </w:tc>
        <w:tc>
          <w:tcPr>
            <w:tcW w:w="1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5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189,400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120,358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and milestone revenue</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5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191,203</w:t>
            </w:r>
          </w:p>
        </w:tc>
        <w:tc>
          <w:tcPr>
            <w:tcW w:w="1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-3042285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-1773555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product sales, net includes adjustments for provisions for product sales made in previous fiscal years resulting from changes in estimates of $1.2 million for AUVELITY, $2.4 million for SUNOSI, and $0.1 million for SYMBRAVO. For the three months ended March 31, 2025, product sales, net includes adjustments for provisions for product sales made in previous fiscal years resulting from changes in estimates of $1.1 million for AUVELITY and $0.9 million for SUNOSI.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 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7"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spacing w:after="0" w:line="176" w:lineRule="exact"/>
        <w:rPr>
          <w:sz w:val="20"/>
          <w:szCs w:val="20"/>
          <w:color w:val="auto"/>
        </w:rPr>
      </w:pPr>
    </w:p>
    <w:p>
      <w:pPr>
        <w:ind w:right="10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$1.3 million and $1.1 million for the three months ended March 31, 2026 and 2025, respectively, related to Pharmanovia’s sales of SUNOSI. No other development or sales-based milestones were recognized during the three months ended March 31, 2026 and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United States for the treatment of fibromyalgia.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months ended March 31, 2026 and 2025, no milestone payments or royalties were paid to Pfizer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three months ended March 31, 2026 and 2025, the Company recorded royalty expense of $4.6 million and $2.9 million, respectively, for royalties due to Antecip, which is equal to 3.0% of net sales of AUVELITY. This is considered to be a related party transaction.</w:t>
      </w:r>
    </w:p>
    <w:p>
      <w:pPr>
        <w:spacing w:after="0" w:line="19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the Company, Antecip and Hercules that had been entered into in connection with the Hercules Loan Agreement, which terminated automatically upon repayment of the Hercules loan obligations in full on May 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Acquisitions</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spacing w:after="0" w:line="180"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an acquisition of an asset, as substantially all the fair value of the assets acquired were concentrated in balipodect. The Company recorded a charge of $10.4 million in research and development expense, inclusive of the upfront payment and direct transaction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Royalty Agreements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$162.5 million based on revenue milestones and $1.0 million based on development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Company’s loss before income taxes and effective tax rates for all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4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(64,542)</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(59,413)</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did not record a tax expense or benefit for the three months ended March 31, 2026 and 2025.</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Company did not have any unrecognized tax benefits as of March 31, 2026 related to uncertain tax positions that would impact the effective income tax rate if recognized.</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2026, the Internal Revenue Service completed its examination of the Company’s U.S. federal income tax returns for the 2021 tax year. The IRS made adjustments to the Company’s R&amp;D and Orphan Drug tax credit carryforwards, however these adjustments did not have a material impact on the Company’s consolidated financial statements because the tax credits were fully offset by the valuation allowance.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of $4.6 million and $2.9 million for the three months ended March 31, 2026 and 2025, respectively, which equal 3.0% of net sales for those respective periods.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decision-making process reflects the way in which the financial information is regularly reviewed and used by the CODM to evaluate performance, set operational targets, forecast future financial results, and allocate resources.</w:t>
      </w:r>
    </w:p>
    <w:p>
      <w:pPr>
        <w:spacing w:after="0" w:line="183"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0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191,203</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121,463</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 (excluding stock-based compensation expense):</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Solriamfetol</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AXS-05</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AXS-07</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AXS-12</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AXS-14</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(a)</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 (excluding stock-based compensation expense)</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 (excluding stock-based compensation expense)</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146,437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92,288</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4"/>
                <w:szCs w:val="24"/>
                <w:color w:val="auto"/>
                <w:vertAlign w:val="superscript"/>
              </w:rPr>
              <w:t>(b)</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(c)</w:t>
            </w: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70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(64,542)</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(59,413)</w:t>
            </w:r>
          </w:p>
        </w:tc>
      </w:tr>
      <w:tr>
        <w:trPr>
          <w:trHeight w:val="209"/>
        </w:trPr>
        <w:tc>
          <w:tcPr>
            <w:tcW w:w="698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loss</w:t>
            </w:r>
          </w:p>
        </w:tc>
        <w:tc>
          <w:tcPr>
            <w:tcW w:w="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7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(64,542)</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(59,413)</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-590550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research and development expenses primarily consist of facilities charges, third party consultant costs, costs related to other product candidates, costs related to asset acquisitions, and other unallocated costs.</w:t>
      </w:r>
    </w:p>
    <w:p>
      <w:pPr>
        <w:spacing w:after="0" w:line="11" w:lineRule="exact"/>
        <w:rPr>
          <w:rFonts w:ascii="Times New Roman" w:cs="Times New Roman" w:eastAsia="Times New Roman" w:hAnsi="Times New Roman"/>
          <w:sz w:val="12"/>
          <w:szCs w:val="12"/>
          <w:color w:val="auto"/>
        </w:rPr>
      </w:pPr>
    </w:p>
    <w:p>
      <w:pPr>
        <w:ind w:left="300" w:right="100" w:hanging="292"/>
        <w:spacing w:after="0" w:line="216" w:lineRule="auto"/>
        <w:tabs>
          <w:tab w:leader="none" w:pos="3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net of $1,185 for the three months ended March 31, 2026 comprises (i) consolidated interest expense of $3,092 and (ii) consolidated interest income of $1,907. Interest expense, net of $2,431 for the three months ended March 31, 2025 comprises (i) consolidated interest expense of $5,258 and (ii) consolidated interest income of $2,827.</w:t>
      </w:r>
    </w:p>
    <w:p>
      <w:pPr>
        <w:ind w:left="300" w:hanging="292"/>
        <w:spacing w:after="0"/>
        <w:tabs>
          <w:tab w:leader="none" w:pos="3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loss include intangible asset amortization, loss on debt extinguishment, and other miscellaneous items.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2. Summary of Significant Accounting Policies for further details on the products from which the Company derives its revenues.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13. Revenues for details of revenue from external customers by geography.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2025 which was filed with the U.S. Securities and Exchange Commission, or SEC, on February 23, 2026</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medicines for people living with central nervous system (“CNS”) conditions. Our operations are primarily directed toward the commercialization of our marketed products,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the advancement of our pipeline of novel product candidates.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commercial products represent our primary sources of revenue and are expected to be key contributors to future revenue growth.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AUVELITY</w:t>
      </w:r>
      <w:r>
        <w:rPr>
          <w:rFonts w:ascii="Times New Roman" w:cs="Times New Roman" w:eastAsia="Times New Roman" w:hAnsi="Times New Roman"/>
          <w:sz w:val="24"/>
          <w:szCs w:val="24"/>
          <w:b w:val="1"/>
          <w:bCs w:val="1"/>
          <w:i w:val="1"/>
          <w:iCs w:val="1"/>
          <w:color w:val="auto"/>
          <w:vertAlign w:val="superscript"/>
        </w:rPr>
        <w:t>®</w:t>
      </w:r>
    </w:p>
    <w:p>
      <w:pPr>
        <w:spacing w:after="0" w:line="16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AUVELITY (dextromethorphan and bupropion) was developed by Axsome and approved by the FDA for the treatment of MDD (as defined below) in adults in August 2022. We launched AUVELITY in the U.S. in October 2022 as the first and only oral, N-methyl-D-aspartate (NMDA) receptor antagonist approved for MDD in adults and the only oral antidepressant with rapid-acting efficacy reflected in the FDA label. In April 2026, AUVELITY was approved for the treatment of agitation associated with dementia due to Alzheimer’s disease. AUVELITY utilizes a proprietary formulation and dose of dextromethorphan and bupropion, and Axsome’s metabolic inhibition technology, to modulate the delivery of the components.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SUNOSI</w:t>
      </w:r>
      <w:r>
        <w:rPr>
          <w:rFonts w:ascii="Times New Roman" w:cs="Times New Roman" w:eastAsia="Times New Roman" w:hAnsi="Times New Roman"/>
          <w:sz w:val="24"/>
          <w:szCs w:val="24"/>
          <w:b w:val="1"/>
          <w:bCs w:val="1"/>
          <w:i w:val="1"/>
          <w:iCs w:val="1"/>
          <w:color w:val="auto"/>
          <w:vertAlign w:val="superscript"/>
        </w:rPr>
        <w:t>®</w:t>
      </w:r>
    </w:p>
    <w:p>
      <w:pPr>
        <w:spacing w:after="0" w:line="16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SUNOSI (solriamfetol) is a novel, oral, dopamine and norepinephrine reuptake inhibitor (DNRI), trace amine-associated receptor 1 (TAAR1) agonist, and 5-HT1A agonist approved in the United States, the European Union, and Canada for the treatment of EDS in adult patients with obstructive sleep apnea or narcolepsy.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Approximately 22 million adults and 185,000 people in the U.S. are affected by OSA and narcolepsy,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SYMBRAVO</w:t>
      </w:r>
      <w:r>
        <w:rPr>
          <w:rFonts w:ascii="Times New Roman" w:cs="Times New Roman" w:eastAsia="Times New Roman" w:hAnsi="Times New Roman"/>
          <w:sz w:val="24"/>
          <w:szCs w:val="24"/>
          <w:b w:val="1"/>
          <w:bCs w:val="1"/>
          <w:i w:val="1"/>
          <w:iCs w:val="1"/>
          <w:color w:val="auto"/>
          <w:vertAlign w:val="superscript"/>
        </w:rPr>
        <w:t>®</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is a novel, oral, rapidly absorbed, multi-mechanistic, selective COX-2 inhibitor and 5-</w:t>
      </w:r>
    </w:p>
    <w:p>
      <w:pPr>
        <w:spacing w:after="0"/>
        <w:rPr>
          <w:sz w:val="20"/>
          <w:szCs w:val="20"/>
          <w:color w:val="auto"/>
        </w:rPr>
      </w:pPr>
      <w:r>
        <w:rPr>
          <w:rFonts w:ascii="Times New Roman" w:cs="Times New Roman" w:eastAsia="Times New Roman" w:hAnsi="Times New Roman"/>
          <w:sz w:val="18"/>
          <w:szCs w:val="18"/>
          <w:color w:val="auto"/>
        </w:rPr>
        <w:t>HT1B/1D agonist that was developed by us and approved by the FDA in January 2025 for the acute treatment of migraine with or without aura in adults.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launched SYMBRAVO in the U.S. in June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We continue to advance a diversified CNS pipeline of potentially transformative medicines for serious neurological and psychiatric conditions. As part of our ongoing research and development activities, we have and will continue to allocate significant resources to support the development of our product candidates.</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smoking cessation. AXS-05 utilizes a proprietary formulation and dose of dextromethorphan and bupropion, and Axsome’s metabolic inhibition technology, to modulate the delivery of the components.</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Solriamfetol is a novel, oral, investigational DNRI, TAAR1 agonist, and 5-HT1A agonist being developed for the treatment of attention deficit hyperactivity disorder (“ADHD”), binge eating disorder (“BED”), major depressive disorder (“MDD”) with EDS symptoms, and excessive sleepiness associated with shift work disorder (“SWD”). In March 2025, we announced topline results from the FOCUS Phase 3 trial of solriamfetol in ADHD in adults. We plan to conduct two pediatric Phase 3 trials of solriamfetol in ADHD, one in children and one in adolescents. In April 2025, we announced topline results from the PARADIGM Phase 3 trial of solriamfetol in MDD. We are conducting the CLARITY study, a Phase 3, double-blind, placebo-controlled, multicenter randomized withdrawal trial of solriamfetol in patients with MDD with EDS symptoms. Enrollment for the ENGAGE and SUSTAIN Phase 3 trials of solriamfetol in BED and SWD, respectively, are ongoing.</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We have successfully completed three Phase 2 and Phase 3, placebo-controlled efficacy trials and a long-term safety trial. In December 2025, we received formal pre-NDA meeting minutes from the FDA supporting an NDA submission for AXS-12 for the treatment of cataplexy in narcolepsy. AXS-12 was previously granted FDA Orphan Drug Designation for narcolepsy.</w:t>
      </w:r>
    </w:p>
    <w:p>
      <w:pPr>
        <w:spacing w:after="0" w:line="180"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In May 2025, we submitted an NDA to the FDA for AXS-14 for the management of fibromyalgia based on the previously completed efficacy and safety trials. Following a preliminary review, the FDA determined that the NDA was not sufficiently complete to permit a substantive review, indicating that one of the two placebo-controlled trials included in the submission was not adequate and well-controlled due to its 8-week primary endpoint and flexible-dose design, while confirming that the other trial, which utilized a 12-week primary endpoint and a fixed-dose paradigm, was adequate and well-controlled. The FDA did not raise any concerns regarding the positive results of either trial, both of which met their primary endpoints. We are conducting the FORWARD Phase 3 trial to address the FDA’s feedback.</w:t>
      </w:r>
    </w:p>
    <w:p>
      <w:pPr>
        <w:spacing w:after="0" w:line="18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AXS-17 is a novel, oral, investigational GABAA α2,3 receptor positive allosteric modulator that we acquired in November 2025. We plan to evaluate AXS-17 as a potential treatment for epilepsy.</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AXS-20 is a novel, oral, investigational phosphodiesterase 10A (PDE10A) inhibitor that we acquired from Takeda in April 2026. We plan to initially evaluate AXS-20 as a potential treatment for schizophrenia and Tourette syndrome. AXS-20 has completed a proof-of-concept Phase 2 trial in 164 patients with schizophrenia and has demonstrated a favorable safety and tolerability profile in clinical studies in over 360 individuals to date.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and the commercial launches of AUVELITY, SUNOSI, and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jc w:val="both"/>
        <w:ind w:right="560" w:firstLine="749"/>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The revenue we have generated, and anticipate to continue to generate, from the commercial sales of AUVELITY, SUNOSI, and SYMBRAVO, is expected to be an important contributor to our progress toward profitability.</w:t>
      </w:r>
    </w:p>
    <w:p>
      <w:pPr>
        <w:spacing w:after="0" w:line="176"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$64.5 million and $59.4 million for the three months ended March 31, 2026 and 2025, respectively. Our accumulated deficit as of March 31, 2026 was $1,370.5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generated total revenues of $191.2 million and $121.5 million in the three months ended March 31, 2026 and 2025, respectively.</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$1.3 million and $1.1 million for the three months ended March 31, 2026 and 2025, respectively, related to Pharmanovia’s sales of SUNOSI.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 In addition, research and development costs also include costs related to asset acquisitions involving clinical development programs that have not yet received regulatory approval.</w:t>
      </w:r>
    </w:p>
    <w:p>
      <w:pPr>
        <w:spacing w:after="0" w:line="20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and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8"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 contingent consideration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We estimate the fair value of the contingent consideration as of the acquisition date and reporting periods thereafter using the estimated future cash outflows based on future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7" w:lineRule="exact"/>
        <w:rPr>
          <w:sz w:val="20"/>
          <w:szCs w:val="20"/>
          <w:color w:val="auto"/>
        </w:rPr>
      </w:pPr>
    </w:p>
    <w:p>
      <w:pPr>
        <w:jc w:val="both"/>
        <w:ind w:right="64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disclosed in our 2025 Annual Report on Form 10-K. Our critical accounting policies are described in the notes to the consolidated financial statements appearing elsewhere in this Quarterly Report on Form 10-Q.</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189,400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120,358</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revenue and milestone revenue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1,803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191,203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121,463</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14,725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9,789</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52,677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44,785</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184,996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120,787</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1,572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1,572</w:t>
            </w:r>
          </w:p>
        </w:tc>
      </w:tr>
      <w:tr>
        <w:trPr>
          <w:trHeight w:val="209"/>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254,560</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178,445</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(56,982)</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(59,413)</w:t>
            </w: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(59,413)</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90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54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6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51,198,349</w:t>
            </w: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48,871,163</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-2185035</wp:posOffset>
            </wp:positionV>
            <wp:extent cx="111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-1062355</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-779145</wp:posOffset>
            </wp:positionV>
            <wp:extent cx="111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$152.7 million and $96.2 million for the three months ended March 31,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SUNOSI net sales were $32.6 million and $24.1 million for the three months ended March 31, 2026 and 2025, respectively. We began commercial sales of SYMBRAVO in June 2025 and had U.S. net sales of $4.1 million for the three months ended March 31, 2026. There were no SYMBRAVO sales recorded during the same period in 2025, which reflects the timing of the SYMBRAVO approval and launch. The increases in product sales were primarily due to the increase in unit sales volume for both AUVELITY and SUNOSI, and the commercial launch of SYMBRAVO.</w:t>
      </w:r>
    </w:p>
    <w:p>
      <w:pPr>
        <w:spacing w:after="0" w:line="185"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three months ended March 31, 2026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80" w:type="dxa"/>
            <w:vAlign w:val="bottom"/>
          </w:tcPr>
          <w:p>
            <w:pPr>
              <w:spacing w:after="0"/>
              <w:rPr>
                <w:sz w:val="12"/>
                <w:szCs w:val="12"/>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105,003</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Payments/credits</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(119,751)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(43,640)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(17,591)</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(180,982)</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57,559</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192,359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right="4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Royalty revenue and milestone revenue. </w:t>
      </w:r>
      <w:r>
        <w:rPr>
          <w:rFonts w:ascii="Times New Roman" w:cs="Times New Roman" w:eastAsia="Times New Roman" w:hAnsi="Times New Roman"/>
          <w:sz w:val="18"/>
          <w:szCs w:val="18"/>
          <w:color w:val="auto"/>
        </w:rPr>
        <w:t>Royalty revenue was $1.3 million and $1.1 million for the three months ended March 31,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attributable to Pharmanovia sales of SUNOSI in the out-licensed markets. The increase was in line with the increase in unit sales volume of SUNOSI in certain ex-U.S. markets. Further, in the first quarter of 2026, we recognized milestone revenue of $0.5 million related to an achievement of a regulatory milestone for AUVELITY.</w:t>
      </w:r>
    </w:p>
    <w:p>
      <w:pPr>
        <w:spacing w:after="0" w:line="180" w:lineRule="exact"/>
        <w:rPr>
          <w:sz w:val="20"/>
          <w:szCs w:val="20"/>
          <w:color w:val="auto"/>
        </w:rPr>
      </w:pPr>
    </w:p>
    <w:p>
      <w:pPr>
        <w:ind w:right="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$14.7 million for the three months ended March 31, 2026, as compared to $9.8 million for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The increase was in line with the increase in sales of AUVELITY and SUNOSI, and the commercial launch of SYMBRAVO in June 2025.</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2026 and 2025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Solriamfetol</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11,231</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11,806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AXS-05</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10,904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14,477</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AXS-07</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5,470</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4,479</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AXS-12</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1,488</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AXS-14</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2,696</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13,985</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3,969</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6,903</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6,459</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52,677</w:t>
            </w:r>
          </w:p>
        </w:tc>
        <w:tc>
          <w:tcPr>
            <w:tcW w:w="11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44,785</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5" w:lineRule="exact"/>
        <w:rPr>
          <w:sz w:val="20"/>
          <w:szCs w:val="20"/>
          <w:color w:val="auto"/>
        </w:rPr>
      </w:pPr>
    </w:p>
    <w:p>
      <w:pPr>
        <w:ind w:right="180" w:firstLine="8"/>
        <w:spacing w:after="0" w:line="261"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research and development expenses primarily consist of facilities charges, third party consultant costs, costs related to other product candidates, costs related to asset acquisitions, and other unallocated costs.</w:t>
      </w:r>
    </w:p>
    <w:p>
      <w:pPr>
        <w:spacing w:after="0" w:line="167"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$7.9 million for the three months ended March 31, 2026, as compared to the same periods in 2025. The increase was primarily related to asset acquisition costs related to AXS-20. We expect research and development costs to moderately increase through the end of 2026 as new development programs commence.</w:t>
      </w:r>
    </w:p>
    <w:p>
      <w:pPr>
        <w:spacing w:after="0" w:line="174"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$185.0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as compared to $120.8 million for the same period in 2025. The increase was primarily related to pre-launch activities for Auvelity for the Alzheimer’s Disease Agitation indication, higher commercial activities for AUVELITY including a national direct-to-consumer advertising campaign and sales force expansion, commercial activities for SYMBRAVO which was launched in June 2025, and higher personnel costs related to organizational growth. We anticipate SG&amp;A expenses to marginally increase through the end of 2026 as we continue to increase marketing and promotional spending for AUVELITY and continue commercial activities for SYMBRAVO.</w:t>
      </w:r>
    </w:p>
    <w:p>
      <w:pPr>
        <w:spacing w:after="0" w:line="182" w:lineRule="exact"/>
        <w:rPr>
          <w:sz w:val="20"/>
          <w:szCs w:val="20"/>
          <w:color w:val="auto"/>
        </w:rPr>
      </w:pPr>
    </w:p>
    <w:p>
      <w:pPr>
        <w:ind w:right="2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in Fair Value of Contingent Consideration. </w:t>
      </w:r>
      <w:r>
        <w:rPr>
          <w:rFonts w:ascii="Times New Roman" w:cs="Times New Roman" w:eastAsia="Times New Roman" w:hAnsi="Times New Roman"/>
          <w:sz w:val="18"/>
          <w:szCs w:val="18"/>
          <w:color w:val="auto"/>
        </w:rPr>
        <w:t>The $0.6 million change for the three months ended March 31, 2026, as compared to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change for the same period in 2025, was primarily related to changes in significant assumptions, including future sales estimates, and significant unobservable inputs, including discount rates.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was $1.6 million for both the three months ended March 31, 2026 and 2025.</w:t>
      </w:r>
    </w:p>
    <w:p>
      <w:pPr>
        <w:spacing w:after="0" w:line="205" w:lineRule="exact"/>
        <w:rPr>
          <w:sz w:val="20"/>
          <w:szCs w:val="20"/>
          <w:color w:val="auto"/>
        </w:rPr>
      </w:pPr>
    </w:p>
    <w:p>
      <w:pPr>
        <w:jc w:val="both"/>
        <w:ind w:right="4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$1.2 million for the three months ended March 31, 2026, as compared to $2.4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2025. The decrease was due to lower interest expense from the Blackstone Loan Agreement, which was partially offset by less interest income from lower interest rates.</w:t>
      </w:r>
    </w:p>
    <w:p>
      <w:pPr>
        <w:spacing w:after="0" w:line="173" w:lineRule="exact"/>
        <w:rPr>
          <w:sz w:val="20"/>
          <w:szCs w:val="20"/>
          <w:color w:val="auto"/>
        </w:rPr>
      </w:pPr>
    </w:p>
    <w:p>
      <w:pPr>
        <w:ind w:right="5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did not record an income tax expense or benefit for the three months ended March 31, 2026. We did not record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benefit or expense for the same period in 2025.</w:t>
      </w:r>
    </w:p>
    <w:p>
      <w:pPr>
        <w:spacing w:after="0" w:line="15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$64.5 million for the three months ended March 31, 2026, as compared to $59.4 million for the same period in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selling, general and administrative expenses from commercial activities for AUVELITY, including a national direct-to-consumer advertising campaign and sales force expansion, commercial activities for SYMBRAVO, and higher personnel costs related to organizational growth, as well as an increase in research and development expenses primarily related to asset acquisition costs. This was partially offset by higher net product revenues from AUVELITY, SUNOSI, and SYMBRAVO.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8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March 31, 2026, we have financed our operations primarily through proceeds from equity offerings, debt borrowings, and proceeds from product sales. See discussion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March 2022, we entered into a sales agreement with Leerink, or the March 2022 Sales Agreement with Leerink, and filed a prospectus supplement. The March 2022 Sales Agreement supersedes the sales agreement, dated December 5, 2019, by and between us and Leerink. We exhausted sales of shares of our common stock under our sales agreement, dated December 5, 2019.</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March 31, 2026, we received approximately $6.3 million in gross proceeds through the sale of 35,802 shares, of which net proceeds were approximately $6.2 million.</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February 21, 2023, we entered into a sublease agreement with Advance Magazine Publishers d/b/a Conde Nast for the entirety of the twenty-second floor of One World Trade Center in New York, NY, or the Sublease.</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or the First Amendment, pursuant to which we relinquished our then existing space in One World Trade Center and commenced occupancy of different space within the building. This space is utilized as our corporate and executive offices. The First Amendment extends the Sublease expiration date to January 31, 2036. We now have a one-time option to terminate the Sublease effective March 30, 2031 upon the payment of a fee to the sublandlord. We are responsible for base rent under the Sublease and certain additional customary variable costs, such as an allocable portion of building taxes and operating expenses. In connection with the Sublease and First Amendment, we received certain rent and work concessions from the sublandlord.</w:t>
      </w:r>
    </w:p>
    <w:p>
      <w:pPr>
        <w:spacing w:after="0" w:line="187" w:lineRule="exact"/>
        <w:rPr>
          <w:sz w:val="20"/>
          <w:szCs w:val="20"/>
          <w:color w:val="auto"/>
        </w:rPr>
      </w:pPr>
    </w:p>
    <w:p>
      <w:pPr>
        <w:ind w:right="80" w:firstLine="794"/>
        <w:spacing w:after="0" w:line="266" w:lineRule="auto"/>
        <w:rPr>
          <w:sz w:val="20"/>
          <w:szCs w:val="20"/>
          <w:color w:val="auto"/>
        </w:rPr>
      </w:pPr>
      <w:r>
        <w:rPr>
          <w:rFonts w:ascii="Times New Roman" w:cs="Times New Roman" w:eastAsia="Times New Roman" w:hAnsi="Times New Roman"/>
          <w:sz w:val="18"/>
          <w:szCs w:val="18"/>
          <w:color w:val="auto"/>
        </w:rPr>
        <w:t>We entered into a fleet lease program in the first quarter of 2024. The lease agreement includes an initial 12-month noncancelable period with monthly renewal options thereafter. Lease terms range from approximately 40 to 50 months and are classified as finance leases. See Note 9. Commitments and Contingencies for further information on future contractual obligations.</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As described below in the “Loan Agreement with Blackstone” section, on May 8, 2025, we entered into the Blackstone Loan Agreement with Blackstone, certain subsidiaries of the Company party thereto as guarantors, Wilmington Trust, and the Lenders. The Blackstone Loan Agreement provides for Loans in an aggregate principal amount of up to $570.0 million. Further, we entered into a securities purchase agreement with Blackstone, and its affiliates, for the private placement (the “Private Placement”) of an aggregate of 140,000 shares of our common stock, at a purchase price of $107.14 per share. Gross proceeds from the Private Placement were approximately $15.0 million. The closing of the Private Placement occurred contemporaneously with the closing of the Blackstone Loan Agreement.</w:t>
      </w:r>
    </w:p>
    <w:p>
      <w:pPr>
        <w:spacing w:after="0" w:line="18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March 31, 2026, there are no outstanding obligations under the Hercules Loan Agreement.</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2"/>
                <w:szCs w:val="12"/>
                <w:color w:val="auto"/>
              </w:rPr>
            </w:pPr>
          </w:p>
        </w:tc>
        <w:tc>
          <w:tcPr>
            <w:tcW w:w="11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7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7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(43,375)</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2,994</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29,270</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7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(14,443)</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three months ended March 31, 2026 was $20.7 million, as compared to $43.4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2025. The decrease of $22.7 million was primarily due to higher net product revenues from AUVELITY and SUNOSI, and favorable working capital changes, including higher accounts payable and accrued expenses and other current liabilities, partially offset by increased cash used for commercial and clinical-related activities.</w:t>
      </w:r>
    </w:p>
    <w:p>
      <w:pPr>
        <w:spacing w:after="0" w:line="180" w:lineRule="exact"/>
        <w:rPr>
          <w:sz w:val="20"/>
          <w:szCs w:val="20"/>
          <w:color w:val="auto"/>
        </w:rPr>
      </w:pPr>
    </w:p>
    <w:p>
      <w:pPr>
        <w:ind w:right="3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three months ended March 31, 2026 was $121 thousand, as compared to $338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for the same period in 2025. The decrease was due to higher purchases of fixed assets in the first quarter of 2025 related to the new corporate office space lease.</w:t>
      </w:r>
    </w:p>
    <w:p>
      <w:pPr>
        <w:spacing w:after="0" w:line="17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$3.0 million for the three months ended March 31, 2026,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net proceeds of $6.2 million from issuance of common stock for financing purposes as well as proceeds of $10.0 million from the issuance of common stock upon the exercise of employee stock options, which was partially offset by payments of contingent consideration and tax withholdings on stock awards, for a total of $12.6 million. Financing activities also include $70.0 million in gross proceeds from the Blackstone revolving credit facilities and $70.0 million in repayments for the Blackstone revolving credit facilities. Cash provided by financing activities was $29.3 million for the three months ended March 31, 2025, which included net proceeds of $19.3 million from issuance of common stock from the at-the-market offering program as well as proceeds of $17.0 million from the issuance of common stock upon the exercise of employee stock options, which was partially offset by payments of contingent consideration and tax withholdings on stock awards, for a total of $6.6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while further investing in AUVELITY, SUNOSI, and SYMBRAVO.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5" w:lineRule="exact"/>
        <w:rPr>
          <w:rFonts w:ascii="Times New Roman" w:cs="Times New Roman" w:eastAsia="Times New Roman" w:hAnsi="Times New Roman"/>
          <w:sz w:val="16"/>
          <w:szCs w:val="16"/>
          <w:color w:val="auto"/>
        </w:rPr>
      </w:pPr>
    </w:p>
    <w:p>
      <w:pPr>
        <w:ind w:left="760" w:right="440" w:hanging="378"/>
        <w:spacing w:after="0" w:line="282"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6"/>
          <w:szCs w:val="16"/>
          <w:color w:val="auto"/>
        </w:rPr>
      </w:pPr>
    </w:p>
    <w:p>
      <w:pPr>
        <w:ind w:left="760" w:right="560" w:hanging="378"/>
        <w:spacing w:after="0" w:line="239" w:lineRule="exact"/>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and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7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(see below), Antecip consented to the collateral assignment of one of the license agreements, among other things, under a direct agreement among us, Antecip, a related party, and Blackstone. This new direct agreement superseded the prior direct agreement among us, Antecip and Hercules that had been entered into in connection with the Hercules Loan Agreement, which terminated automatically upon repayment of the Hercules loan obligations in full on May 8,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22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the first quarter of 2026, we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 with Blackstone</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the Closing Date, we entered into the Blackstone Loan Agreement with Blackstone, certain subsidiaries of the Company party thereto as guarantors, Wilmington Trust, and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our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$10.4 million in the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18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March 31, 2026, there are no outstanding obligations under the Hercules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$162.5 million based on revenue milestones and $1.0 million based on development milestones.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right="120" w:firstLine="749"/>
        <w:spacing w:after="0" w:line="223" w:lineRule="exact"/>
        <w:rPr>
          <w:sz w:val="20"/>
          <w:szCs w:val="20"/>
          <w:color w:val="auto"/>
        </w:rPr>
      </w:pPr>
      <w:r>
        <w:rPr>
          <w:rFonts w:ascii="Times New Roman" w:cs="Times New Roman" w:eastAsia="Times New Roman" w:hAnsi="Times New Roman"/>
          <w:sz w:val="18"/>
          <w:szCs w:val="18"/>
          <w:color w:val="auto"/>
        </w:rPr>
        <w:t>As of April 27, 2026, we had 1,220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On November 3, 2025, we filed an automatic shelf registration statement (File No. 333-291228), or the 2025 Shelf Registration Statement, with the SEC for the issuance of common stock, preferred stock, warrants, rights, debt securities, and units up to an unlimited amount, which we refer to as the 2025 Shelf Registration Statement. In the future, we may conduct additional offerings of one or more of these securities utilizing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2025 Shelf Registration Statement, we filed a new sales agreement prospectus to replace the prior prospectus supplement filed in December 2022, which would have expired in December 2025. The new sales agreement prospectus covered the issuance and sale by us of up to the same $250 million of our common stock that may be issued and sold from time to time through Leerink, as the sales agent, under the March 2022 Sales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$305.1 million and $322.9 million as of March 31, 2026 and December 31, 2025,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which use short-term interest rates and the SOFR,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manufacturers located in Europe and certain invoices are denominated in foreign currencies. Royalty revenues from Pharmanovia are derived from their sales of SUNOSI in ex-U.S. markets and those sales are primarily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do not believe a 10% change in these currencies on March 31, 2026 would have had a material effect on our results of operations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our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March 31, 2026, there have been no changes in internal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that have materially affected, or are reasonably likely to materially affect, our internal control over financial reporting.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Except as described in Note 9. Commitments and Contingencies,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23, 2026. Investors should carefully consider all of the information set forth in this Quarterly Report on Form 10-Q, including the following risk factors, before deciding to invest in any of the Company’s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8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8"/>
          <w:szCs w:val="18"/>
          <w:color w:val="auto"/>
        </w:rPr>
      </w:pPr>
    </w:p>
    <w:p>
      <w:pPr>
        <w:ind w:left="760" w:right="42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Food and Drug Administration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12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4" w:lineRule="exact"/>
        <w:rPr>
          <w:rFonts w:ascii="Times New Roman" w:cs="Times New Roman" w:eastAsia="Times New Roman" w:hAnsi="Times New Roman"/>
          <w:sz w:val="18"/>
          <w:szCs w:val="18"/>
          <w:color w:val="auto"/>
        </w:rPr>
      </w:pPr>
    </w:p>
    <w:p>
      <w:pPr>
        <w:ind w:left="760" w:right="6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we may be unable to generate substantial product revenues.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59"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70" w:lineRule="exact"/>
        <w:rPr>
          <w:rFonts w:ascii="Times New Roman" w:cs="Times New Roman" w:eastAsia="Times New Roman" w:hAnsi="Times New Roman"/>
          <w:sz w:val="18"/>
          <w:szCs w:val="18"/>
          <w:color w:val="auto"/>
        </w:rPr>
      </w:pPr>
    </w:p>
    <w:p>
      <w:pPr>
        <w:ind w:left="760" w:right="74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8"/>
          <w:szCs w:val="18"/>
          <w:color w:val="auto"/>
        </w:rPr>
      </w:pPr>
    </w:p>
    <w:p>
      <w:pPr>
        <w:ind w:left="760" w:right="20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0" w:lineRule="exact"/>
        <w:rPr>
          <w:rFonts w:ascii="Times New Roman" w:cs="Times New Roman" w:eastAsia="Times New Roman" w:hAnsi="Times New Roman"/>
          <w:sz w:val="18"/>
          <w:szCs w:val="18"/>
          <w:color w:val="auto"/>
        </w:rPr>
      </w:pPr>
    </w:p>
    <w:p>
      <w:pPr>
        <w:ind w:left="760" w:right="12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70" w:lineRule="exact"/>
        <w:rPr>
          <w:rFonts w:ascii="Times New Roman" w:cs="Times New Roman" w:eastAsia="Times New Roman" w:hAnsi="Times New Roman"/>
          <w:sz w:val="18"/>
          <w:szCs w:val="18"/>
          <w:color w:val="auto"/>
        </w:rPr>
      </w:pPr>
    </w:p>
    <w:p>
      <w:pPr>
        <w:jc w:val="both"/>
        <w:ind w:left="760" w:right="12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$64.5 million and $59.4 million for the three months ended March 31, 2026 and 2025, respectively. As of March 31, 2026, we had an accumulated deficit of $1,370.5 million. In 2022, we commenced the commercial sale of AUVELITY in the United States and SUNOSI in the United States and select global markets. In January 2025, SYMBRAVO was approved by the FDA for the acute treatment of migraine with or without aura in adults and commenced commercial sales in June 2025. Apart from AUVELITY, SUNOSI, and SYMBRAVO, we have no other products which have received regulatory approval.</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80"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AUVELITY, SUNOSI, and SYMBRAVO;</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1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to commercialize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 scale manufacturing of our products under cGMP;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the Company’s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Blackstone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Blackstone Loan Agreement also require maintaining a minimum amount of cash in an account or accounts in which the Lenders have a first priority security interest.</w:t>
      </w:r>
    </w:p>
    <w:p>
      <w:pPr>
        <w:spacing w:after="0" w:line="16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 breach of any of the covenants under the Blackstone Loan Agreement could result in a default. Upon the occurrence of an event of default,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Prior to our commercialization of AUVELITY and SUNOSI in 2022, and the approval and U.S. commercialization of SYMBRAVO in 2025,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3"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undertaking commercial activities. We may continue to encounter unforeseen expenses, difficulties, complications and delays, and this may not be a successful transition.</w:t>
      </w:r>
    </w:p>
    <w:p>
      <w:pPr>
        <w:spacing w:after="0" w:line="17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ongoing military conflicts between Russia and Ukraine, hostilities in the Middle East, including Iran, and elsewhere and record inflation. Our business, financial condition, and results of operations could be materially adversely affected by any negative impact on the global economy and capital markets resulting from the conflicts in Russia and Ukraine, the Middle East and elsewhere, and geopolitical tensions, or record inflation.</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including the military conflict between Russia and Ukraine and heightened instability in the Middle East involving Iran. Since Russia’s full-scale invasion of Ukraine in February 2022, the duration, severity, and broader economic effects of the conflict have remained uncertain, and the conflict has contributed to, and could continue to contribute to market disruptions, including significant volatility in commodity prices, credit and capital markets, as well as supply chain interruptions.</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Most recently, in December 2025, the European Union (“EU”) extended its existing economic sanctions for an additional six months, keeping them in effect until July 31, 2026.</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addition, the United States and other countries maintain extensive sanctions and trade restrictions with respect to Iran. These measures could be broadened in scope or subject to more rigorous enforcement in response to future developments involving Iran or the broader Middle East.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These geopolitical developments, including military actions, sanctions, cyberattacks and related market disruptions, could adversely affect the global economy and financial markets, result in reduced liquidity, and potentially make it more difficult for us to obtain additional funding. 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the U.S. and global financial and economic markets. For example, from October 1, 2025 to November 12, 2025, the U.S. federal government experienced a shutdown due to an impasse over funding for the 2026 fiscal year, impacting a number of federal services, and the shutdown has since ended. In addition, the U.S. Department of Commerce conducted and completed national security investigations into the importation of pharmaceuticals and pharmaceutical ingredients pursuant to Section 232 of the Trade Expansion Act of 1962 (as amended, the “Trade Expansion Act”), which resulted in the issuance of a presidential proclamation in April 2026 that authorizes the imposition of tariffs on imports within the pharmaceutical industry. Further, the U.S. has announced and adopted a tariff framework that includes up to a 100% tariff on certain branded or patented pharmaceuticals imported into the U.S. from drug manufacturers that do not have, or are not in the process of building, a manufacturing facility in the U.S., subject to available exemptions, reduced rates, and transitional relief, with the tariffs scheduled to take effect beginning in late-2026. While imposition of such tariffs had previously been delayed to permit negotiations with large drug manufacturers, the tariffs have now been formally adopted while negotiations and exemptions continue. Recent developments indicate that, by early 2026, sixteen major pharmaceutical companies secured a three-year exemption from 100% tariffs on imported, branded, or patented drugs in exchange for commitments related to increasing domestic manufacturing and adopting most favored nation (MFN) pricing – aligning U.S. drug costs with lower international prices. While we currently do not anticipate a material impact from such tariffs on our business or operations, such tariffs, if and as they are implemented along with other policy changes,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Furthermore, in April 2025, the U.S. administration imposed increased tariffs on all countries and individualized “reciprocal” higher tariffs on certain countries with which the U.S. has the largest trade deficits, which were subsequently paused, modified, and ultimately terminated in February 2026 following a U.S. Supreme Court ruling invalidating the legal authority under which such tariffs were imposed. After the U.S. Supreme Court decision, on April 2, 2026, the U.S. administration issued an executive order pursuant to Section 232 of the Trade Expansion Act. In general, the U.S. administration seeks to impose up to a 100% tariff on imported patented pharmaceuticals, subject to certain exceptions for certain products, or if companies have an agreement with the U.S. administration regarding MFN drug pricing or to onshore manufacturing. We are in the process of reviewing this executive order, but we believe such tariffs will not have a material impact on our business at this time. Certain countries responded by announcing retaliatory tariffs on U.S. imports. A few days later, the U.S. administration reduced the tariffs imposed on most countries to 10 percent for a period of 90 days to allow trade negotiations with those countries. This pause was initially set to expire on July 9, 2025, but was extended thereafter, with significant tariff changes taking effect with certain countries on August 1, 2025. Tariffs remain a dynamic issue and have become a central part of the U.S. trade policy, undergoing continuous expansion and modification, including the imposition in February 2026 of a temporary 10% global import surcharge under separate statutory authority, as well as China’s tariffs being reduced in November 2025 and further actions in early 2026. Additionally, on January 17, 2026, President Trump announced 10% tariffs (increasing to 25% on June 1, 2026) on imports from eight European allies to pressure for a ‘deal’ regarding Greenland. It is presently unclear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spacing w:after="0" w:line="195"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The new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which includes certain Chinese biotech firms; entering, extending or renewing a contract with any entity using biotechnology equipment or services provided by a BCC to perform a government contract; or granting government funds or loans for such biotechnology equipment or services. While we do not currently anticipate any material impact from the BIOSECURE Act, its requirements are expected to be implemented on a phased basis through future regulatory guidance and procurement rulemaking, and the scope of covered entities will depend on future designation processes. The BIOSECURE Act may have significant implications for U.S. companies with government contracts that obtain biotechnology equipment or services from a BCC, including contracts with the Department of Veterans Affairs, and any related impact on reimbursement under Medicaid and Medicare Part B.</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in April 2026, following a national security investigation initiated by the U.S. Department of Commerce in April 2025, the President issued a proclamation pursuant to Section 232 of the Trade Expansion Act providing that certain patented pharmaceutical products and related ingredients may become subject to a 100% tariff later in 2026, if classified under the tariff subheadings listed in Annex I to the proclamation. The measures apply, among other countries, to products with a country of origin of Canada. The scope, interpretation and ultimate applicability of these tariffs, including the availability of exclusions or amendments, remain subject to further guidance and implementation. We are evaluating the potential applicability of the proclamation to our products and supply chain; however, the imposition of additional tariffs could increase costs, disrupt supply arrangements, or adversely affect our financial condition and results of operations. We cannot predict whether these tariffs will be modified, delayed, or rescinded, or the extent to which they may impact our business.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Further, executive orders were signed to implement MFN drug pricing policies designed to align certain prescription drug prices in the U.S. to lower prices available in other countries. Since issuance of these executive orders, the U.S. administration has begun implementing MFN pricing through a combination of voluntary pricing agreements with pharmaceutical manufacturers, proposed mandatory pricing models applicable to certain Medicare programs, and other administrative actions. Investigations and regulatory proceedings have examined international price differentials and policy approaches for implementation, including through administrative rulemaking and demonstration models. MFN pricing initiatives have been linked to other regulatory and trade measures, including tariff exemptions and incentives for domestic manufacturing, further increasing their potential impact on commercialization and pricing strategies.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If such MFN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such proposed regulations and policies are unclear and the final terms and impact remain uncertain, and may pose long-term risks to our business and our future commercialization plans of our drug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manufacturer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our supply chain, which may result in increased costs.</w:t>
      </w:r>
    </w:p>
    <w:p>
      <w:pPr>
        <w:spacing w:after="0" w:line="18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Strategies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Although we submitted NDAs to the FDA for AUVELITY (which was approved), SYMBRAVO (which was approved), and AXS-14 (which received a Refuse to File letter from the FDA, and which we plan to resubmit), as well as submitted a supplemental New Drug Application (sNDA) for AXS-05 to treat Alzheimer’s disease agitation,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their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60" w:right="2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their regulatory approval and commercialization. As such, we are currently primarily focused on the development of solriamfetol for additional indications, AXS-05 for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Note 14. License Agreements, we are required to pay to an entity owned by our Chief Executive Officer and Chairman of the Board certain royalty payments related to any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62" w:lineRule="exact"/>
        <w:rPr>
          <w:sz w:val="20"/>
          <w:szCs w:val="20"/>
          <w:color w:val="auto"/>
        </w:rPr>
      </w:pPr>
    </w:p>
    <w:p>
      <w:pPr>
        <w:ind w:left="5540" w:right="3920" w:hanging="5158"/>
        <w:spacing w:after="0" w:line="783" w:lineRule="auto"/>
        <w:tabs>
          <w:tab w:leader="none" w:pos="7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For instance, we received a Refuse to File from the FDA relating to the Company’s product candidate AXS-14 for the management of fibromyalgia in June 2025. Likewise, our prior efforts have resulted in our decision not to further develop certain product candidates that, at one time, appeared to be promising.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European Community (“EC”) or national competent authorities at the EU member state level.</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additional indications for AXS-05. The FDA interprets Section 505(b)(2) of the Federal Food, Drug, and Cosmetic Act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and SYMBRAVO pursuant to the 505(b)(2) process, we have not conducted certain additional clinical trials for these products and, as such, we will have less experience with actual testing of these products.</w:t>
      </w:r>
    </w:p>
    <w:p>
      <w:pPr>
        <w:spacing w:after="0" w:line="18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Institutional Review Board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European Medicines Agency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8"/>
          <w:szCs w:val="18"/>
          <w:color w:val="auto"/>
        </w:rPr>
      </w:pPr>
    </w:p>
    <w:p>
      <w:pPr>
        <w:jc w:val="both"/>
        <w:ind w:left="760" w:right="44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8"/>
          <w:szCs w:val="18"/>
          <w:color w:val="auto"/>
        </w:rPr>
      </w:pPr>
    </w:p>
    <w:p>
      <w:pPr>
        <w:ind w:left="760" w:right="140" w:hanging="378"/>
        <w:spacing w:after="0" w:line="245" w:lineRule="exact"/>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4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760" w:hanging="378"/>
        <w:spacing w:after="0" w:line="25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or we may abandon product development programs. For instance, we relied on the completed Phase 2 trial and Phase 3 trial to support an NDA for AXS-14 for the management of fibromyalgia; however, we received a Refuse to File from the FDA. On January 15, 2026, we announced the initiation of the Phase 3 FORWARD trial, which we are conducting to address the FDA’s feedback. Furthermore, although we believe that we are able to rely on the Phase 2 CONCERT trial, Phase 3 SYMPHONY trial, and Phase 3 ENCORE trial to support an NDA for AXS-12 for the treatment of cataplexy and narcolepsy, the FDA could still require additional studies to support the approval of an NDA for this and other product candidates. The outcome of our studies may further necessitate additional clinical or preclinical work;</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5"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80" w:hanging="378"/>
        <w:spacing w:after="0" w:line="25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from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Chemistry, Manufacturing, and Controls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 published draft guidance was temporarily removed from the FDA website following an executive order, but was restored and reinstated the following month per a court order. However, it remains in draft form, which impacts the eventual publication date of the final guidance, and as a result, may delay the compliance deadline.</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 the FDA’s review of our regulatory submissions may be delayed in the future due to reasons beyond our control. FDA operations are affected by various factors, such as shifting government priorities, budgets and funding levels, authorization and payment of user fees, the ability to hire and retain key personnel, as well as other statutory, regulatory, and policy changes impacting the U.S. Department of Health and Human Services (“HHS”), the FDA, or other HHS agencies. Specifically, in 2025, FDA faced a reduction in size, a prolonged federal government shutdown, as well as frequent administrative turnover and agency restructuring following the institution of the new administration, which have directly or indirectly impacted FDA’s ability to support research and development activities.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Complete Response Letter (“CRL”) with respect to our NDA for SYMBRAVO, the FDA noted the need for additional CMC data. SYMBRAVO was subsequently approved by the FDA. With respect to our NDA for AXS-14 for the management of fibromyalgia, the FDA stated that upon preliminary review, it found that our NDA was not sufficiently complete to permit a substantive review. To address the FDA’s feedback, we plan to conduct an additional controlled trial, which will use a fixed-dose paradigm and a 12-week primary endpoint as requested by the FDA.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9" w:lineRule="exact"/>
        <w:rPr>
          <w:sz w:val="20"/>
          <w:szCs w:val="20"/>
          <w:color w:val="auto"/>
        </w:rPr>
      </w:pPr>
    </w:p>
    <w:p>
      <w:pPr>
        <w:ind w:left="760" w:right="4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right="20"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0" w:lineRule="exact"/>
        <w:rPr>
          <w:sz w:val="20"/>
          <w:szCs w:val="20"/>
          <w:color w:val="auto"/>
        </w:rPr>
      </w:pPr>
    </w:p>
    <w:p>
      <w:pPr>
        <w:ind w:right="2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12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our other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 For instance, the FDA granted AXS-05 Priority Review on December 31, 2025, with a Prescription Drug User Fee Act (PDUFA) date of April 30, 2026, accelerating its review of Alzheimer’s disease agitation; however, Priority Review does not guarantee FDA approval and could still lead to further data requests or denial.</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8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-103505</wp:posOffset>
            </wp:positionV>
            <wp:extent cx="6413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and any of our collaborators, must comply with laws, regulations, and other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Office of Inspector General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spacing w:after="0" w:line="192"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actions,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suspension or debarment from government procurement and potential adverse actions affecting future orders under existing contracts. Recent court decisions have impacted the FDA’s enforcement activity regarding off-label promotion in light of First Amendment considerations; however, there are still significant risks in this area, such as where communications are misleading or conduct is the alleged cause of false claims, in part due to the potential False Claims Act (“FCA”) exposure. The FCA allows a private individual to bring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the individual will share in the proceeds from any fines or settlement funds. If the government declines to intervene, the individual may pursue the case alone. Under the FCA, a penalty may be imposed for each false claim, which, for example, might be a claim for payment for each prescription for the product, and, when aggregated, these penalties often total millions of dollars and incentivize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lawsuits. These FCA lawsuits against pharmaceutical companies have increased significantly in volume and breadth, leading to several substantial civil settlements and criminal resolutions,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19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Prescription Drug Marketing Act of 1987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8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current Good Manufacturing Practice (“cGMP”) requirements relating to manufacturing, quality control, quality assurance, and corresponding maintenance of records and documents; requirements regarding the distribution of samples to physicians and recordkeeping; and Good Clinical Practice (“GCP”), for any clinical trials that we conduct post-approval.</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For example, in early September 2025, following a presidential memorandum directing the FDA to “take appropriate action to enforce the Federal Food, Drug, and Cosmetic Act’s prescription drug advertising provisions, and otherwise ensure truthful and non-misleading information in direct-to-consumer (DTC) prescription drug advertisements”, the FDA issued more than 100 enforcement letters to pharmaceutical companies and compounding firms, alleging that certain promotional communications and DTC advertisements are false and misleading. Furthermore, HHS and the FDA have stated that they are committed to a “more expansive reading” of the FDA’s enforcement authorities than that taken by previous administrations. In connection with these developments, we received an untitled letter from the FDA’s Center for Drug Evaluation and Research, asserting that a particular DTC print advertisement for AUVELITY was false and misleading. We responded to the untitled letter, and the FDA confirmed via close-out letter that we adequately addressed the FDA’s concerns. Failure to comply with current or forthcoming FDA requirements may trigger enforcement by the FDA, Department of Justice, or HHS Office of Inspector General (as well as state authorities), which may result in warning letters, civil and criminal penalties, agreements restricting promotional practices, and significant reputational harm.</w:t>
      </w:r>
    </w:p>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Notably, in May 2025, the FDA announced its intent to expand its use of unannounced inspections of foreign facilities manufacturing products for distribution in the United States, which may impact our operations. Further, application holders must further notify the FDA, and depending on the nature of the change, obtain FDA pre-approval for product and manufacturing changes. Application fees may apply to certain changes.</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9"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1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8"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is a great degree of uncertainty regarding how recent U.S. Supreme Court decisions, including </w:t>
      </w:r>
      <w:r>
        <w:rPr>
          <w:rFonts w:ascii="Times New Roman" w:cs="Times New Roman" w:eastAsia="Times New Roman" w:hAnsi="Times New Roman"/>
          <w:sz w:val="18"/>
          <w:szCs w:val="18"/>
          <w:i w:val="1"/>
          <w:iCs w:val="1"/>
          <w:color w:val="auto"/>
        </w:rPr>
        <w:t>Loper Bright Enterprises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Raimondo</w:t>
      </w:r>
      <w:r>
        <w:rPr>
          <w:rFonts w:ascii="Times New Roman" w:cs="Times New Roman" w:eastAsia="Times New Roman" w:hAnsi="Times New Roman"/>
          <w:sz w:val="18"/>
          <w:szCs w:val="18"/>
          <w:color w:val="auto"/>
        </w:rPr>
        <w:t>, 603 U.S. 369 (2024) and</w:t>
      </w:r>
      <w:r>
        <w:rPr>
          <w:rFonts w:ascii="Times New Roman" w:cs="Times New Roman" w:eastAsia="Times New Roman" w:hAnsi="Times New Roman"/>
          <w:sz w:val="18"/>
          <w:szCs w:val="18"/>
          <w:i w:val="1"/>
          <w:iCs w:val="1"/>
          <w:color w:val="auto"/>
        </w:rPr>
        <w:t xml:space="preserve"> Corner Post, Inc. v. Board of Governors of the Federal Reserve System</w:t>
      </w:r>
      <w:r>
        <w:rPr>
          <w:rFonts w:ascii="Times New Roman" w:cs="Times New Roman" w:eastAsia="Times New Roman" w:hAnsi="Times New Roman"/>
          <w:sz w:val="18"/>
          <w:szCs w:val="18"/>
          <w:color w:val="auto"/>
        </w:rPr>
        <w:t>, 603 U.S. 799 (2024), will impact the FDA’s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 xml:space="preserve">Loper </w:t>
      </w:r>
      <w:r>
        <w:rPr>
          <w:rFonts w:ascii="Times New Roman" w:cs="Times New Roman" w:eastAsia="Times New Roman" w:hAnsi="Times New Roman"/>
          <w:sz w:val="18"/>
          <w:szCs w:val="18"/>
          <w:color w:val="auto"/>
        </w:rPr>
        <w:t>decision may result in increased regulatory uncertainty, inconsistent judicial interpretations, and could impact various aspects of the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94" w:lineRule="exact"/>
        <w:rPr>
          <w:sz w:val="20"/>
          <w:szCs w:val="20"/>
          <w:color w:val="auto"/>
        </w:rPr>
      </w:pPr>
    </w:p>
    <w:p>
      <w:pPr>
        <w:ind w:right="66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8"/>
          <w:szCs w:val="18"/>
          <w:color w:val="auto"/>
        </w:rPr>
      </w:pPr>
    </w:p>
    <w:p>
      <w:pPr>
        <w:ind w:left="760" w:hanging="378"/>
        <w:spacing w:after="0" w:line="236" w:lineRule="exact"/>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8"/>
          <w:szCs w:val="18"/>
          <w:color w:val="auto"/>
        </w:rPr>
      </w:pPr>
    </w:p>
    <w:p>
      <w:pPr>
        <w:ind w:left="760" w:right="80" w:hanging="378"/>
        <w:spacing w:after="0" w:line="25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and cybersecurity. These include enhanced rules on the processing of personal data, including health data, under the EU General Data Protection Regulation (GDPR), which became enforceable beginning May 25, 2018, as well as cybersecurity obligations under Directive (EU) 2022/2555 (NIS 2 Directive). The NIS 2 Directive establishes a harmonized cybersecurity framework for 18 critical sectors, including the health sector, and imposes significant compliance obligations on in-scope organizations, including risk management measures, incident prevention, detection and notification requirements, supply chain security controls, and enhanced governance and oversight, including potential personal liability at the Board level;</w:t>
      </w:r>
    </w:p>
    <w:p>
      <w:pPr>
        <w:spacing w:after="0" w:line="187"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Foreign Corrupt Practices Act (“FCPA”) or comparable foreign regulations, and the risks and costs of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right="60"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7"/>
          <w:szCs w:val="17"/>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Amgen Inc.; Avadel Pharmaceuticals plc; Biogen Inc.; Eli Lilly and Company; H. Lundbeck A/S; Harmony Biosciences LLC; Intra-Cellular Therapies, Inc.; Janssen; Jazz; Otsuka Pharmaceutical Co. Ltd.; Pfizer Inc.; and Takeda Pharmaceutical Company Limited.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83"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Pharmaceuticals, Inc. (“Teva”) providing notification to the Company that Teva has submitted an ANDA to the FDA seeking approval to manufacture, use, or sell a generic version of AUVELITY. We settled the ensuing litigation in February 2025.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 We have reached settlement agreements in the ensuing litigation with five of the six filers. We remain in ongoing litigation with one remaining filer in the U.S. District Court for the District of New Jersey. More recently, in August 2025, Apotex, Inc. (“Apotex”) sent a Paragraph IV certification notice regarding their ANDA submission to the FDA for a generic version of SYMBRAVO. In response, we filed a patent infringement lawsuit against Apotex in the U.S. District Court for the District of New Jersey, which remains ongoing.</w:t>
      </w:r>
    </w:p>
    <w:p>
      <w:pPr>
        <w:spacing w:after="0" w:line="187" w:lineRule="exact"/>
        <w:rPr>
          <w:sz w:val="20"/>
          <w:szCs w:val="20"/>
          <w:color w:val="auto"/>
        </w:rPr>
      </w:pPr>
    </w:p>
    <w:p>
      <w:pPr>
        <w:ind w:right="8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4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the FDA for the treatment of narcolepsy. We may also seek Orphan Drug Designation for our other products, as appropriate.</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FDA or the EMA/EC may, under certain conditions,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In the EU, if another company is granted orphan exclusivity for a reboxetine containing product for the treatment of narcolepsy, we would be prevented from obtaining marketing authorization for AXS-12 for the treatment of narcolepsy for up to 10 years, which may be extended to 12 years under certain conditions. The EU Pharma Package (as described below) will reduce the standard orphan exclusivity to 9 years, with eligibility for up to 11 years of exclusivity for certain orphan products.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appropriately persuade adequate numbers of physicians to prescribe any of our current or future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 or other payers;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 for example, if they do not consider our products cost-effective without a significant price concession, and, even when coverage is provided, reimbursement may be inadequate, which could negatively impact our revenue. Third-party payors may also implement onerous access controls, which could further impede our efforts to effectively transition eligible patients to our therapies.</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may require significant resources and may not be successful. If our products or any of our product candidates that are approved do not achieve an adequate level of market acceptance, we may not generate significant revenues, and we may not become profitable.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 The degree of market acceptance of any of our products will depend on a number of factors, including:</w:t>
      </w:r>
    </w:p>
    <w:p>
      <w:pPr>
        <w:spacing w:after="0" w:line="192"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4" w:lineRule="exact"/>
        <w:rPr>
          <w:rFonts w:ascii="Times New Roman" w:cs="Times New Roman" w:eastAsia="Times New Roman" w:hAnsi="Times New Roman"/>
          <w:sz w:val="18"/>
          <w:szCs w:val="18"/>
          <w:color w:val="auto"/>
        </w:rPr>
      </w:pPr>
    </w:p>
    <w:p>
      <w:pPr>
        <w:ind w:left="760" w:right="640" w:hanging="378"/>
        <w:spacing w:after="0" w:line="245" w:lineRule="exact"/>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third-party payors to prefer other products, even if not approved for our product’s indication;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188"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inspections periodically or as needed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42"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130" w:lineRule="exact"/>
        <w:rPr>
          <w:sz w:val="20"/>
          <w:szCs w:val="20"/>
          <w:color w:val="auto"/>
        </w:rPr>
      </w:pPr>
    </w:p>
    <w:p>
      <w:pPr>
        <w:ind w:right="20"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2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their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9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1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ind w:left="760" w:right="32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jc w:val="both"/>
        <w:ind w:left="760" w:right="280" w:hanging="378"/>
        <w:spacing w:after="0" w:line="312" w:lineRule="auto"/>
        <w:tabs>
          <w:tab w:leader="none" w:pos="7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expired on August 18, 2025. New Product Exclusivity for SYMBRAVO expires on January 30, 2028.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either of our currently commercialized products during the pendency of litigation following expiry of the 30-month stay, or that we would commence such proceedings. Such a generic launch could materially impact our commercial success.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95"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22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spacing w:after="0" w:line="175"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 party claims that we infringe their intellectual property rights, we could face a number of issues, including:</w:t>
      </w:r>
    </w:p>
    <w:p>
      <w:pPr>
        <w:spacing w:after="0" w:line="225" w:lineRule="exact"/>
        <w:rPr>
          <w:sz w:val="20"/>
          <w:szCs w:val="20"/>
          <w:color w:val="auto"/>
        </w:rPr>
      </w:pPr>
    </w:p>
    <w:p>
      <w:pPr>
        <w:ind w:left="760" w:right="18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25"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6" w:lineRule="exact"/>
        <w:rPr>
          <w:sz w:val="20"/>
          <w:szCs w:val="20"/>
          <w:color w:val="auto"/>
        </w:rPr>
      </w:pPr>
    </w:p>
    <w:p>
      <w:pPr>
        <w:jc w:val="both"/>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9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In November 2025, we acquired all the outstanding shares of Baergic Bio, Inc., now known as XIX Bio LLC (“Baergic”). The acquisition of Baergic provided global rights to AZD7325 (AXS-17), an oral GABAA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183"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December 2025, we acquired the global rights to deuterium-stabilized S-bupropion from DeuteRx, LLC (“DeuteRx”). DeuteRx is eligible to receive contingent development, regulatory and sales-based milestones of up to $523 million and a tiered low single-digit royalty on potential global net sales.</w:t>
      </w:r>
    </w:p>
    <w:p>
      <w:pPr>
        <w:spacing w:after="0" w:line="17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our most recent Annual Report on Form 10-K, such laws may include the federal Anti-Kickback Statute, the federal civil and criminal FCA, the Civil Monetary Penalties (“CMP”) Law, the Medicaid Drug Rebate Statute and other price reporting requirements, the Veterans Health Care Act of 1992, the Sunshine Act, Health Insurance Portability and Accountability Act of 1996 (“HIPAA”), the FCPA, the Affordable Care Act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the California Consumer Privacy Act, or CCPA, which went into effect on January 1, 2020, and was subsequently amended and expanded by the California Privacy Rights Act, or CPRA, taking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Additional modifications may continue to be made to the CCPA and CPRA by the California legislature and their interpretation by regulators may continue to evolve. Since the passage of the CCPA, certain other states have passed similar laws that may also have similar impacts on our data processing practices and incurred costs. Some of these state laws or amendments to these laws are continuing to take effect, and we cannot predict if states will subsequently amend those laws, if other states will pass similar laws, or the costs and expenses that we will incur to comply with such laws. Therefore, the effects of these state data protection laws are significant and will likely require us to modify our data processing practices and may cause us to incur substantial costs and expenses to comply.</w:t>
      </w:r>
    </w:p>
    <w:p>
      <w:pPr>
        <w:spacing w:after="0" w:line="190"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including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European Economic Area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9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also federal and state laws on marketing and solicitation, such as CAN-SPAM. The CAN-SPAM Act, among other things, obligates the sender of commercial emails to provide recipients with the ability to opt out of receiving future commercial emails from the sender. Any failure by us to comply fully with the CAN-SPAM Act may leave us subject to substantial fines and penalties.</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laws and regulations that apply to us, we may be subject to penalties or other enforcement actions,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such physicians or other healthcare providers or entities may be subject to criminal, civil, or administrative sanctions, including but not limited to, exclusions from participation in government healthcare programs, which could also materially affect our business.</w:t>
      </w:r>
    </w:p>
    <w:p>
      <w:pPr>
        <w:spacing w:after="0" w:line="19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Third-party coverage and adequate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with the first negotiated prices having become effective as of January 1,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The April 2025 EO also directs HHS to provide recommendations within 180 days to accelerate the approval of generics, biosimilars, combination products and second-in-class medications, as well as to address Medicaid drug rebates and Medicaid drug payment methodologies, and, within one year, to develop and implement a plan to test a payment model to enable Medicare to obtain pharmaceuticals at lower cost. Other Centers for Medicare &amp; Medicaid Services (CMS) policy changes and demonstration projects to test new care, delivery and payment models can also significantly affect how drugs, including our products, are covered and reimbursed. Legislative and regulatory proposals may also be made to expand post-approval requirements and restrict sales and promotional activities for drugs. To date, CMS has selected ten Medicare Part D drugs with prices to go into effect on January 1, 2026 and another 15 Part D drugs with prices to go into effect on January 1, 2027, and an additional 15 Medicare Part B or Medicare Part D drugs selected in February 1, 2026 for prices to go into effect in 2028.</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list of negotiated Medicare drugs grows yearly, and by 2029, it will have reached around 60 high-cost, single-source drugs – those without generic or biosimilar alternatives.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 We continue to evaluate the impact of the IRA on our business, operations and financial condition.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Further,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Drug Supply Chain Security Act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largely been implemented, with FDA currently exercising enforcement discretion during a stabilization period. The distribution of product samples continues to be regulated under the PDMA, and some states also impose regulations on drug sample distribution.</w:t>
      </w:r>
    </w:p>
    <w:p>
      <w:pPr>
        <w:spacing w:after="0" w:line="19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industry is currently analyzing the proposed Global Benchmark for Efficient Drug Pricing, or GLOBE Model, published by CMS in the Federal Register on December 23, 2025. This mandatory payment model pilot, aimed at implementing MFN drug pricing in Medicare Part B by using international benchmarks, was subject to public comment through February 23, 2026, and is currently under review by CMS. If finalized as proposed, the model is expected to begin on October 1, 2026, and run through September 30, 2031. The implications of this rule, along with its companion, Guarding U.S. Medicare Against Rising Drug Costs, or GUARD Model, which is focused on Part D drugs, and other MFN pricing pressures, could lead to voluntary or involuntary manufacturer price changes, which could be either temporary or long term, but all of which could adversely affect our business. Furthermore, these actions may lead to legal challenges, introducing additional uncertainty into our business operations.</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In the EU, several recently adopted and pending legislation will impact regulatory procedures for medicinal products. Key developments include:</w:t>
      </w:r>
    </w:p>
    <w:p>
      <w:pPr>
        <w:spacing w:after="0" w:line="129" w:lineRule="exact"/>
        <w:rPr>
          <w:sz w:val="20"/>
          <w:szCs w:val="20"/>
          <w:color w:val="auto"/>
        </w:rPr>
      </w:pPr>
    </w:p>
    <w:p>
      <w:pPr>
        <w:ind w:left="1020" w:hanging="503"/>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Pharma Package – This is the largest reform of the EU’s Pharmaceutical Legislation in 20 years. Following a political agreement reached in December 2025, the final Regulation and Directive texts were published in March 2026 and remain subject to formal adoption and publication in the EU’s Official Journal, expected in 2026. Most provisions are expected to apply from 2028, following a two-year transition period. The reform encompasses a broad range of measures, including changes to regulatory exclusivity, incentives to combat antimicrobial resistance, intellectual property exemptions for generic medicines, orphan products, and marketing authorization procedures;</w:t>
      </w:r>
    </w:p>
    <w:p>
      <w:pPr>
        <w:spacing w:after="0" w:line="7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2021/2282 on health technology assessment (HTA Regulation) – This became applicable in the EU on January 12, 2025, introducing a single EU-level submission file for joint clinical assessments for oncology medicines and advanced therapy medicinal products The EU HTA-R will be extended to orphan medicines in January 2028 and, as of 2030, will cover all new centrally authorized medicinal products;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020" w:right="1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legislative initiatives include Regulation (EU) 2024/1938 on substances of human origin (SoHO Regulation), which has been adopted and published and will apply primarily from August 2027 onwards, the proposed SPC Regulation revision, the proposed Critical Medicines Act, which entered trilogue negotiations in 2026, and the proposed Biotech Act.</w:t>
      </w:r>
    </w:p>
    <w:p>
      <w:pPr>
        <w:spacing w:after="0" w:line="17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Moreover, other EU “horizontal” legislation may impact companies operating in the pharmaceutical sector, including Regulation (EU) 2024/1689 (AI Act), Regulation (EU) 2023/2854 (Data Act), Regulation (EU) 2025/327 (Health Data Space Regulation), which has been adopted and entered into force, and the NIS 2 Directive. Moreover, the EU is currently discussing the Digital Omnibus Package, which comprises a series of technical amendments to a wide body of EU digital legislation.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cybersecurity and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For example, the One Big Beautiful Bill Act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requirements.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Further, the OBBBA enacted, among others, changes to eligibility requirements for premium tax credits, which are expected to result in less coverage in the ACA’s health insurance marketplace (“Marketplace”) over the next few years. The ACA’s enhanced premium tax credits expired at the end of 2025, which is expected to result in significant increases in the uninsured population who may have otherwise enrolled in insurance plans obtained through the Marketplace. In addition, the OBBBA made other changes to the enrollment and eligibility requirements for Medicaid, which resulted in the loss of coverage for certain individuals who were previously enrolled in Medicaid programs.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94"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51"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8" w:lineRule="exact"/>
        <w:rPr>
          <w:sz w:val="20"/>
          <w:szCs w:val="20"/>
          <w:color w:val="auto"/>
        </w:rPr>
      </w:pPr>
    </w:p>
    <w:p>
      <w:pPr>
        <w:ind w:right="160" w:firstLine="749"/>
        <w:spacing w:after="0" w:line="226" w:lineRule="exact"/>
        <w:rPr>
          <w:sz w:val="20"/>
          <w:szCs w:val="20"/>
          <w:color w:val="auto"/>
        </w:rPr>
      </w:pPr>
      <w:r>
        <w:rPr>
          <w:rFonts w:ascii="Times New Roman" w:cs="Times New Roman" w:eastAsia="Times New Roman" w:hAnsi="Times New Roman"/>
          <w:sz w:val="18"/>
          <w:szCs w:val="18"/>
          <w:color w:val="auto"/>
        </w:rPr>
        <w:t>As of April 27, 2026, we had 1,220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06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3"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commencement, enrollment, and ultimate completion, of our planned and ongoing Phase 3 clinical trials for our product candidates;</w:t>
      </w:r>
    </w:p>
    <w:p>
      <w:pPr>
        <w:spacing w:after="0" w:line="23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8"/>
          <w:szCs w:val="18"/>
          <w:color w:val="auto"/>
        </w:rPr>
      </w:pPr>
    </w:p>
    <w:p>
      <w:pPr>
        <w:ind w:left="760" w:right="480" w:hanging="378"/>
        <w:spacing w:after="0" w:line="245" w:lineRule="exact"/>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198" w:lineRule="exact"/>
        <w:rPr>
          <w:rFonts w:ascii="Times New Roman" w:cs="Times New Roman" w:eastAsia="Times New Roman" w:hAnsi="Times New Roman"/>
          <w:sz w:val="18"/>
          <w:szCs w:val="18"/>
          <w:color w:val="auto"/>
        </w:rPr>
      </w:pPr>
    </w:p>
    <w:p>
      <w:pPr>
        <w:ind w:left="760" w:right="6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our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of April 27, 2026, our executive officers, directors, and 5% stockholders and their affiliates beneficially owned an aggregate of approximately 33%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from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of April 27, 2026, we have outstanding 51,459,766 shares of common stock and 8,884,475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43,546,153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right="60"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shares of common stock subject to options or other equity awards issued and remain outstanding, or reserved for issuance under our 2015 Plan and 2025 Long-Term Incentive Plan and additional shares of common stock reserved for issuance under our 2023 Employee Stock Purchase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Partners LLC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2025, we had U.S. federal net operating loss, or NOL, carryforwards of approximately $577.9 million and foreign NOL carryforwards of $281.3 million. U.S. federal net operating loss carry forwards amounting to $59.8 million generated before the 2018 tax year will start expiring beginning 2032, if we have not used them prior to that time, and the U.S. federal net operating losses of approximately $518.1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Blackstone Loan Agreement contains restrictive covenants that prohibit us from declaring or paying any dividends or making any other distributions on our common stock, except as may be expressly permitted under the facility.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9"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Adopted</w:t>
            </w: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60" w:type="dxa"/>
            <w:vAlign w:val="bottom"/>
            <w:tcBorders>
              <w:top w:val="single" w:sz="8" w:color="auto"/>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28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b w:val="1"/>
                <w:bCs w:val="1"/>
                <w:color w:val="auto"/>
              </w:rPr>
              <w:t>Name</w:t>
            </w:r>
          </w:p>
        </w:tc>
        <w:tc>
          <w:tcPr>
            <w:tcW w:w="224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Title</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Date of Adoption of Rule</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Scheduled Expiration</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Aggregate Number of</w:t>
            </w:r>
          </w:p>
        </w:tc>
        <w:tc>
          <w:tcPr>
            <w:tcW w:w="0" w:type="dxa"/>
            <w:vAlign w:val="bottom"/>
          </w:tcPr>
          <w:p>
            <w:pPr>
              <w:spacing w:after="0"/>
              <w:rPr>
                <w:sz w:val="1"/>
                <w:szCs w:val="1"/>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89"/>
        </w:trPr>
        <w:tc>
          <w:tcPr>
            <w:tcW w:w="66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18"/>
                <w:szCs w:val="18"/>
                <w:b w:val="1"/>
                <w:bCs w:val="1"/>
                <w:color w:val="auto"/>
              </w:rPr>
              <w:t>Trading 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280" w:type="dxa"/>
            <w:vAlign w:val="bottom"/>
            <w:tcBorders>
              <w:left w:val="single" w:sz="8" w:color="auto"/>
              <w:bottom w:val="single" w:sz="8" w:color="auto"/>
              <w:right w:val="single" w:sz="8" w:color="auto"/>
            </w:tcBorders>
            <w:gridSpan w:val="2"/>
          </w:tcPr>
          <w:p>
            <w:pPr>
              <w:ind w:left="120"/>
              <w:spacing w:after="0" w:line="193" w:lineRule="exact"/>
              <w:rPr>
                <w:sz w:val="20"/>
                <w:szCs w:val="20"/>
                <w:color w:val="auto"/>
              </w:rPr>
            </w:pPr>
            <w:r>
              <w:rPr>
                <w:rFonts w:ascii="Times New Roman" w:cs="Times New Roman" w:eastAsia="Times New Roman" w:hAnsi="Times New Roman"/>
                <w:sz w:val="18"/>
                <w:szCs w:val="18"/>
                <w:color w:val="auto"/>
              </w:rPr>
              <w:t>Mark Coleman</w:t>
            </w:r>
          </w:p>
        </w:tc>
        <w:tc>
          <w:tcPr>
            <w:tcW w:w="224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17"/>
                <w:szCs w:val="17"/>
                <w:color w:val="auto"/>
              </w:rPr>
              <w:t>February 27, 2026</w:t>
            </w:r>
            <w:r>
              <w:rPr>
                <w:rFonts w:ascii="Times New Roman" w:cs="Times New Roman" w:eastAsia="Times New Roman" w:hAnsi="Times New Roman"/>
                <w:sz w:val="22"/>
                <w:szCs w:val="22"/>
                <w:color w:val="auto"/>
                <w:vertAlign w:val="superscript"/>
              </w:rPr>
              <w:t>(2)</w:t>
            </w:r>
          </w:p>
        </w:tc>
        <w:tc>
          <w:tcPr>
            <w:tcW w:w="22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December 31, 2026</w:t>
            </w:r>
          </w:p>
        </w:tc>
        <w:tc>
          <w:tcPr>
            <w:tcW w:w="22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18,180</w:t>
            </w: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Mark Saad</w:t>
            </w:r>
          </w:p>
        </w:tc>
        <w:tc>
          <w:tcPr>
            <w:tcW w:w="224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4"/>
                <w:szCs w:val="14"/>
                <w:color w:val="auto"/>
              </w:rPr>
              <w:t>February 27, 2026</w:t>
            </w:r>
            <w:r>
              <w:rPr>
                <w:rFonts w:ascii="Times New Roman" w:cs="Times New Roman" w:eastAsia="Times New Roman" w:hAnsi="Times New Roman"/>
                <w:sz w:val="18"/>
                <w:szCs w:val="18"/>
                <w:color w:val="auto"/>
                <w:vertAlign w:val="superscript"/>
              </w:rPr>
              <w:t>(2)</w:t>
            </w:r>
          </w:p>
        </w:tc>
        <w:tc>
          <w:tcPr>
            <w:tcW w:w="224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8"/>
                <w:szCs w:val="18"/>
                <w:color w:val="auto"/>
              </w:rPr>
              <w:t>March 15, 2027</w:t>
            </w:r>
          </w:p>
        </w:tc>
        <w:tc>
          <w:tcPr>
            <w:tcW w:w="224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4"/>
                <w:szCs w:val="14"/>
                <w:color w:val="auto"/>
              </w:rPr>
              <w:t>11,000</w:t>
            </w:r>
            <w:r>
              <w:rPr>
                <w:rFonts w:ascii="Times New Roman" w:cs="Times New Roman" w:eastAsia="Times New Roman" w:hAnsi="Times New Roman"/>
                <w:sz w:val="18"/>
                <w:szCs w:val="18"/>
                <w:color w:val="auto"/>
                <w:vertAlign w:val="superscript"/>
              </w:rPr>
              <w:t>(3)</w:t>
            </w: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Roger Jeffs</w:t>
            </w:r>
          </w:p>
        </w:tc>
        <w:tc>
          <w:tcPr>
            <w:tcW w:w="22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February 27, 2026</w:t>
            </w:r>
            <w:r>
              <w:rPr>
                <w:rFonts w:ascii="Times New Roman" w:cs="Times New Roman" w:eastAsia="Times New Roman" w:hAnsi="Times New Roman"/>
                <w:sz w:val="24"/>
                <w:szCs w:val="24"/>
                <w:color w:val="auto"/>
                <w:vertAlign w:val="superscript"/>
              </w:rPr>
              <w:t>(2)</w:t>
            </w:r>
          </w:p>
        </w:tc>
        <w:tc>
          <w:tcPr>
            <w:tcW w:w="22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September 4, 2026</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8"/>
        </w:trPr>
        <w:tc>
          <w:tcPr>
            <w:tcW w:w="2280" w:type="dxa"/>
            <w:vAlign w:val="bottom"/>
            <w:tcBorders>
              <w:left w:val="single" w:sz="8" w:color="auto"/>
              <w:bottom w:val="single" w:sz="8" w:color="auto"/>
              <w:right w:val="single" w:sz="8" w:color="auto"/>
            </w:tcBorders>
            <w:gridSpan w:val="2"/>
            <w:vMerge w:val="continue"/>
          </w:tcPr>
          <w:p>
            <w:pPr>
              <w:spacing w:after="0"/>
              <w:rPr>
                <w:sz w:val="11"/>
                <w:szCs w:val="11"/>
                <w:color w:val="auto"/>
              </w:rPr>
            </w:pPr>
          </w:p>
        </w:tc>
        <w:tc>
          <w:tcPr>
            <w:tcW w:w="2240" w:type="dxa"/>
            <w:vAlign w:val="bottom"/>
            <w:tcBorders>
              <w:bottom w:val="single" w:sz="8" w:color="auto"/>
              <w:right w:val="single" w:sz="8" w:color="auto"/>
            </w:tcBorders>
            <w:vMerge w:val="continue"/>
          </w:tcPr>
          <w:p>
            <w:pPr>
              <w:spacing w:after="0"/>
              <w:rPr>
                <w:sz w:val="11"/>
                <w:szCs w:val="11"/>
                <w:color w:val="auto"/>
              </w:rPr>
            </w:pPr>
          </w:p>
        </w:tc>
        <w:tc>
          <w:tcPr>
            <w:tcW w:w="2240" w:type="dxa"/>
            <w:vAlign w:val="bottom"/>
            <w:tcBorders>
              <w:bottom w:val="single" w:sz="8" w:color="auto"/>
              <w:right w:val="single" w:sz="8" w:color="auto"/>
            </w:tcBorders>
            <w:vMerge w:val="continue"/>
          </w:tcPr>
          <w:p>
            <w:pPr>
              <w:spacing w:after="0"/>
              <w:rPr>
                <w:sz w:val="11"/>
                <w:szCs w:val="11"/>
                <w:color w:val="auto"/>
              </w:rPr>
            </w:pPr>
          </w:p>
        </w:tc>
        <w:tc>
          <w:tcPr>
            <w:tcW w:w="2240" w:type="dxa"/>
            <w:vAlign w:val="bottom"/>
            <w:tcBorders>
              <w:bottom w:val="single" w:sz="8" w:color="auto"/>
              <w:right w:val="single" w:sz="8" w:color="auto"/>
            </w:tcBorders>
            <w:vMerge w:val="continue"/>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Susan Mahony</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March 2, 2026</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30, 2026</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Herriot Tabuteau</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10, 2026</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January 6, 2027</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149,000</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Nick Pizzie</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10, 2026</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September 15, 2026</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33,000</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0"/>
          <w:szCs w:val="20"/>
          <w:color w:val="auto"/>
        </w:rPr>
      </w:pPr>
    </w:p>
    <w:p>
      <w:pPr>
        <w:ind w:left="220" w:hanging="212"/>
        <w:spacing w:after="0"/>
        <w:tabs>
          <w:tab w:leader="none" w:pos="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20" w:firstLine="8"/>
        <w:spacing w:after="0" w:line="221" w:lineRule="auto"/>
        <w:tabs>
          <w:tab w:leader="none" w:pos="20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ind w:left="220" w:hanging="212"/>
        <w:spacing w:after="0" w:line="221" w:lineRule="auto"/>
        <w:tabs>
          <w:tab w:leader="none" w:pos="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sale of shares underlying stock options that will be exercised prior to expiration.</w:t>
      </w:r>
    </w:p>
    <w:p>
      <w:pPr>
        <w:ind w:left="220" w:hanging="212"/>
        <w:spacing w:after="0"/>
        <w:tabs>
          <w:tab w:leader="none" w:pos="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net shares that vest on June 6, 2026 upon settlement of RSUs held by the reporting person will be sold.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Terminated</w:t>
            </w: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73"/>
        </w:trPr>
        <w:tc>
          <w:tcPr>
            <w:tcW w:w="920" w:type="dxa"/>
            <w:vAlign w:val="bottom"/>
            <w:tcBorders>
              <w:top w:val="single" w:sz="8" w:color="auto"/>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r>
      <w:tr>
        <w:trPr>
          <w:trHeight w:val="150"/>
        </w:trPr>
        <w:tc>
          <w:tcPr>
            <w:tcW w:w="228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b w:val="1"/>
                <w:bCs w:val="1"/>
                <w:color w:val="auto"/>
              </w:rPr>
              <w:t>Name</w:t>
            </w:r>
          </w:p>
        </w:tc>
        <w:tc>
          <w:tcPr>
            <w:tcW w:w="224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Title</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Date of Termination of</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Scheduled Expiration</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Aggregate Number of</w:t>
            </w:r>
          </w:p>
        </w:tc>
      </w:tr>
      <w:tr>
        <w:trPr>
          <w:trHeight w:val="196"/>
        </w:trPr>
        <w:tc>
          <w:tcPr>
            <w:tcW w:w="92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Rule 10b5-1 Trading</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289"/>
        </w:trPr>
        <w:tc>
          <w:tcPr>
            <w:tcW w:w="920" w:type="dxa"/>
            <w:vAlign w:val="bottom"/>
            <w:tcBorders>
              <w:left w:val="single" w:sz="8" w:color="auto"/>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193"/>
        </w:trPr>
        <w:tc>
          <w:tcPr>
            <w:tcW w:w="2280" w:type="dxa"/>
            <w:vAlign w:val="bottom"/>
            <w:tcBorders>
              <w:left w:val="single" w:sz="8" w:color="auto"/>
              <w:bottom w:val="single" w:sz="8" w:color="auto"/>
              <w:right w:val="single" w:sz="8" w:color="auto"/>
            </w:tcBorders>
            <w:gridSpan w:val="2"/>
          </w:tcPr>
          <w:p>
            <w:pPr>
              <w:ind w:left="120"/>
              <w:spacing w:after="0" w:line="193" w:lineRule="exact"/>
              <w:rPr>
                <w:sz w:val="20"/>
                <w:szCs w:val="20"/>
                <w:color w:val="auto"/>
              </w:rPr>
            </w:pPr>
            <w:r>
              <w:rPr>
                <w:rFonts w:ascii="Times New Roman" w:cs="Times New Roman" w:eastAsia="Times New Roman" w:hAnsi="Times New Roman"/>
                <w:sz w:val="18"/>
                <w:szCs w:val="18"/>
                <w:color w:val="auto"/>
              </w:rPr>
              <w:t>Mark Saad</w:t>
            </w:r>
          </w:p>
        </w:tc>
        <w:tc>
          <w:tcPr>
            <w:tcW w:w="224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17"/>
                <w:szCs w:val="17"/>
                <w:color w:val="auto"/>
              </w:rPr>
              <w:t>February 26, 2026</w:t>
            </w:r>
            <w:r>
              <w:rPr>
                <w:rFonts w:ascii="Times New Roman" w:cs="Times New Roman" w:eastAsia="Times New Roman" w:hAnsi="Times New Roman"/>
                <w:sz w:val="22"/>
                <w:szCs w:val="22"/>
                <w:color w:val="auto"/>
                <w:vertAlign w:val="superscript"/>
              </w:rPr>
              <w:t>(2)</w:t>
            </w:r>
          </w:p>
        </w:tc>
        <w:tc>
          <w:tcPr>
            <w:tcW w:w="22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March 15, 2027</w:t>
            </w:r>
          </w:p>
        </w:tc>
        <w:tc>
          <w:tcPr>
            <w:tcW w:w="2240" w:type="dxa"/>
            <w:vAlign w:val="bottom"/>
            <w:tcBorders>
              <w:bottom w:val="single" w:sz="8" w:color="auto"/>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17"/>
                <w:szCs w:val="17"/>
                <w:color w:val="auto"/>
              </w:rPr>
              <w:t>48,577</w:t>
            </w:r>
            <w:r>
              <w:rPr>
                <w:rFonts w:ascii="Times New Roman" w:cs="Times New Roman" w:eastAsia="Times New Roman" w:hAnsi="Times New Roman"/>
                <w:sz w:val="22"/>
                <w:szCs w:val="22"/>
                <w:color w:val="auto"/>
                <w:vertAlign w:val="superscript"/>
              </w:rPr>
              <w:t>(4)</w:t>
            </w:r>
          </w:p>
        </w:tc>
      </w:tr>
      <w:tr>
        <w:trPr>
          <w:trHeight w:val="209"/>
        </w:trPr>
        <w:tc>
          <w:tcPr>
            <w:tcW w:w="2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Nick Pizzie</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March 5, 2026</w:t>
            </w:r>
            <w:r>
              <w:rPr>
                <w:rFonts w:ascii="Times New Roman" w:cs="Times New Roman" w:eastAsia="Times New Roman" w:hAnsi="Times New Roman"/>
                <w:sz w:val="24"/>
                <w:szCs w:val="24"/>
                <w:color w:val="auto"/>
                <w:vertAlign w:val="superscript"/>
              </w:rPr>
              <w:t>(3)</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September 15, 2026</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37,000</w:t>
            </w:r>
            <w:r>
              <w:rPr>
                <w:rFonts w:ascii="Times New Roman" w:cs="Times New Roman" w:eastAsia="Times New Roman" w:hAnsi="Times New Roman"/>
                <w:sz w:val="24"/>
                <w:szCs w:val="24"/>
                <w:color w:val="auto"/>
                <w:vertAlign w:val="superscript"/>
              </w:rPr>
              <w:t>(5)</w:t>
            </w:r>
          </w:p>
        </w:tc>
      </w:tr>
    </w:tbl>
    <w:p>
      <w:pPr>
        <w:spacing w:after="0" w:line="45" w:lineRule="exact"/>
        <w:rPr>
          <w:sz w:val="20"/>
          <w:szCs w:val="20"/>
          <w:color w:val="auto"/>
        </w:rPr>
      </w:pP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termination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380" w:firstLine="8"/>
        <w:spacing w:after="0" w:line="221" w:lineRule="auto"/>
        <w:tabs>
          <w:tab w:leader="none" w:pos="20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adoption of this Rule 10b5-1 trading arrangement was September 11, 2025. The first trade pursuant to the Rule 10b5-1 trading arrangement was, in accordance with both the Company’s insider trading policy and applicable SEC rules and regulations, on a date after the date of adoption of the Rule 10b5-1 trading arrangement.</w:t>
      </w:r>
    </w:p>
    <w:p>
      <w:pPr>
        <w:ind w:right="380" w:firstLine="8"/>
        <w:spacing w:after="0" w:line="221" w:lineRule="auto"/>
        <w:tabs>
          <w:tab w:leader="none" w:pos="20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adoption of this Rule 10b5-1 trading arrangement was September 15, 2025. The first trade pursuant to the Rule 10b5-1 trading arrangement was, in accordance with both the Company’s insider trading policy and applicable SEC rules and regulations, on a date after the date of adoption of the Rule 10b5-1 trading arrangement.</w:t>
      </w:r>
    </w:p>
    <w:p>
      <w:pPr>
        <w:ind w:left="220" w:hanging="212"/>
        <w:spacing w:after="0" w:line="221" w:lineRule="auto"/>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its termination, 37,577 shares of common stock pursuant to the exercise of non-qualified stock options were sold pursuant to this Rule 10b5-1 trading arrangement.</w:t>
      </w:r>
    </w:p>
    <w:p>
      <w:pPr>
        <w:ind w:left="220" w:hanging="212"/>
        <w:spacing w:after="0"/>
        <w:tabs>
          <w:tab w:leader="none" w:pos="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its termination, 12,000 shares of common stock pursuant to the exercise of non-qualified stock options were sold pursuant to this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4"/>
          </w:tcPr>
          <w:p>
            <w:pPr>
              <w:ind w:left="16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245"/>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60" w:type="dxa"/>
            <w:vAlign w:val="bottom"/>
            <w:gridSpan w:val="4"/>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1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 Sarbanes-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260" w:type="dxa"/>
            <w:vAlign w:val="bottom"/>
            <w:tcBorders>
              <w:top w:val="single" w:sz="8" w:color="0000FF"/>
            </w:tcBorders>
            <w:gridSpan w:val="2"/>
          </w:tcPr>
          <w:p>
            <w:pPr>
              <w:spacing w:after="0"/>
              <w:rPr>
                <w:sz w:val="17"/>
                <w:szCs w:val="17"/>
                <w:color w:val="auto"/>
              </w:rPr>
            </w:pPr>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 as adopted pursuant to Section 906 of the Sarbanes-Oxley Act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 as adopted pursuant to Section 906 of the Sarbanes-Oxley Act of</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220" w:firstLine="8"/>
        <w:spacing w:after="0" w:line="501" w:lineRule="auto"/>
        <w:tabs>
          <w:tab w:leader="none" w:pos="11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**Filed herewith.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48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26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26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Pizzie</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Nick Pizzie</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420" w:type="dxa"/>
            <w:vAlign w:val="bottom"/>
          </w:tcPr>
          <w:p>
            <w:pPr>
              <w:spacing w:after="0"/>
              <w:rPr>
                <w:sz w:val="24"/>
                <w:szCs w:val="24"/>
                <w:color w:val="auto"/>
              </w:rPr>
            </w:pP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119</w:t>
            </w:r>
          </w:p>
        </w:tc>
        <w:tc>
          <w:tcPr>
            <w:tcW w:w="5160" w:type="dxa"/>
            <w:vAlign w:val="bottom"/>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14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March 31, 2026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20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March 31, 2026 as filed with the Securities and Exchange Commission (the “Report”), I, Nick Pizzie, Chief Financial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May 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Roman"/>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04"/>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2026-05-04T16:13:34Z</dcterms:created>
  <dcterms:modified xsi:type="dcterms:W3CDTF">2026-05-04T16:13:34Z</dcterms:modified>
</cp:coreProperties>
</file>