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June 28, 2023, Axsome Therapeutics, Inc. (the “Company”) entered into an underwriting agreement (the “Underwriting Agreement”) with SVB Securities LLC, as representative of the underwriters named therein (the “Underwriters”), relating to the issuance and sale in a public offering of 3,000,000 shares (the “Shares”) of the Company’s common stock to the Underwriters (the “Offering”). The Shares were sold at a price to the public of $75.00 per share. The Company also granted the Underwriters a 30-day option to purchase up to 450,000 additional shares of its common stock at the public offering price, less underwriting discounts and commissions. The net proceeds to the Company from the Offering, assuming no exercise by the Underwriters of their option to purchase additional shares, are expected to be approximately $211.0 million, after deducting underwriting discounts and commissions and estimated offering expenses payable by the Company. The offering is expected to close on or about June 30, 2023, subject to the satisfaction of customary closing conditions.</w:t>
      </w:r>
    </w:p>
    <w:p>
      <w:pPr>
        <w:spacing w:after="0" w:line="19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Offering is being made pursuant to the Company’s effective registration statement on Form S-3 (Registration Statement No. 333-268664) and an accompanying prospectus, previously filed by the Company with the Securities and Exchange Commission (the “SEC”), which became effective on December 2, 2022, and a preliminary and final prospectus supplement thereunder. The Underwriting Agreement is attached as Exhibit 1.1 hereto, and the description of the terms of the Underwriting Agreement is qualified in its entirety by reference to such exhibit. A copy of the opinion of DLA Piper LLP (US) relating to the legality of the issuance and sale of the Shares in the Offering is attached as Exhibit 5.1 hereto.</w:t>
      </w:r>
    </w:p>
    <w:p>
      <w:pPr>
        <w:spacing w:after="0" w:line="17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On June 27, 2023, the Company issued a press release announcing that it had commenced the Offering. On June 28, 2023, the Company issued a press release announcing the pricing of the Offering. Copies of these press releases are attached as Exhibits 99.1 and 99.2 hereto, respectively.</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None of the disclosures in this Current Report on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This Current Report on Form 8-K contains forward-looking statements, all of which are subject to risks and uncertainties. Forward-looking statements can be identified by the use of words such as “expects,” “plans,” “will,” “projects,” “intends,” “estimates,” and other words of similar meaning. Each forward-looking statement is subject to risks and uncertainties that could cause actual results to differ materially from those expressed or implied in such statement. Readers should carefully consider any such statement and should understand that many factors could cause actual results to differ from these forward-looking statements. These factors may include inaccurate assumptions and a broad variety of other risks and uncertainties, including some that are known and some that are not. No forward-looking statement can be guaranteed, and actual future results may vary materially. Except as required by law, the Company does not assume any obligation to update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00" w:type="dxa"/>
            <w:vAlign w:val="bottom"/>
          </w:tcPr>
          <w:p>
            <w:pPr>
              <w:ind w:left="2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Underwriting Agreement, dated June 28, 2023, by and between Axsome Therapeutics, Inc. and SVB Securities LLC, as</w:t>
            </w:r>
          </w:p>
        </w:tc>
        <w:tc>
          <w:tcPr>
            <w:tcW w:w="7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9"/>
              </w:rPr>
              <w:t>representative of the underwriters named therein.</w:t>
            </w:r>
          </w:p>
        </w:tc>
        <w:tc>
          <w:tcPr>
            <w:tcW w:w="5820" w:type="dxa"/>
            <w:vAlign w:val="bottom"/>
            <w:gridSpan w:val="3"/>
          </w:tcPr>
          <w:p>
            <w:pPr>
              <w:spacing w:after="0"/>
              <w:rPr>
                <w:sz w:val="17"/>
                <w:szCs w:val="17"/>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6"/>
          </w:tcPr>
          <w:p>
            <w:pPr>
              <w:spacing w:after="0"/>
              <w:rPr>
                <w:sz w:val="20"/>
                <w:szCs w:val="20"/>
                <w:color w:val="auto"/>
              </w:rPr>
            </w:pPr>
            <w:r>
              <w:rPr>
                <w:rFonts w:ascii="Arial" w:cs="Arial" w:eastAsia="Arial" w:hAnsi="Arial"/>
                <w:sz w:val="18"/>
                <w:szCs w:val="18"/>
                <w:color w:val="0000FF"/>
              </w:rPr>
              <w:t>Opinion of DLA Piper LLP (US).</w:t>
            </w:r>
          </w:p>
        </w:tc>
      </w:tr>
      <w:tr>
        <w:trPr>
          <w:trHeight w:val="20"/>
        </w:trPr>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6"/>
          </w:tcPr>
          <w:p>
            <w:pPr>
              <w:spacing w:after="0"/>
              <w:rPr>
                <w:sz w:val="20"/>
                <w:szCs w:val="20"/>
                <w:color w:val="auto"/>
              </w:rPr>
            </w:pPr>
            <w:r>
              <w:rPr>
                <w:rFonts w:ascii="Arial" w:cs="Arial" w:eastAsia="Arial" w:hAnsi="Arial"/>
                <w:sz w:val="18"/>
                <w:szCs w:val="18"/>
                <w:color w:val="0000FF"/>
              </w:rPr>
              <w:t>Consent of DLA Piper LLP (US) (included in Exhibit 5.1).</w:t>
            </w: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Press Release dated June 27, 2023.</w:t>
            </w:r>
          </w:p>
        </w:tc>
        <w:tc>
          <w:tcPr>
            <w:tcW w:w="5140" w:type="dxa"/>
            <w:vAlign w:val="bottom"/>
            <w:gridSpan w:val="2"/>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99.2</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6"/>
          </w:tcPr>
          <w:p>
            <w:pPr>
              <w:spacing w:after="0"/>
              <w:rPr>
                <w:sz w:val="20"/>
                <w:szCs w:val="20"/>
                <w:color w:val="auto"/>
              </w:rPr>
            </w:pPr>
            <w:r>
              <w:rPr>
                <w:rFonts w:ascii="Arial" w:cs="Arial" w:eastAsia="Arial" w:hAnsi="Arial"/>
                <w:sz w:val="18"/>
                <w:szCs w:val="18"/>
                <w:color w:val="0000FF"/>
              </w:rPr>
              <w:t>Press Release dated June 28, 2023.</w:t>
            </w:r>
          </w:p>
        </w:tc>
      </w:tr>
      <w:tr>
        <w:trPr>
          <w:trHeight w:val="20"/>
        </w:trPr>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r>
      <w:tr>
        <w:trPr>
          <w:trHeight w:val="263"/>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7"/>
        </w:trPr>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42"/>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20" w:type="dxa"/>
            <w:vAlign w:val="bottom"/>
          </w:tcPr>
          <w:p>
            <w:pPr>
              <w:ind w:left="160"/>
              <w:spacing w:after="0"/>
              <w:rPr>
                <w:sz w:val="20"/>
                <w:szCs w:val="20"/>
                <w:color w:val="auto"/>
              </w:rPr>
            </w:pPr>
            <w:r>
              <w:rPr>
                <w:rFonts w:ascii="Arial" w:cs="Arial" w:eastAsia="Arial" w:hAnsi="Arial"/>
                <w:sz w:val="18"/>
                <w:szCs w:val="18"/>
                <w:color w:val="auto"/>
              </w:rPr>
              <w:t>June 28, 2023</w:t>
            </w: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15"/>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Axsome Therapeutics,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June 28, 2023</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SVB Securities LLC</w:t>
      </w:r>
    </w:p>
    <w:p>
      <w:pPr>
        <w:spacing w:after="0"/>
        <w:rPr>
          <w:sz w:val="20"/>
          <w:szCs w:val="20"/>
          <w:color w:val="auto"/>
        </w:rPr>
      </w:pPr>
      <w:r>
        <w:rPr>
          <w:rFonts w:ascii="Arial" w:cs="Arial" w:eastAsia="Arial" w:hAnsi="Arial"/>
          <w:sz w:val="20"/>
          <w:szCs w:val="20"/>
          <w:color w:val="auto"/>
        </w:rPr>
        <w:t>as Representative of the several Underwriters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 SVB Securities LLC</w:t>
      </w:r>
    </w:p>
    <w:p>
      <w:pPr>
        <w:spacing w:after="0" w:line="207" w:lineRule="auto"/>
        <w:rPr>
          <w:sz w:val="20"/>
          <w:szCs w:val="20"/>
          <w:color w:val="auto"/>
        </w:rPr>
      </w:pPr>
      <w:r>
        <w:rPr>
          <w:rFonts w:ascii="Arial" w:cs="Arial" w:eastAsia="Arial" w:hAnsi="Arial"/>
          <w:sz w:val="20"/>
          <w:szCs w:val="20"/>
          <w:color w:val="auto"/>
        </w:rPr>
        <w:t>1301 Avenue of the Americas,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Axsome Therapeutics,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confirms its agreement with SVB Securities LLC (“</w:t>
      </w:r>
      <w:r>
        <w:rPr>
          <w:rFonts w:ascii="Arial" w:cs="Arial" w:eastAsia="Arial" w:hAnsi="Arial"/>
          <w:sz w:val="19"/>
          <w:szCs w:val="19"/>
          <w:u w:val="single" w:color="auto"/>
          <w:color w:val="auto"/>
        </w:rPr>
        <w:t>SVB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and each of the other Underwriters named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(collectively, the “</w:t>
      </w:r>
      <w:r>
        <w:rPr>
          <w:rFonts w:ascii="Arial" w:cs="Arial" w:eastAsia="Arial" w:hAnsi="Arial"/>
          <w:sz w:val="19"/>
          <w:szCs w:val="19"/>
          <w:u w:val="single" w:color="auto"/>
          <w:color w:val="auto"/>
        </w:rPr>
        <w:t>Underwriters</w:t>
      </w:r>
      <w:r>
        <w:rPr>
          <w:rFonts w:ascii="Arial" w:cs="Arial" w:eastAsia="Arial" w:hAnsi="Arial"/>
          <w:sz w:val="19"/>
          <w:szCs w:val="19"/>
          <w:color w:val="auto"/>
        </w:rPr>
        <w:t>,” which term shall also include any underwriter substituted as hereinafter provided in Section 10 hereof), for which SVB Securities is acting as a representative (in such capacity, the “</w:t>
      </w:r>
      <w:r>
        <w:rPr>
          <w:rFonts w:ascii="Arial" w:cs="Arial" w:eastAsia="Arial" w:hAnsi="Arial"/>
          <w:sz w:val="19"/>
          <w:szCs w:val="19"/>
          <w:u w:val="single" w:color="auto"/>
          <w:color w:val="auto"/>
        </w:rPr>
        <w:t>Representative</w:t>
      </w:r>
      <w:r>
        <w:rPr>
          <w:rFonts w:ascii="Arial" w:cs="Arial" w:eastAsia="Arial" w:hAnsi="Arial"/>
          <w:sz w:val="19"/>
          <w:szCs w:val="19"/>
          <w:color w:val="auto"/>
        </w:rPr>
        <w:t xml:space="preserve">” and if there are no Underwriters other than the Representative, references to multiple Underwriters shall be disregarded and the term Representative as used herein shall have the same meaning as Underwriter), with respect to (i) the sale by the Company and the purchase by the Underwriters, acting severally and not jointly, of the respective numbers of shares of common stock, par value $0.0001 per share, of the Company (“ </w:t>
      </w:r>
      <w:r>
        <w:rPr>
          <w:rFonts w:ascii="Arial" w:cs="Arial" w:eastAsia="Arial" w:hAnsi="Arial"/>
          <w:sz w:val="19"/>
          <w:szCs w:val="19"/>
          <w:u w:val="single" w:color="auto"/>
          <w:color w:val="auto"/>
        </w:rPr>
        <w:t>Common Stock</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and (ii) the grant by the Company to the Underwriters, acting severally and not jointly, of the option described in Section 2(b) hereof to purchase all or any part of 450,000 additional shares of Common Stock. The aforesaid 3,000,000 shares of Common Stock (the “</w:t>
      </w:r>
      <w:r>
        <w:rPr>
          <w:rFonts w:ascii="Arial" w:cs="Arial" w:eastAsia="Arial" w:hAnsi="Arial"/>
          <w:sz w:val="19"/>
          <w:szCs w:val="19"/>
          <w:u w:val="single" w:color="auto"/>
          <w:color w:val="auto"/>
        </w:rPr>
        <w:t>Initial Securities</w:t>
      </w:r>
      <w:r>
        <w:rPr>
          <w:rFonts w:ascii="Arial" w:cs="Arial" w:eastAsia="Arial" w:hAnsi="Arial"/>
          <w:sz w:val="19"/>
          <w:szCs w:val="19"/>
          <w:color w:val="auto"/>
        </w:rPr>
        <w:t>”) to be purchased by the Underwriters and all or any part of the 450,000 shares of Common Stock subject to the option described in Section 2(b) hereof (the “</w:t>
      </w:r>
      <w:r>
        <w:rPr>
          <w:rFonts w:ascii="Arial" w:cs="Arial" w:eastAsia="Arial" w:hAnsi="Arial"/>
          <w:sz w:val="19"/>
          <w:szCs w:val="19"/>
          <w:u w:val="single" w:color="auto"/>
          <w:color w:val="auto"/>
        </w:rPr>
        <w:t>Option Securities</w:t>
      </w:r>
      <w:r>
        <w:rPr>
          <w:rFonts w:ascii="Arial" w:cs="Arial" w:eastAsia="Arial" w:hAnsi="Arial"/>
          <w:sz w:val="19"/>
          <w:szCs w:val="19"/>
          <w:color w:val="auto"/>
        </w:rPr>
        <w:t>”) are herein called, collectively,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18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Company understands that the Underwriters propose to make a public offering of the Securities as soon as the Representative deems advisable after this Underwriting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has been executed and delivered.</w:t>
      </w:r>
    </w:p>
    <w:p>
      <w:pPr>
        <w:spacing w:after="0" w:line="177" w:lineRule="exact"/>
        <w:rPr>
          <w:sz w:val="20"/>
          <w:szCs w:val="20"/>
          <w:color w:val="auto"/>
        </w:rPr>
      </w:pPr>
    </w:p>
    <w:p>
      <w:pPr>
        <w:jc w:val="both"/>
        <w:ind w:firstLine="749"/>
        <w:spacing w:after="0" w:line="232" w:lineRule="exact"/>
        <w:rPr>
          <w:sz w:val="20"/>
          <w:szCs w:val="20"/>
          <w:color w:val="auto"/>
        </w:rPr>
      </w:pPr>
      <w:r>
        <w:rPr>
          <w:rFonts w:ascii="Arial" w:cs="Arial" w:eastAsia="Arial" w:hAnsi="Arial"/>
          <w:sz w:val="19"/>
          <w:szCs w:val="19"/>
          <w:color w:val="auto"/>
        </w:rPr>
        <w:t>The Company has filed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an automatic shelf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3 (No. 333-268664), covering the public offering and sale of certain securities, including the Securities, under the 1933 Act of 1933, as amended (the “</w:t>
      </w:r>
      <w:r>
        <w:rPr>
          <w:rFonts w:ascii="Arial" w:cs="Arial" w:eastAsia="Arial" w:hAnsi="Arial"/>
          <w:sz w:val="19"/>
          <w:szCs w:val="19"/>
          <w:u w:val="single" w:color="auto"/>
          <w:color w:val="auto"/>
        </w:rPr>
        <w:t>1933 Act</w:t>
      </w:r>
      <w:r>
        <w:rPr>
          <w:rFonts w:ascii="Arial" w:cs="Arial" w:eastAsia="Arial" w:hAnsi="Arial"/>
          <w:sz w:val="19"/>
          <w:szCs w:val="19"/>
          <w:color w:val="auto"/>
        </w:rPr>
        <w:t>”) and the rules and regulations of the Commission promulgated thereunder (the “</w:t>
      </w:r>
      <w:r>
        <w:rPr>
          <w:rFonts w:ascii="Arial" w:cs="Arial" w:eastAsia="Arial" w:hAnsi="Arial"/>
          <w:sz w:val="19"/>
          <w:szCs w:val="19"/>
          <w:u w:val="single" w:color="auto"/>
          <w:color w:val="auto"/>
        </w:rPr>
        <w:t>1933 Act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Regulations</w:t>
      </w:r>
      <w:r>
        <w:rPr>
          <w:rFonts w:ascii="Arial" w:cs="Arial" w:eastAsia="Arial" w:hAnsi="Arial"/>
          <w:sz w:val="19"/>
          <w:szCs w:val="19"/>
          <w:color w:val="auto"/>
        </w:rPr>
        <w:t>”), which automatic shelf registration statement became effective under Rule 462(e) under the 1933 Act Regulations (“</w:t>
      </w:r>
      <w:r>
        <w:rPr>
          <w:rFonts w:ascii="Arial" w:cs="Arial" w:eastAsia="Arial" w:hAnsi="Arial"/>
          <w:sz w:val="19"/>
          <w:szCs w:val="19"/>
          <w:u w:val="single" w:color="auto"/>
          <w:color w:val="auto"/>
        </w:rPr>
        <w:t>Rule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462(e)</w:t>
      </w:r>
      <w:r>
        <w:rPr>
          <w:rFonts w:ascii="Arial" w:cs="Arial" w:eastAsia="Arial" w:hAnsi="Arial"/>
          <w:sz w:val="19"/>
          <w:szCs w:val="19"/>
          <w:color w:val="auto"/>
        </w:rPr>
        <w:t>”).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w:t>
      </w:r>
      <w:r>
        <w:rPr>
          <w:rFonts w:ascii="Arial" w:cs="Arial" w:eastAsia="Arial" w:hAnsi="Arial"/>
          <w:sz w:val="19"/>
          <w:szCs w:val="19"/>
          <w:u w:val="single" w:color="auto"/>
          <w:color w:val="auto"/>
        </w:rPr>
        <w:t>Rule 430B</w:t>
      </w:r>
      <w:r>
        <w:rPr>
          <w:rFonts w:ascii="Arial" w:cs="Arial" w:eastAsia="Arial" w:hAnsi="Arial"/>
          <w:sz w:val="19"/>
          <w:szCs w:val="19"/>
          <w:color w:val="auto"/>
        </w:rPr>
        <w:t>”), is referred to herein as the “Registration Statement;” provided, however, that the “Registration Statement” without reference to a time means such registration statement as amended by any post-effective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8"/>
          <w:szCs w:val="18"/>
          <w:color w:val="auto"/>
        </w:rPr>
        <w:t>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w:t>
      </w:r>
      <w:r>
        <w:rPr>
          <w:rFonts w:ascii="Arial" w:cs="Arial" w:eastAsia="Arial" w:hAnsi="Arial"/>
          <w:sz w:val="18"/>
          <w:szCs w:val="18"/>
          <w:u w:val="single" w:color="auto"/>
          <w:color w:val="auto"/>
        </w:rPr>
        <w:t>Rule 424(b)</w:t>
      </w:r>
      <w:r>
        <w:rPr>
          <w:rFonts w:ascii="Arial" w:cs="Arial" w:eastAsia="Arial" w:hAnsi="Arial"/>
          <w:sz w:val="18"/>
          <w:szCs w:val="18"/>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As used in this Agreement:</w:t>
      </w:r>
    </w:p>
    <w:p>
      <w:pPr>
        <w:spacing w:after="0" w:line="216" w:lineRule="exact"/>
        <w:rPr>
          <w:sz w:val="20"/>
          <w:szCs w:val="20"/>
          <w:color w:val="auto"/>
        </w:rPr>
      </w:pPr>
    </w:p>
    <w:p>
      <w:pPr>
        <w:jc w:val="both"/>
        <w:ind w:left="760" w:firstLine="749"/>
        <w:spacing w:after="0" w:line="260" w:lineRule="auto"/>
        <w:rPr>
          <w:sz w:val="20"/>
          <w:szCs w:val="20"/>
          <w:color w:val="auto"/>
        </w:rPr>
      </w:pPr>
      <w:r>
        <w:rPr>
          <w:rFonts w:ascii="Arial" w:cs="Arial" w:eastAsia="Arial" w:hAnsi="Arial"/>
          <w:sz w:val="20"/>
          <w:szCs w:val="20"/>
          <w:color w:val="auto"/>
        </w:rPr>
        <w:t>“Applicable Time” means 9:00 a.m., New York City time, on June 28, 2023 or such other time as agreed by the Company and the Representative.</w:t>
      </w:r>
    </w:p>
    <w:p>
      <w:pPr>
        <w:spacing w:after="0" w:line="177" w:lineRule="exact"/>
        <w:rPr>
          <w:sz w:val="20"/>
          <w:szCs w:val="20"/>
          <w:color w:val="auto"/>
        </w:rPr>
      </w:pPr>
    </w:p>
    <w:p>
      <w:pPr>
        <w:jc w:val="both"/>
        <w:ind w:left="760" w:firstLine="749"/>
        <w:spacing w:after="0" w:line="237" w:lineRule="exact"/>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8"/>
          <w:szCs w:val="18"/>
          <w:u w:val="single" w:color="auto"/>
          <w:color w:val="auto"/>
        </w:rPr>
        <w:t>Schedule B</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hereto, all considered together.</w:t>
      </w:r>
    </w:p>
    <w:p>
      <w:pPr>
        <w:spacing w:after="0" w:line="196" w:lineRule="exact"/>
        <w:rPr>
          <w:sz w:val="20"/>
          <w:szCs w:val="20"/>
          <w:color w:val="auto"/>
        </w:rPr>
      </w:pPr>
    </w:p>
    <w:p>
      <w:pPr>
        <w:jc w:val="both"/>
        <w:ind w:left="760" w:firstLine="749"/>
        <w:spacing w:after="0" w:line="274"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w:t>
      </w:r>
      <w:r>
        <w:rPr>
          <w:rFonts w:ascii="Arial" w:cs="Arial" w:eastAsia="Arial" w:hAnsi="Arial"/>
          <w:sz w:val="18"/>
          <w:szCs w:val="18"/>
          <w:u w:val="single" w:color="auto"/>
          <w:color w:val="auto"/>
        </w:rPr>
        <w:t>Rule 433</w:t>
      </w:r>
      <w:r>
        <w:rPr>
          <w:rFonts w:ascii="Arial" w:cs="Arial" w:eastAsia="Arial" w:hAnsi="Arial"/>
          <w:sz w:val="18"/>
          <w:szCs w:val="18"/>
          <w:color w:val="auto"/>
        </w:rPr>
        <w:t>”), including without limitation any “free writing prospectus” (as defined in Rule 405 of the 1933 Act Regulations (“</w:t>
      </w:r>
      <w:r>
        <w:rPr>
          <w:rFonts w:ascii="Arial" w:cs="Arial" w:eastAsia="Arial" w:hAnsi="Arial"/>
          <w:sz w:val="18"/>
          <w:szCs w:val="18"/>
          <w:u w:val="single" w:color="auto"/>
          <w:color w:val="auto"/>
        </w:rPr>
        <w:t>Rule 405</w:t>
      </w:r>
      <w:r>
        <w:rPr>
          <w:rFonts w:ascii="Arial" w:cs="Arial" w:eastAsia="Arial" w:hAnsi="Arial"/>
          <w:sz w:val="18"/>
          <w:szCs w:val="18"/>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68" w:lineRule="exact"/>
        <w:rPr>
          <w:sz w:val="20"/>
          <w:szCs w:val="20"/>
          <w:color w:val="auto"/>
        </w:rPr>
      </w:pPr>
    </w:p>
    <w:p>
      <w:pPr>
        <w:jc w:val="both"/>
        <w:ind w:left="760" w:firstLine="749"/>
        <w:spacing w:after="0" w:line="236" w:lineRule="exact"/>
        <w:rPr>
          <w:sz w:val="20"/>
          <w:szCs w:val="20"/>
          <w:color w:val="auto"/>
        </w:rPr>
      </w:pPr>
      <w:r>
        <w:rPr>
          <w:rFonts w:ascii="Arial" w:cs="Arial" w:eastAsia="Arial" w:hAnsi="Arial"/>
          <w:sz w:val="20"/>
          <w:szCs w:val="20"/>
          <w:color w:val="auto"/>
        </w:rPr>
        <w:t>“Issuer General Use Free Writing Prospectus” means any Issuer Free Writing Prospectus that is intended for general distribution to prospective investors (other than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electronic road show,” as defined in Rule 433), as evidenced by its being specified in </w:t>
      </w:r>
      <w:r>
        <w:rPr>
          <w:rFonts w:ascii="Arial" w:cs="Arial" w:eastAsia="Arial" w:hAnsi="Arial"/>
          <w:sz w:val="20"/>
          <w:szCs w:val="20"/>
          <w:u w:val="single" w:color="auto"/>
          <w:color w:val="auto"/>
        </w:rPr>
        <w:t>Schedule B</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2</w:t>
      </w:r>
      <w:r>
        <w:rPr>
          <w:rFonts w:ascii="Arial" w:cs="Arial" w:eastAsia="Arial" w:hAnsi="Arial"/>
          <w:sz w:val="20"/>
          <w:szCs w:val="20"/>
          <w:color w:val="auto"/>
        </w:rPr>
        <w:t xml:space="preserve"> hereto.</w:t>
      </w:r>
    </w:p>
    <w:p>
      <w:pPr>
        <w:spacing w:after="0" w:line="197" w:lineRule="exact"/>
        <w:rPr>
          <w:sz w:val="20"/>
          <w:szCs w:val="20"/>
          <w:color w:val="auto"/>
        </w:rPr>
      </w:pPr>
    </w:p>
    <w:p>
      <w:pPr>
        <w:jc w:val="both"/>
        <w:ind w:left="760" w:firstLine="749"/>
        <w:spacing w:after="0" w:line="260" w:lineRule="auto"/>
        <w:rPr>
          <w:sz w:val="20"/>
          <w:szCs w:val="20"/>
          <w:color w:val="auto"/>
        </w:rPr>
      </w:pPr>
      <w:r>
        <w:rPr>
          <w:rFonts w:ascii="Arial" w:cs="Arial" w:eastAsia="Arial" w:hAnsi="Arial"/>
          <w:sz w:val="20"/>
          <w:szCs w:val="20"/>
          <w:color w:val="auto"/>
        </w:rPr>
        <w:t>“Issuer Limited Use Free Writing Prospectus” means any Issuer Free Writing Prospectus that is not an Issuer General Use Free Writing Prospectus.</w:t>
      </w:r>
    </w:p>
    <w:p>
      <w:pPr>
        <w:spacing w:after="0" w:line="177" w:lineRule="exact"/>
        <w:rPr>
          <w:sz w:val="20"/>
          <w:szCs w:val="20"/>
          <w:color w:val="auto"/>
        </w:rPr>
      </w:pPr>
    </w:p>
    <w:p>
      <w:pPr>
        <w:jc w:val="both"/>
        <w:ind w:left="760" w:firstLine="749"/>
        <w:spacing w:after="0" w:line="260" w:lineRule="auto"/>
        <w:rPr>
          <w:sz w:val="20"/>
          <w:szCs w:val="20"/>
          <w:color w:val="auto"/>
        </w:rPr>
      </w:pPr>
      <w:r>
        <w:rPr>
          <w:rFonts w:ascii="Arial" w:cs="Arial" w:eastAsia="Arial" w:hAnsi="Arial"/>
          <w:sz w:val="20"/>
          <w:szCs w:val="20"/>
          <w:color w:val="auto"/>
        </w:rPr>
        <w:t>“Testing-the-Waters Communication” means any oral or written communication with potential investors undertaken in reliance on Section 5(d) of the 1933 Act or Rule 163B promulgated under the 1933 Act.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ind w:left="760" w:firstLine="749"/>
        <w:spacing w:after="0" w:line="260" w:lineRule="auto"/>
        <w:rPr>
          <w:sz w:val="20"/>
          <w:szCs w:val="20"/>
          <w:color w:val="auto"/>
        </w:rPr>
      </w:pPr>
      <w:r>
        <w:rPr>
          <w:rFonts w:ascii="Arial" w:cs="Arial" w:eastAsia="Arial" w:hAnsi="Arial"/>
          <w:sz w:val="20"/>
          <w:szCs w:val="20"/>
          <w:color w:val="auto"/>
        </w:rPr>
        <w:t>“Written Testing-the-Waters Communication” means any Testing-the-Waters Communication that is a written communication within the meaning of Rule 405 under the 1933 Act.</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Arial" w:cs="Arial" w:eastAsia="Arial" w:hAnsi="Arial"/>
          <w:sz w:val="19"/>
          <w:szCs w:val="19"/>
          <w:u w:val="single" w:color="auto"/>
          <w:color w:val="auto"/>
        </w:rPr>
        <w:t>1934 Act</w:t>
      </w:r>
      <w:r>
        <w:rPr>
          <w:rFonts w:ascii="Arial" w:cs="Arial" w:eastAsia="Arial" w:hAnsi="Arial"/>
          <w:sz w:val="19"/>
          <w:szCs w:val="19"/>
          <w:color w:val="auto"/>
        </w:rPr>
        <w:t>”), incorporated or deemed to be incorporated by reference in the Registration Statement, such preliminary prospectus or the Prospectus, as the case may be, at or after the execution and delivery of this 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1.</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jc w:val="both"/>
        <w:ind w:firstLine="757"/>
        <w:spacing w:after="0" w:line="250" w:lineRule="auto"/>
        <w:tabs>
          <w:tab w:leader="none" w:pos="1018"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 by the Company</w:t>
      </w:r>
      <w:r>
        <w:rPr>
          <w:rFonts w:ascii="Arial" w:cs="Arial" w:eastAsia="Arial" w:hAnsi="Arial"/>
          <w:sz w:val="20"/>
          <w:szCs w:val="20"/>
          <w:color w:val="auto"/>
        </w:rPr>
        <w:t>. The Company represents and warrants to each Underwriter as of the date</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the Applicable Time, the Closing Time (as defined below) and any Date of Delivery (as defined below), and agrees with each Underwriter, as follows:</w:t>
      </w:r>
    </w:p>
    <w:p>
      <w:pPr>
        <w:spacing w:after="0" w:line="185" w:lineRule="exact"/>
        <w:rPr>
          <w:rFonts w:ascii="Arial" w:cs="Arial" w:eastAsia="Arial" w:hAnsi="Arial"/>
          <w:sz w:val="20"/>
          <w:szCs w:val="20"/>
          <w:color w:val="auto"/>
        </w:rPr>
      </w:pPr>
    </w:p>
    <w:p>
      <w:pPr>
        <w:jc w:val="both"/>
        <w:ind w:left="760" w:firstLine="745"/>
        <w:spacing w:after="0" w:line="273" w:lineRule="auto"/>
        <w:tabs>
          <w:tab w:leader="none" w:pos="2048"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168" w:lineRule="exact"/>
        <w:rPr>
          <w:sz w:val="20"/>
          <w:szCs w:val="20"/>
          <w:color w:val="auto"/>
        </w:rPr>
      </w:pPr>
    </w:p>
    <w:p>
      <w:pPr>
        <w:jc w:val="both"/>
        <w:ind w:left="760" w:firstLine="749"/>
        <w:spacing w:after="0" w:line="274" w:lineRule="auto"/>
        <w:rPr>
          <w:sz w:val="20"/>
          <w:szCs w:val="20"/>
          <w:color w:val="auto"/>
        </w:rPr>
      </w:pPr>
      <w:r>
        <w:rPr>
          <w:rFonts w:ascii="Arial" w:cs="Arial" w:eastAsia="Arial" w:hAnsi="Arial"/>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168" w:lineRule="exact"/>
        <w:rPr>
          <w:sz w:val="20"/>
          <w:szCs w:val="20"/>
          <w:color w:val="auto"/>
        </w:rPr>
      </w:pPr>
    </w:p>
    <w:p>
      <w:pPr>
        <w:jc w:val="both"/>
        <w:ind w:left="760" w:firstLine="749"/>
        <w:spacing w:after="0" w:line="246" w:lineRule="auto"/>
        <w:rPr>
          <w:sz w:val="20"/>
          <w:szCs w:val="20"/>
          <w:color w:val="auto"/>
        </w:rPr>
      </w:pPr>
      <w:r>
        <w:rPr>
          <w:rFonts w:ascii="Arial" w:cs="Arial" w:eastAsia="Arial" w:hAnsi="Arial"/>
          <w:sz w:val="20"/>
          <w:szCs w:val="20"/>
          <w:color w:val="auto"/>
        </w:rPr>
        <w:t>The documents incorporated or deemed to be incorporated by reference in the Registration Statement and the Prospectus, when they became effective or at the time they were or hereafter are filed with the Commission, were or will be filed on a timely basis and complied and will comply in all material respects with the requirements of the 1934 Act and the rules and regulations of the Commission under the 1934 Act (the “</w:t>
      </w:r>
      <w:r>
        <w:rPr>
          <w:rFonts w:ascii="Arial" w:cs="Arial" w:eastAsia="Arial" w:hAnsi="Arial"/>
          <w:sz w:val="20"/>
          <w:szCs w:val="20"/>
          <w:u w:val="single" w:color="auto"/>
          <w:color w:val="auto"/>
        </w:rPr>
        <w:t>1934 Act Regulations</w:t>
      </w:r>
      <w:r>
        <w:rPr>
          <w:rFonts w:ascii="Arial" w:cs="Arial" w:eastAsia="Arial" w:hAnsi="Arial"/>
          <w:sz w:val="20"/>
          <w:szCs w:val="20"/>
          <w:color w:val="auto"/>
        </w:rPr>
        <w: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p>
      <w:pPr>
        <w:jc w:val="both"/>
        <w:ind w:left="360" w:firstLine="749"/>
        <w:spacing w:after="0" w:line="250" w:lineRule="auto"/>
        <w:rPr>
          <w:sz w:val="20"/>
          <w:szCs w:val="20"/>
          <w:color w:val="auto"/>
        </w:rPr>
      </w:pPr>
      <w:r>
        <w:rPr>
          <w:rFonts w:ascii="Arial" w:cs="Arial" w:eastAsia="Arial" w:hAnsi="Arial"/>
          <w:sz w:val="20"/>
          <w:szCs w:val="20"/>
          <w:color w:val="auto"/>
        </w:rPr>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186" w:lineRule="exact"/>
        <w:rPr>
          <w:sz w:val="20"/>
          <w:szCs w:val="20"/>
          <w:color w:val="auto"/>
        </w:rPr>
      </w:pPr>
    </w:p>
    <w:p>
      <w:pPr>
        <w:jc w:val="both"/>
        <w:ind w:left="360" w:firstLine="745"/>
        <w:spacing w:after="0" w:line="269" w:lineRule="auto"/>
        <w:tabs>
          <w:tab w:leader="none" w:pos="1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(A) the General Disclosure Package, (B) any individual Issuer Limited Use Free Writing Prospectus, when considered together with the General Disclosure Package, nor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74" w:lineRule="exact"/>
        <w:rPr>
          <w:sz w:val="20"/>
          <w:szCs w:val="20"/>
          <w:color w:val="auto"/>
        </w:rPr>
      </w:pPr>
    </w:p>
    <w:p>
      <w:pPr>
        <w:jc w:val="both"/>
        <w:ind w:left="360" w:firstLine="749"/>
        <w:spacing w:after="0" w:line="257" w:lineRule="auto"/>
        <w:rPr>
          <w:sz w:val="20"/>
          <w:szCs w:val="20"/>
          <w:color w:val="auto"/>
        </w:rPr>
      </w:pPr>
      <w:r>
        <w:rPr>
          <w:rFonts w:ascii="Arial" w:cs="Arial" w:eastAsia="Arial" w:hAnsi="Arial"/>
          <w:sz w:val="19"/>
          <w:szCs w:val="19"/>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 expressly for use therein. For purposes of this Agreement, the only information so furnished shall be the information in the first paragraph under the heading “Underwriting – Discounts and Commissions,” the information in the second, third and fourth paragraphs under the heading “Underwriting – Price Stabilization, Short Positions and Penalty Bids” and the information under the heading “Underwriting – Electronic Distribution” in each case contained in the Prospectus (collectively, the “</w:t>
      </w:r>
      <w:r>
        <w:rPr>
          <w:rFonts w:ascii="Arial" w:cs="Arial" w:eastAsia="Arial" w:hAnsi="Arial"/>
          <w:sz w:val="19"/>
          <w:szCs w:val="19"/>
          <w:u w:val="single" w:color="auto"/>
          <w:color w:val="auto"/>
        </w:rPr>
        <w:t>Underwriter Information</w:t>
      </w:r>
      <w:r>
        <w:rPr>
          <w:rFonts w:ascii="Arial" w:cs="Arial" w:eastAsia="Arial" w:hAnsi="Arial"/>
          <w:sz w:val="19"/>
          <w:szCs w:val="19"/>
          <w:color w:val="auto"/>
        </w:rPr>
        <w:t>”).</w:t>
      </w:r>
    </w:p>
    <w:p>
      <w:pPr>
        <w:spacing w:after="0" w:line="180" w:lineRule="exact"/>
        <w:rPr>
          <w:sz w:val="20"/>
          <w:szCs w:val="20"/>
          <w:color w:val="auto"/>
        </w:rPr>
      </w:pPr>
    </w:p>
    <w:p>
      <w:pPr>
        <w:jc w:val="both"/>
        <w:ind w:left="360" w:firstLine="745"/>
        <w:spacing w:after="0" w:line="272" w:lineRule="auto"/>
        <w:tabs>
          <w:tab w:leader="none" w:pos="1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No filing of any “road show” (as defined in Rule 433(h)) is required in connection with the offering of the Securities. Any Issuer Free Writing Prospectus that the Company is required to file pursuant to Rule 433(d) under the 1933 Act has been, or will be, filed with the Commission in accordance with the requirements of the 1933 Act and the 1933 Act Regulations. Each Issuer Free Writing Prospectus that the Company has filed, or is required to file, pursuant to Rule 433(d) under the 1933 Act or that was prepared by or behalf of or used or referred to by the Company complies or will comply in all material respects with the requirements of the 1933 Act and the 1933 Act Regulations. Except for the Issuer Free Writing Prospectuses, if any, identified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 and electronic road shows, if any, each furnished to the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9" w:name="page10"/>
    <w:bookmarkEnd w:id="9"/>
    <w:p>
      <w:pPr>
        <w:ind w:left="360"/>
        <w:spacing w:after="0" w:line="260" w:lineRule="auto"/>
        <w:rPr>
          <w:sz w:val="20"/>
          <w:szCs w:val="20"/>
          <w:color w:val="auto"/>
        </w:rPr>
      </w:pPr>
      <w:r>
        <w:rPr>
          <w:rFonts w:ascii="Arial" w:cs="Arial" w:eastAsia="Arial" w:hAnsi="Arial"/>
          <w:sz w:val="20"/>
          <w:szCs w:val="20"/>
          <w:color w:val="auto"/>
        </w:rPr>
        <w:t>Representative before first use, the Company has not prepared, used or referred to, and will not, without the prior consent of the Representative, prepare, use or refer to, any issuer free writing prospectus.</w:t>
      </w:r>
    </w:p>
    <w:p>
      <w:pPr>
        <w:spacing w:after="0" w:line="177" w:lineRule="exact"/>
        <w:rPr>
          <w:sz w:val="20"/>
          <w:szCs w:val="20"/>
          <w:color w:val="auto"/>
        </w:rPr>
      </w:pPr>
    </w:p>
    <w:p>
      <w:pPr>
        <w:jc w:val="both"/>
        <w:ind w:left="360" w:firstLine="745"/>
        <w:spacing w:after="0" w:line="272" w:lineRule="auto"/>
        <w:tabs>
          <w:tab w:leader="none" w:pos="164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 has not engaged in any Testing-the-Waters Communication other than Testing-the-Waters Communications with the consent of the Representative with entities that are qualified institutional buyers within the meaning of Rule 144A under the 1933 Act or institutions that are accredited investors within the meaning of Rule 501 under the 1933 Act and</w:t>
      </w:r>
    </w:p>
    <w:p>
      <w:pPr>
        <w:jc w:val="both"/>
        <w:ind w:left="360" w:hanging="3"/>
        <w:spacing w:after="0" w:line="281"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8"/>
          <w:szCs w:val="18"/>
          <w:u w:val="single" w:color="auto"/>
          <w:color w:val="auto"/>
        </w:rPr>
        <w:t>Schedule B-3</w:t>
      </w:r>
      <w:r>
        <w:rPr>
          <w:rFonts w:ascii="Arial" w:cs="Arial" w:eastAsia="Arial" w:hAnsi="Arial"/>
          <w:sz w:val="18"/>
          <w:szCs w:val="18"/>
          <w:color w:val="auto"/>
        </w:rPr>
        <w:t xml:space="preserve"> hereto.</w:t>
      </w:r>
    </w:p>
    <w:p>
      <w:pPr>
        <w:spacing w:after="0" w:line="161" w:lineRule="exact"/>
        <w:rPr>
          <w:rFonts w:ascii="Arial" w:cs="Arial" w:eastAsia="Arial" w:hAnsi="Arial"/>
          <w:sz w:val="18"/>
          <w:szCs w:val="18"/>
          <w:color w:val="auto"/>
        </w:rPr>
      </w:pPr>
    </w:p>
    <w:p>
      <w:pPr>
        <w:jc w:val="both"/>
        <w:ind w:left="360" w:firstLine="745"/>
        <w:spacing w:after="0" w:line="246" w:lineRule="auto"/>
        <w:tabs>
          <w:tab w:leader="none" w:pos="1648" w:val="left"/>
        </w:tabs>
        <w:numPr>
          <w:ilvl w:val="1"/>
          <w:numId w:val="6"/>
        </w:numPr>
        <w:rPr>
          <w:rFonts w:ascii="Arial" w:cs="Arial" w:eastAsia="Arial" w:hAnsi="Arial"/>
          <w:sz w:val="20"/>
          <w:szCs w:val="20"/>
          <w:color w:val="auto"/>
        </w:rPr>
      </w:pPr>
      <w:r>
        <w:rPr>
          <w:rFonts w:ascii="Arial" w:cs="Arial" w:eastAsia="Arial" w:hAnsi="Arial"/>
          <w:sz w:val="20"/>
          <w:szCs w:val="20"/>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91" w:lineRule="exact"/>
        <w:rPr>
          <w:rFonts w:ascii="Arial" w:cs="Arial" w:eastAsia="Arial" w:hAnsi="Arial"/>
          <w:sz w:val="20"/>
          <w:szCs w:val="20"/>
          <w:color w:val="auto"/>
        </w:rPr>
      </w:pPr>
    </w:p>
    <w:p>
      <w:pPr>
        <w:ind w:left="1640" w:hanging="535"/>
        <w:spacing w:after="0"/>
        <w:tabs>
          <w:tab w:leader="none" w:pos="1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360" w:firstLine="745"/>
        <w:spacing w:after="0" w:line="269" w:lineRule="auto"/>
        <w:tabs>
          <w:tab w:leader="none" w:pos="1648"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interactive data in eXtensible Business Reporting Language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69" w:lineRule="exact"/>
        <w:rPr>
          <w:rFonts w:ascii="Arial" w:cs="Arial" w:eastAsia="Arial" w:hAnsi="Arial"/>
          <w:sz w:val="19"/>
          <w:szCs w:val="19"/>
          <w:color w:val="auto"/>
        </w:rPr>
      </w:pPr>
    </w:p>
    <w:p>
      <w:pPr>
        <w:jc w:val="both"/>
        <w:ind w:left="360" w:firstLine="745"/>
        <w:spacing w:after="0" w:line="243" w:lineRule="auto"/>
        <w:tabs>
          <w:tab w:leader="none" w:pos="1648"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Company is subject to and in compliance in all material respects with the reporting requirements of Section 13 or Section 15(d) of the Exchange Act. The Common Stock is registered pursuant to Section 12(b) of the Exchange Act and are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Securities.</w:t>
      </w:r>
    </w:p>
    <w:p>
      <w:pPr>
        <w:spacing w:after="0" w:line="192" w:lineRule="exact"/>
        <w:rPr>
          <w:rFonts w:ascii="Arial" w:cs="Arial" w:eastAsia="Arial" w:hAnsi="Arial"/>
          <w:sz w:val="20"/>
          <w:szCs w:val="20"/>
          <w:color w:val="auto"/>
        </w:rPr>
      </w:pPr>
    </w:p>
    <w:p>
      <w:pPr>
        <w:jc w:val="both"/>
        <w:ind w:left="360" w:firstLine="745"/>
        <w:spacing w:after="0" w:line="250" w:lineRule="auto"/>
        <w:tabs>
          <w:tab w:leader="none" w:pos="1648" w:val="left"/>
        </w:tabs>
        <w:numPr>
          <w:ilvl w:val="1"/>
          <w:numId w:val="6"/>
        </w:numPr>
        <w:rPr>
          <w:rFonts w:ascii="Arial" w:cs="Arial" w:eastAsia="Arial" w:hAnsi="Arial"/>
          <w:sz w:val="20"/>
          <w:szCs w:val="20"/>
          <w:color w:val="auto"/>
        </w:rPr>
      </w:pPr>
      <w:r>
        <w:rPr>
          <w:rFonts w:ascii="Arial" w:cs="Arial" w:eastAsia="Arial" w:hAnsi="Arial"/>
          <w:sz w:val="20"/>
          <w:szCs w:val="20"/>
          <w:color w:val="auto"/>
        </w:rPr>
        <w:t>Except as disclosed in the General Disclosure Package,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85" w:lineRule="exact"/>
        <w:rPr>
          <w:rFonts w:ascii="Arial" w:cs="Arial" w:eastAsia="Arial" w:hAnsi="Arial"/>
          <w:sz w:val="20"/>
          <w:szCs w:val="20"/>
          <w:color w:val="auto"/>
        </w:rPr>
      </w:pPr>
    </w:p>
    <w:p>
      <w:pPr>
        <w:jc w:val="both"/>
        <w:ind w:left="360" w:firstLine="745"/>
        <w:spacing w:after="0" w:line="273" w:lineRule="auto"/>
        <w:tabs>
          <w:tab w:leader="none" w:pos="164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the General Disclosure Package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0" w:name="page11"/>
    <w:bookmarkEnd w:id="10"/>
    <w:p>
      <w:pPr>
        <w:ind w:left="360"/>
        <w:spacing w:after="0" w:line="287" w:lineRule="auto"/>
        <w:rPr>
          <w:sz w:val="20"/>
          <w:szCs w:val="20"/>
          <w:color w:val="auto"/>
        </w:rPr>
      </w:pPr>
      <w:r>
        <w:rPr>
          <w:rFonts w:ascii="Arial" w:cs="Arial" w:eastAsia="Arial" w:hAnsi="Arial"/>
          <w:sz w:val="19"/>
          <w:szCs w:val="19"/>
          <w:color w:val="auto"/>
        </w:rPr>
        <w:t>results of operations, business, properties, operations, assets, liabilities or prospects of the Company and its Subsidiaries, taken as a whole, whether or not arising from transactions in the ordinary course of business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w:t>
      </w:r>
    </w:p>
    <w:p>
      <w:pPr>
        <w:spacing w:after="0" w:line="152" w:lineRule="exact"/>
        <w:rPr>
          <w:sz w:val="20"/>
          <w:szCs w:val="20"/>
          <w:color w:val="auto"/>
        </w:rPr>
      </w:pPr>
    </w:p>
    <w:p>
      <w:pPr>
        <w:jc w:val="both"/>
        <w:ind w:left="360" w:firstLine="745"/>
        <w:spacing w:after="0" w:line="269" w:lineRule="auto"/>
        <w:tabs>
          <w:tab w:leader="none" w:pos="1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Company’s “subsidiaries” (for purposes of this Agreement, as defined in Rule 405 under the 1933 Act) (each,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the General Disclosure Package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73" w:lineRule="exact"/>
        <w:rPr>
          <w:rFonts w:ascii="Arial" w:cs="Arial" w:eastAsia="Arial" w:hAnsi="Arial"/>
          <w:sz w:val="18"/>
          <w:szCs w:val="18"/>
          <w:color w:val="auto"/>
        </w:rPr>
      </w:pPr>
    </w:p>
    <w:p>
      <w:pPr>
        <w:jc w:val="both"/>
        <w:ind w:left="360" w:firstLine="745"/>
        <w:spacing w:after="0" w:line="269" w:lineRule="auto"/>
        <w:tabs>
          <w:tab w:leader="none" w:pos="1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the authorized and outstanding capitalization as set forth in the Company’s quarterly report on Form 10-Q for the most recent fiscal quarter, as of the dates referred to therein (subject, in each case, to the issuance of shares of Common Stock pursuant to this Agreement, the issuance of shares of Common Stock upon exercise of share options and warrants disclosed as outstanding as of the date hereof in the Registration Statement, the General Disclosure Package and the Prospectus and the grant of options under existing share option plans described in the Registration Statement, the General Disclosure Package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Common Stock were issued in violation of any preemptive rights, rights of first refusal or other similar rights to subscribe for or purchase securities of the Company. Except as disclosed in the Registration Statement, the General Disclosure Package, and the Prospectus,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Arial" w:cs="Arial" w:eastAsia="Arial" w:hAnsi="Arial"/>
          <w:sz w:val="18"/>
          <w:szCs w:val="18"/>
          <w:u w:val="single" w:color="auto"/>
          <w:color w:val="auto"/>
        </w:rPr>
        <w:t>Stock Plans</w:t>
      </w:r>
      <w:r>
        <w:rPr>
          <w:rFonts w:ascii="Arial" w:cs="Arial" w:eastAsia="Arial" w:hAnsi="Arial"/>
          <w:sz w:val="18"/>
          <w:szCs w:val="18"/>
          <w:color w:val="auto"/>
        </w:rPr>
        <w:t>”) and the options or other rights granted thereunder, set forth in the Registration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1" w:name="page12"/>
    <w:bookmarkEnd w:id="11"/>
    <w:p>
      <w:pPr>
        <w:ind w:left="360"/>
        <w:spacing w:after="0" w:line="260" w:lineRule="auto"/>
        <w:rPr>
          <w:sz w:val="20"/>
          <w:szCs w:val="20"/>
          <w:color w:val="auto"/>
        </w:rPr>
      </w:pPr>
      <w:r>
        <w:rPr>
          <w:rFonts w:ascii="Arial" w:cs="Arial" w:eastAsia="Arial" w:hAnsi="Arial"/>
          <w:sz w:val="20"/>
          <w:szCs w:val="20"/>
          <w:color w:val="auto"/>
        </w:rPr>
        <w:t>Statement and the Prospectus accurately and fairly present the information required to be shown with respect to such Stock Plans and the options or other rights granted thereunder.</w:t>
      </w:r>
    </w:p>
    <w:p>
      <w:pPr>
        <w:spacing w:after="0" w:line="177" w:lineRule="exact"/>
        <w:rPr>
          <w:sz w:val="20"/>
          <w:szCs w:val="20"/>
          <w:color w:val="auto"/>
        </w:rPr>
      </w:pPr>
    </w:p>
    <w:p>
      <w:pPr>
        <w:jc w:val="both"/>
        <w:ind w:left="360" w:firstLine="745"/>
        <w:spacing w:after="0" w:line="271" w:lineRule="auto"/>
        <w:tabs>
          <w:tab w:leader="none" w:pos="1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Securities have been duly authorized for issuance and sale to the Underwriters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Securities as contemplated hereby shall not be subject to any preemptive rights, rights of first refusal or other similar rights to subscribe for or purchase the Securities. The issuance and sale of the Securities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173" w:lineRule="exact"/>
        <w:rPr>
          <w:rFonts w:ascii="Arial" w:cs="Arial" w:eastAsia="Arial" w:hAnsi="Arial"/>
          <w:sz w:val="18"/>
          <w:szCs w:val="18"/>
          <w:color w:val="auto"/>
        </w:rPr>
      </w:pPr>
    </w:p>
    <w:p>
      <w:pPr>
        <w:jc w:val="both"/>
        <w:ind w:left="360" w:firstLine="745"/>
        <w:spacing w:after="0" w:line="269" w:lineRule="auto"/>
        <w:tabs>
          <w:tab w:leader="none" w:pos="1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no statute, regulation, contract, agreement or other document required to be described in the Registration Statement, the General Disclosure Package, the Prospectus or in any documents incorporated by reference therein, or to be filed as an exhibit to the Registration Statement or any documents incorporated by reference therein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“Business—Intellectual Property,” “Business—Material License Agreements,” “Business—Government Regulation and Product Approval,” “Legal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documents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78" w:lineRule="exact"/>
        <w:rPr>
          <w:rFonts w:ascii="Arial" w:cs="Arial" w:eastAsia="Arial" w:hAnsi="Arial"/>
          <w:sz w:val="18"/>
          <w:szCs w:val="18"/>
          <w:color w:val="auto"/>
        </w:rPr>
      </w:pPr>
    </w:p>
    <w:p>
      <w:pPr>
        <w:ind w:left="1640" w:hanging="535"/>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This Agreement has been duly and validly authorized, executed and delivered by the Company.</w:t>
      </w:r>
    </w:p>
    <w:p>
      <w:pPr>
        <w:spacing w:after="0" w:line="215" w:lineRule="exact"/>
        <w:rPr>
          <w:rFonts w:ascii="Arial" w:cs="Arial" w:eastAsia="Arial" w:hAnsi="Arial"/>
          <w:sz w:val="20"/>
          <w:szCs w:val="20"/>
          <w:color w:val="auto"/>
        </w:rPr>
      </w:pPr>
    </w:p>
    <w:p>
      <w:pPr>
        <w:jc w:val="both"/>
        <w:ind w:left="360" w:firstLine="745"/>
        <w:spacing w:after="0" w:line="250" w:lineRule="auto"/>
        <w:tabs>
          <w:tab w:leader="none" w:pos="1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is not and, after giving effect to the offering and sale of the Securities and the application of the proceeds thereof as described in the Prospectus, will not be an “investment company” as defined in the Investment Company Act of 1940, as amended.</w:t>
      </w:r>
    </w:p>
    <w:p>
      <w:pPr>
        <w:spacing w:after="0" w:line="185" w:lineRule="exact"/>
        <w:rPr>
          <w:rFonts w:ascii="Arial" w:cs="Arial" w:eastAsia="Arial" w:hAnsi="Arial"/>
          <w:sz w:val="20"/>
          <w:szCs w:val="20"/>
          <w:color w:val="auto"/>
        </w:rPr>
      </w:pPr>
    </w:p>
    <w:p>
      <w:pPr>
        <w:jc w:val="both"/>
        <w:ind w:left="360" w:firstLine="745"/>
        <w:spacing w:after="0" w:line="260" w:lineRule="auto"/>
        <w:tabs>
          <w:tab w:leader="none" w:pos="1648" w:val="left"/>
        </w:tabs>
        <w:numPr>
          <w:ilvl w:val="0"/>
          <w:numId w:val="8"/>
        </w:numPr>
        <w:rPr>
          <w:rFonts w:ascii="Arial" w:cs="Arial" w:eastAsia="Arial" w:hAnsi="Arial"/>
          <w:sz w:val="19"/>
          <w:szCs w:val="19"/>
          <w:color w:val="auto"/>
        </w:rPr>
      </w:pPr>
      <w:r>
        <w:rPr>
          <w:rFonts w:ascii="Arial" w:cs="Arial" w:eastAsia="Arial" w:hAnsi="Arial"/>
          <w:sz w:val="19"/>
          <w:szCs w:val="19"/>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the General Disclosure Package and the Prospectus (including the issuance and sale of the Securities hereunder), except such as have been already obtained or made or as may be required under the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2" w:name="page13"/>
    <w:bookmarkEnd w:id="12"/>
    <w:p>
      <w:pPr>
        <w:ind w:left="360"/>
        <w:spacing w:after="0" w:line="260" w:lineRule="auto"/>
        <w:rPr>
          <w:sz w:val="20"/>
          <w:szCs w:val="20"/>
          <w:color w:val="auto"/>
        </w:rPr>
      </w:pPr>
      <w:r>
        <w:rPr>
          <w:rFonts w:ascii="Arial" w:cs="Arial" w:eastAsia="Arial" w:hAnsi="Arial"/>
          <w:sz w:val="20"/>
          <w:szCs w:val="20"/>
          <w:color w:val="auto"/>
        </w:rPr>
        <w:t>1933 Act, applicable state securities or Blue Sky laws, applicable rules of Nasdaq, or Rule 5110 of the Financial Industry Regulatory Authority, Inc. (“</w:t>
      </w:r>
      <w:r>
        <w:rPr>
          <w:rFonts w:ascii="Arial" w:cs="Arial" w:eastAsia="Arial" w:hAnsi="Arial"/>
          <w:sz w:val="20"/>
          <w:szCs w:val="20"/>
          <w:u w:val="single" w:color="auto"/>
          <w:color w:val="auto"/>
        </w:rPr>
        <w:t>FINRA</w:t>
      </w:r>
      <w:r>
        <w:rPr>
          <w:rFonts w:ascii="Arial" w:cs="Arial" w:eastAsia="Arial" w:hAnsi="Arial"/>
          <w:sz w:val="20"/>
          <w:szCs w:val="20"/>
          <w:color w:val="auto"/>
        </w:rPr>
        <w:t>”).</w:t>
      </w:r>
    </w:p>
    <w:p>
      <w:pPr>
        <w:spacing w:after="0" w:line="177" w:lineRule="exact"/>
        <w:rPr>
          <w:sz w:val="20"/>
          <w:szCs w:val="20"/>
          <w:color w:val="auto"/>
        </w:rPr>
      </w:pPr>
    </w:p>
    <w:p>
      <w:pPr>
        <w:jc w:val="both"/>
        <w:ind w:left="360" w:firstLine="745"/>
        <w:spacing w:after="0" w:line="271" w:lineRule="auto"/>
        <w:tabs>
          <w:tab w:leader="none" w:pos="1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169" w:lineRule="exact"/>
        <w:rPr>
          <w:rFonts w:ascii="Arial" w:cs="Arial" w:eastAsia="Arial" w:hAnsi="Arial"/>
          <w:sz w:val="18"/>
          <w:szCs w:val="18"/>
          <w:color w:val="auto"/>
        </w:rPr>
      </w:pPr>
    </w:p>
    <w:p>
      <w:pPr>
        <w:jc w:val="both"/>
        <w:ind w:left="360" w:firstLine="745"/>
        <w:spacing w:after="0" w:line="269" w:lineRule="auto"/>
        <w:tabs>
          <w:tab w:leader="none" w:pos="1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the General Disclosure Package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of Common Stock or securities convertible into or exchangeable or exercisable for or that represent the right to receive shares of Common Stock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78" w:lineRule="exact"/>
        <w:rPr>
          <w:rFonts w:ascii="Arial" w:cs="Arial" w:eastAsia="Arial" w:hAnsi="Arial"/>
          <w:sz w:val="18"/>
          <w:szCs w:val="18"/>
          <w:color w:val="auto"/>
        </w:rPr>
      </w:pPr>
    </w:p>
    <w:p>
      <w:pPr>
        <w:jc w:val="both"/>
        <w:ind w:left="360" w:firstLine="745"/>
        <w:spacing w:after="0" w:line="246" w:lineRule="auto"/>
        <w:tabs>
          <w:tab w:leader="none" w:pos="1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There are no persons (as such term is defined in Rule 1-02 of Regulation S-X promulgated under the 1933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Representative.</w:t>
      </w:r>
    </w:p>
    <w:p>
      <w:pPr>
        <w:spacing w:after="0" w:line="191" w:lineRule="exact"/>
        <w:rPr>
          <w:rFonts w:ascii="Arial" w:cs="Arial" w:eastAsia="Arial" w:hAnsi="Arial"/>
          <w:sz w:val="20"/>
          <w:szCs w:val="20"/>
          <w:color w:val="auto"/>
        </w:rPr>
      </w:pPr>
    </w:p>
    <w:p>
      <w:pPr>
        <w:jc w:val="both"/>
        <w:ind w:left="360" w:firstLine="745"/>
        <w:spacing w:after="0" w:line="260" w:lineRule="auto"/>
        <w:tabs>
          <w:tab w:leader="none" w:pos="1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financial statements included or incorporated by reference in the Registration Statement, the General Disclosure Package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3" w:name="page14"/>
    <w:bookmarkEnd w:id="13"/>
    <w:p>
      <w:pPr>
        <w:jc w:val="both"/>
        <w:ind w:left="360"/>
        <w:spacing w:after="0" w:line="268" w:lineRule="auto"/>
        <w:rPr>
          <w:sz w:val="20"/>
          <w:szCs w:val="20"/>
          <w:color w:val="auto"/>
        </w:rPr>
      </w:pPr>
      <w:r>
        <w:rPr>
          <w:rFonts w:ascii="Arial" w:cs="Arial" w:eastAsia="Arial" w:hAnsi="Arial"/>
          <w:sz w:val="18"/>
          <w:szCs w:val="18"/>
          <w:color w:val="auto"/>
        </w:rPr>
        <w:t>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during the periods involved. To the extent applicable, any pro forma financial statements, information or data included or incorporated by reference in the Registration Statement, the General Disclosure Package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the General Disclosure Package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the General Disclosure Package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the General Disclosure Package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8"/>
          <w:szCs w:val="18"/>
          <w:u w:val="single" w:color="auto"/>
          <w:color w:val="auto"/>
        </w:rPr>
        <w:t>PCAOB</w:t>
      </w:r>
      <w:r>
        <w:rPr>
          <w:rFonts w:ascii="Arial" w:cs="Arial" w:eastAsia="Arial" w:hAnsi="Arial"/>
          <w:sz w:val="18"/>
          <w:szCs w:val="18"/>
          <w:color w:val="auto"/>
        </w:rPr>
        <w:t>”), has participated in or otherwise aided the preparation of, or audited, the financial statements, supporting schedules or other financial data filed with the Commission as a part of the Registration Statement, the General Disclosure Package and the Prospectus.</w:t>
      </w:r>
    </w:p>
    <w:p>
      <w:pPr>
        <w:spacing w:after="0" w:line="175" w:lineRule="exact"/>
        <w:rPr>
          <w:sz w:val="20"/>
          <w:szCs w:val="20"/>
          <w:color w:val="auto"/>
        </w:rPr>
      </w:pPr>
    </w:p>
    <w:p>
      <w:pPr>
        <w:jc w:val="both"/>
        <w:ind w:left="360" w:firstLine="745"/>
        <w:spacing w:after="0" w:line="303" w:lineRule="auto"/>
        <w:tabs>
          <w:tab w:leader="none" w:pos="1648"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the General Disclosure Package or the Prospectus and are not so described,</w:t>
      </w:r>
    </w:p>
    <w:p>
      <w:pPr>
        <w:spacing w:after="0" w:line="2" w:lineRule="exact"/>
        <w:rPr>
          <w:rFonts w:ascii="Arial" w:cs="Arial" w:eastAsia="Arial" w:hAnsi="Arial"/>
          <w:sz w:val="16"/>
          <w:szCs w:val="16"/>
          <w:color w:val="auto"/>
        </w:rPr>
      </w:pPr>
    </w:p>
    <w:p>
      <w:pPr>
        <w:jc w:val="both"/>
        <w:ind w:left="360" w:hanging="3"/>
        <w:spacing w:after="0" w:line="271" w:lineRule="auto"/>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4" w:name="page15"/>
    <w:bookmarkEnd w:id="14"/>
    <w:p>
      <w:pPr>
        <w:ind w:left="360" w:firstLine="745"/>
        <w:spacing w:after="0" w:line="260" w:lineRule="auto"/>
        <w:tabs>
          <w:tab w:leader="none" w:pos="1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 owns or leases all such real properties as are necessary to the conduct of its operations as presently conducted in all material respects.</w:t>
      </w:r>
    </w:p>
    <w:p>
      <w:pPr>
        <w:spacing w:after="0" w:line="176" w:lineRule="exact"/>
        <w:rPr>
          <w:rFonts w:ascii="Arial" w:cs="Arial" w:eastAsia="Arial" w:hAnsi="Arial"/>
          <w:sz w:val="20"/>
          <w:szCs w:val="20"/>
          <w:color w:val="auto"/>
        </w:rPr>
      </w:pPr>
    </w:p>
    <w:p>
      <w:pPr>
        <w:jc w:val="both"/>
        <w:ind w:left="360" w:firstLine="745"/>
        <w:spacing w:after="0" w:line="242" w:lineRule="auto"/>
        <w:tabs>
          <w:tab w:leader="none" w:pos="1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94" w:lineRule="exact"/>
        <w:rPr>
          <w:rFonts w:ascii="Arial" w:cs="Arial" w:eastAsia="Arial" w:hAnsi="Arial"/>
          <w:sz w:val="20"/>
          <w:szCs w:val="20"/>
          <w:color w:val="auto"/>
        </w:rPr>
      </w:pPr>
    </w:p>
    <w:p>
      <w:pPr>
        <w:jc w:val="both"/>
        <w:ind w:left="360" w:firstLine="745"/>
        <w:spacing w:after="0" w:line="270" w:lineRule="auto"/>
        <w:tabs>
          <w:tab w:leader="none" w:pos="1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Ernst &amp; Young LLP, whose report on the consolidated financial statements of the Company is filed with the Commission as part of the Company’s most recent annual report on Form 10-K filed with the Commission and incorporated by reference in the Registration Statement, the General Disclosure Package and the Prospectus, and, to the best of the Company’s knowledge, KPMG, the accountants who certified the financial statements and supporting schedules of the Sunosi product of Jazz Pharmaceuticals plc that are incorporated by reference in the Registration Statement, the General Disclosure Package and the Prospectus, and Deloitte &amp; Touche LLP is (i) an independent registered public accounting firm as required by the 1933 Act, the 1934 Act 1933 Act, the 1933 Act Regulations, the 1934 Act, the 1934 Act Regulations and the Public Company Accounting Oversight Board (United States) (“PCAOB”), (ii) in compliance with the applicable requirements relating to the qualification of accountants under Rule 2-01 of Regulation S-X under the 1933 Act and (iii) a registered public accounting firm as defined by the PCAOB whose registration has not been suspended or revoked and who has not requested such registration to be withdrawn. Neither Ernst &amp; Young LLP nor Deloitte &amp; Touche LLP has been engaged by the Company to perform any “prohibited activities” or provided to the Company any “non-audit services” (as defined in Section 10A of the 1934 Act).</w:t>
      </w:r>
    </w:p>
    <w:p>
      <w:pPr>
        <w:spacing w:after="0" w:line="175" w:lineRule="exact"/>
        <w:rPr>
          <w:rFonts w:ascii="Arial" w:cs="Arial" w:eastAsia="Arial" w:hAnsi="Arial"/>
          <w:sz w:val="18"/>
          <w:szCs w:val="18"/>
          <w:color w:val="auto"/>
        </w:rPr>
      </w:pPr>
    </w:p>
    <w:p>
      <w:pPr>
        <w:jc w:val="both"/>
        <w:ind w:left="360" w:firstLine="745"/>
        <w:spacing w:after="0" w:line="250" w:lineRule="auto"/>
        <w:tabs>
          <w:tab w:leader="none" w:pos="1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186" w:lineRule="exact"/>
        <w:rPr>
          <w:sz w:val="20"/>
          <w:szCs w:val="20"/>
          <w:color w:val="auto"/>
        </w:rPr>
      </w:pPr>
    </w:p>
    <w:p>
      <w:pPr>
        <w:jc w:val="both"/>
        <w:ind w:left="360" w:firstLine="749"/>
        <w:spacing w:after="0" w:line="271" w:lineRule="auto"/>
        <w:rPr>
          <w:sz w:val="20"/>
          <w:szCs w:val="20"/>
          <w:color w:val="auto"/>
        </w:rPr>
      </w:pPr>
      <w:r>
        <w:rPr>
          <w:rFonts w:ascii="Arial" w:cs="Arial" w:eastAsia="Arial" w:hAnsi="Arial"/>
          <w:sz w:val="18"/>
          <w:szCs w:val="18"/>
          <w:color w:val="auto"/>
        </w:rPr>
        <w:t>(xxvii)All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5" w:name="page16"/>
    <w:bookmarkEnd w:id="15"/>
    <w:p>
      <w:pPr>
        <w:jc w:val="both"/>
        <w:ind w:left="360"/>
        <w:spacing w:after="0" w:line="259" w:lineRule="auto"/>
        <w:rPr>
          <w:sz w:val="20"/>
          <w:szCs w:val="20"/>
          <w:color w:val="auto"/>
        </w:rPr>
      </w:pPr>
      <w:r>
        <w:rPr>
          <w:rFonts w:ascii="Arial" w:cs="Arial" w:eastAsia="Arial" w:hAnsi="Arial"/>
          <w:sz w:val="19"/>
          <w:szCs w:val="19"/>
          <w:color w:val="auto"/>
        </w:rPr>
        <w:t>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178" w:lineRule="exact"/>
        <w:rPr>
          <w:sz w:val="20"/>
          <w:szCs w:val="20"/>
          <w:color w:val="auto"/>
        </w:rPr>
      </w:pPr>
    </w:p>
    <w:p>
      <w:pPr>
        <w:jc w:val="both"/>
        <w:ind w:left="360" w:firstLine="749"/>
        <w:spacing w:after="0" w:line="256" w:lineRule="auto"/>
        <w:rPr>
          <w:sz w:val="20"/>
          <w:szCs w:val="20"/>
          <w:color w:val="auto"/>
        </w:rPr>
      </w:pPr>
      <w:r>
        <w:rPr>
          <w:rFonts w:ascii="Arial" w:cs="Arial" w:eastAsia="Arial" w:hAnsi="Arial"/>
          <w:sz w:val="19"/>
          <w:szCs w:val="19"/>
          <w:color w:val="auto"/>
        </w:rPr>
        <w:t>(xxviii)No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84" w:lineRule="exact"/>
        <w:rPr>
          <w:sz w:val="20"/>
          <w:szCs w:val="20"/>
          <w:color w:val="auto"/>
        </w:rPr>
      </w:pPr>
    </w:p>
    <w:p>
      <w:pPr>
        <w:jc w:val="both"/>
        <w:ind w:left="360" w:firstLine="745"/>
        <w:spacing w:after="0" w:line="256" w:lineRule="auto"/>
        <w:tabs>
          <w:tab w:leader="none" w:pos="1648" w:val="left"/>
        </w:tabs>
        <w:numPr>
          <w:ilvl w:val="1"/>
          <w:numId w:val="13"/>
        </w:numPr>
        <w:rPr>
          <w:rFonts w:ascii="Arial" w:cs="Arial" w:eastAsia="Arial" w:hAnsi="Arial"/>
          <w:sz w:val="19"/>
          <w:szCs w:val="19"/>
          <w:color w:val="auto"/>
        </w:rPr>
      </w:pPr>
      <w:r>
        <w:rPr>
          <w:rFonts w:ascii="Arial" w:cs="Arial" w:eastAsia="Arial" w:hAnsi="Arial"/>
          <w:sz w:val="19"/>
          <w:szCs w:val="19"/>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184" w:lineRule="exact"/>
        <w:rPr>
          <w:rFonts w:ascii="Arial" w:cs="Arial" w:eastAsia="Arial" w:hAnsi="Arial"/>
          <w:sz w:val="19"/>
          <w:szCs w:val="19"/>
          <w:color w:val="auto"/>
        </w:rPr>
      </w:pPr>
    </w:p>
    <w:p>
      <w:pPr>
        <w:jc w:val="both"/>
        <w:ind w:left="360" w:firstLine="745"/>
        <w:spacing w:after="0" w:line="302" w:lineRule="auto"/>
        <w:tabs>
          <w:tab w:leader="none" w:pos="16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Sections (xlii) and (xlviii)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w:t>
      </w:r>
    </w:p>
    <w:p>
      <w:pPr>
        <w:spacing w:after="0" w:line="3" w:lineRule="exact"/>
        <w:rPr>
          <w:rFonts w:ascii="Arial" w:cs="Arial" w:eastAsia="Arial" w:hAnsi="Arial"/>
          <w:sz w:val="16"/>
          <w:szCs w:val="16"/>
          <w:color w:val="auto"/>
        </w:rPr>
      </w:pPr>
    </w:p>
    <w:p>
      <w:pPr>
        <w:jc w:val="both"/>
        <w:ind w:left="360" w:hanging="3"/>
        <w:spacing w:after="0"/>
        <w:tabs>
          <w:tab w:leader="none" w:pos="69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6" w:name="page17"/>
    <w:bookmarkEnd w:id="16"/>
    <w:p>
      <w:pPr>
        <w:jc w:val="both"/>
        <w:ind w:left="360" w:firstLine="745"/>
        <w:spacing w:after="0" w:line="274" w:lineRule="auto"/>
        <w:tabs>
          <w:tab w:leader="none" w:pos="1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the General Disclosure Package and the Prospectus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68" w:lineRule="exact"/>
        <w:rPr>
          <w:rFonts w:ascii="Arial" w:cs="Arial" w:eastAsia="Arial" w:hAnsi="Arial"/>
          <w:sz w:val="18"/>
          <w:szCs w:val="18"/>
          <w:color w:val="auto"/>
        </w:rPr>
      </w:pPr>
    </w:p>
    <w:p>
      <w:pPr>
        <w:jc w:val="both"/>
        <w:ind w:left="360" w:firstLine="745"/>
        <w:spacing w:after="0" w:line="256" w:lineRule="auto"/>
        <w:tabs>
          <w:tab w:leader="none" w:pos="1773"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General Disclosure Package and the Prospectus fairly presents the information called for in all material respects and is prepared in accordance with the Commission’s rules and guidelines applicable thereto.</w:t>
      </w:r>
    </w:p>
    <w:p>
      <w:pPr>
        <w:spacing w:after="0" w:line="184" w:lineRule="exact"/>
        <w:rPr>
          <w:sz w:val="20"/>
          <w:szCs w:val="20"/>
          <w:color w:val="auto"/>
        </w:rPr>
      </w:pPr>
    </w:p>
    <w:p>
      <w:pPr>
        <w:jc w:val="both"/>
        <w:ind w:left="360" w:firstLine="749"/>
        <w:spacing w:after="0" w:line="271" w:lineRule="auto"/>
        <w:rPr>
          <w:sz w:val="20"/>
          <w:szCs w:val="20"/>
          <w:color w:val="auto"/>
        </w:rPr>
      </w:pPr>
      <w:r>
        <w:rPr>
          <w:rFonts w:ascii="Arial" w:cs="Arial" w:eastAsia="Arial" w:hAnsi="Arial"/>
          <w:sz w:val="18"/>
          <w:szCs w:val="18"/>
          <w:color w:val="auto"/>
        </w:rPr>
        <w:t>(xxxiii)The Company and each of its Subsidiaries have established and maintain disclosure controls and procedures (as defined in Rules 13a-15 and 15d-15 under the 1934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70" w:lineRule="exact"/>
        <w:rPr>
          <w:sz w:val="20"/>
          <w:szCs w:val="20"/>
          <w:color w:val="auto"/>
        </w:rPr>
      </w:pPr>
    </w:p>
    <w:p>
      <w:pPr>
        <w:jc w:val="both"/>
        <w:ind w:left="360" w:firstLine="749"/>
        <w:spacing w:after="0" w:line="243" w:lineRule="auto"/>
        <w:rPr>
          <w:sz w:val="20"/>
          <w:szCs w:val="20"/>
          <w:color w:val="auto"/>
        </w:rPr>
      </w:pPr>
      <w:r>
        <w:rPr>
          <w:rFonts w:ascii="Arial" w:cs="Arial" w:eastAsia="Arial" w:hAnsi="Arial"/>
          <w:sz w:val="20"/>
          <w:szCs w:val="20"/>
          <w:color w:val="auto"/>
        </w:rPr>
        <w:t>(xxxiv)Neither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1934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1934 Act.</w:t>
      </w:r>
    </w:p>
    <w:p>
      <w:pPr>
        <w:spacing w:after="0" w:line="196" w:lineRule="exact"/>
        <w:rPr>
          <w:sz w:val="20"/>
          <w:szCs w:val="20"/>
          <w:color w:val="auto"/>
        </w:rPr>
      </w:pPr>
    </w:p>
    <w:p>
      <w:pPr>
        <w:jc w:val="both"/>
        <w:ind w:left="360" w:firstLine="749"/>
        <w:spacing w:after="0" w:line="246" w:lineRule="auto"/>
        <w:rPr>
          <w:sz w:val="20"/>
          <w:szCs w:val="20"/>
          <w:color w:val="auto"/>
        </w:rPr>
      </w:pPr>
      <w:r>
        <w:rPr>
          <w:rFonts w:ascii="Arial" w:cs="Arial" w:eastAsia="Arial" w:hAnsi="Arial"/>
          <w:sz w:val="20"/>
          <w:szCs w:val="20"/>
          <w:color w:val="auto"/>
        </w:rPr>
        <w:t>(xxxv)Except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7" w:name="page18"/>
    <w:bookmarkEnd w:id="17"/>
    <w:p>
      <w:pPr>
        <w:jc w:val="both"/>
        <w:ind w:left="360"/>
        <w:spacing w:after="0" w:line="268" w:lineRule="auto"/>
        <w:rPr>
          <w:sz w:val="20"/>
          <w:szCs w:val="20"/>
          <w:color w:val="auto"/>
        </w:rPr>
      </w:pPr>
      <w:r>
        <w:rPr>
          <w:rFonts w:ascii="Arial" w:cs="Arial" w:eastAsia="Arial" w:hAnsi="Arial"/>
          <w:sz w:val="18"/>
          <w:szCs w:val="18"/>
          <w:color w:val="auto"/>
        </w:rPr>
        <w:t>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Arial" w:cs="Arial" w:eastAsia="Arial" w:hAnsi="Arial"/>
          <w:sz w:val="18"/>
          <w:szCs w:val="18"/>
          <w:u w:val="single" w:color="auto"/>
          <w:color w:val="auto"/>
        </w:rPr>
        <w:t>Hazardous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Materials</w:t>
      </w:r>
      <w:r>
        <w:rPr>
          <w:rFonts w:ascii="Arial" w:cs="Arial" w:eastAsia="Arial" w:hAnsi="Arial"/>
          <w:sz w:val="18"/>
          <w:szCs w:val="18"/>
          <w:color w:val="auto"/>
        </w:rPr>
        <w:t>”) or otherwise related to the manufacture, processing, distribution, use, treatment, storage, disposal, transport or handling of Hazardous Materials (collectively, “</w:t>
      </w:r>
      <w:r>
        <w:rPr>
          <w:rFonts w:ascii="Arial" w:cs="Arial" w:eastAsia="Arial" w:hAnsi="Arial"/>
          <w:sz w:val="18"/>
          <w:szCs w:val="18"/>
          <w:u w:val="single" w:color="auto"/>
          <w:color w:val="auto"/>
        </w:rPr>
        <w:t>Environmental Laws</w:t>
      </w:r>
      <w:r>
        <w:rPr>
          <w:rFonts w:ascii="Arial" w:cs="Arial" w:eastAsia="Arial" w:hAnsi="Arial"/>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180" w:lineRule="exact"/>
        <w:rPr>
          <w:sz w:val="20"/>
          <w:szCs w:val="20"/>
          <w:color w:val="auto"/>
        </w:rPr>
      </w:pPr>
    </w:p>
    <w:p>
      <w:pPr>
        <w:jc w:val="both"/>
        <w:ind w:left="360" w:firstLine="749"/>
        <w:spacing w:after="0" w:line="254" w:lineRule="auto"/>
        <w:rPr>
          <w:sz w:val="20"/>
          <w:szCs w:val="20"/>
          <w:color w:val="auto"/>
        </w:rPr>
      </w:pPr>
      <w:r>
        <w:rPr>
          <w:rFonts w:ascii="Arial" w:cs="Arial" w:eastAsia="Arial" w:hAnsi="Arial"/>
          <w:sz w:val="19"/>
          <w:szCs w:val="19"/>
          <w:color w:val="auto"/>
        </w:rPr>
        <w:t>(xxxvi)The Company and any “employee benefit plan” (as defined under the Employee Retirement Income Security Act of 1974, as amended, and the regulations and published interpretations thereunder (collectively, “</w:t>
      </w:r>
      <w:r>
        <w:rPr>
          <w:rFonts w:ascii="Arial" w:cs="Arial" w:eastAsia="Arial" w:hAnsi="Arial"/>
          <w:sz w:val="19"/>
          <w:szCs w:val="19"/>
          <w:u w:val="single" w:color="auto"/>
          <w:color w:val="auto"/>
        </w:rPr>
        <w:t>ERISA</w:t>
      </w:r>
      <w:r>
        <w:rPr>
          <w:rFonts w:ascii="Arial" w:cs="Arial" w:eastAsia="Arial" w:hAnsi="Arial"/>
          <w:sz w:val="19"/>
          <w:szCs w:val="19"/>
          <w:color w:val="auto"/>
        </w:rPr>
        <w:t>”)) established or maintained by the Company, or its “ERISA Affiliates” (as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8" w:name="page19"/>
    <w:bookmarkEnd w:id="18"/>
    <w:p>
      <w:pPr>
        <w:jc w:val="both"/>
        <w:ind w:left="360" w:firstLine="749"/>
        <w:spacing w:after="0" w:line="282" w:lineRule="auto"/>
        <w:rPr>
          <w:sz w:val="20"/>
          <w:szCs w:val="20"/>
          <w:color w:val="auto"/>
        </w:rPr>
      </w:pPr>
      <w:r>
        <w:rPr>
          <w:rFonts w:ascii="Arial" w:cs="Arial" w:eastAsia="Arial" w:hAnsi="Arial"/>
          <w:sz w:val="18"/>
          <w:szCs w:val="18"/>
          <w:color w:val="auto"/>
        </w:rPr>
        <w:t>(xxxvii)The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rules and regulations promulgated in connection therewith, including Section 402 relating to loans.</w:t>
      </w:r>
    </w:p>
    <w:p>
      <w:pPr>
        <w:spacing w:after="0" w:line="161" w:lineRule="exact"/>
        <w:rPr>
          <w:sz w:val="20"/>
          <w:szCs w:val="20"/>
          <w:color w:val="auto"/>
        </w:rPr>
      </w:pPr>
    </w:p>
    <w:p>
      <w:pPr>
        <w:jc w:val="both"/>
        <w:ind w:left="360" w:firstLine="749"/>
        <w:spacing w:after="0" w:line="257" w:lineRule="auto"/>
        <w:rPr>
          <w:sz w:val="20"/>
          <w:szCs w:val="20"/>
          <w:color w:val="auto"/>
        </w:rPr>
      </w:pPr>
      <w:r>
        <w:rPr>
          <w:rFonts w:ascii="Arial" w:cs="Arial" w:eastAsia="Arial" w:hAnsi="Arial"/>
          <w:sz w:val="19"/>
          <w:szCs w:val="19"/>
          <w:color w:val="auto"/>
        </w:rPr>
        <w:t>(xxxviii)Neither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80" w:lineRule="exact"/>
        <w:rPr>
          <w:sz w:val="20"/>
          <w:szCs w:val="20"/>
          <w:color w:val="auto"/>
        </w:rPr>
      </w:pPr>
    </w:p>
    <w:p>
      <w:pPr>
        <w:jc w:val="both"/>
        <w:ind w:left="360" w:firstLine="749"/>
        <w:spacing w:after="0" w:line="255" w:lineRule="auto"/>
        <w:rPr>
          <w:sz w:val="20"/>
          <w:szCs w:val="20"/>
          <w:color w:val="auto"/>
        </w:rPr>
      </w:pPr>
      <w:r>
        <w:rPr>
          <w:rFonts w:ascii="Arial" w:cs="Arial" w:eastAsia="Arial" w:hAnsi="Arial"/>
          <w:sz w:val="19"/>
          <w:szCs w:val="19"/>
          <w:color w:val="auto"/>
        </w:rPr>
        <w:t>(xxxix)None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xml:space="preserve"> ”),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184" w:lineRule="exact"/>
        <w:rPr>
          <w:sz w:val="20"/>
          <w:szCs w:val="20"/>
          <w:color w:val="auto"/>
        </w:rPr>
      </w:pPr>
    </w:p>
    <w:p>
      <w:pPr>
        <w:jc w:val="both"/>
        <w:ind w:left="360" w:firstLine="749"/>
        <w:spacing w:after="0" w:line="259" w:lineRule="auto"/>
        <w:rPr>
          <w:sz w:val="20"/>
          <w:szCs w:val="20"/>
          <w:color w:val="auto"/>
        </w:rPr>
      </w:pPr>
      <w:r>
        <w:rPr>
          <w:rFonts w:ascii="Arial" w:cs="Arial" w:eastAsia="Arial" w:hAnsi="Arial"/>
          <w:sz w:val="19"/>
          <w:szCs w:val="19"/>
          <w:color w:val="auto"/>
        </w:rPr>
        <w:t>(xl)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investigation or proceeding by or before any court or governmental agency, authority or body or any arbitrator involving the Company or any of its Subsidiaries with respect to the Money Laundering Laws is pending or, to the best of the Company’s knowledge, threatened.</w:t>
      </w:r>
    </w:p>
    <w:p>
      <w:pPr>
        <w:spacing w:after="0" w:line="178" w:lineRule="exact"/>
        <w:rPr>
          <w:sz w:val="20"/>
          <w:szCs w:val="20"/>
          <w:color w:val="auto"/>
        </w:rPr>
      </w:pPr>
    </w:p>
    <w:p>
      <w:pPr>
        <w:jc w:val="both"/>
        <w:ind w:left="360" w:firstLine="749"/>
        <w:spacing w:after="0" w:line="243" w:lineRule="auto"/>
        <w:rPr>
          <w:sz w:val="20"/>
          <w:szCs w:val="20"/>
          <w:color w:val="auto"/>
        </w:rPr>
      </w:pPr>
      <w:r>
        <w:rPr>
          <w:rFonts w:ascii="Arial" w:cs="Arial" w:eastAsia="Arial" w:hAnsi="Arial"/>
          <w:sz w:val="20"/>
          <w:szCs w:val="20"/>
          <w:color w:val="auto"/>
        </w:rPr>
        <w:t>(xli) 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His Majesty’s Treasury or other relevant sanctions authority (collectively, “</w:t>
      </w:r>
      <w:r>
        <w:rPr>
          <w:rFonts w:ascii="Arial" w:cs="Arial" w:eastAsia="Arial" w:hAnsi="Arial"/>
          <w:sz w:val="20"/>
          <w:szCs w:val="20"/>
          <w:u w:val="single" w:color="auto"/>
          <w:color w:val="auto"/>
        </w:rPr>
        <w:t>Sanctions</w:t>
      </w:r>
      <w:r>
        <w:rPr>
          <w:rFonts w:ascii="Arial" w:cs="Arial" w:eastAsia="Arial" w:hAnsi="Arial"/>
          <w:sz w:val="20"/>
          <w:szCs w:val="20"/>
          <w:color w:val="auto"/>
        </w:rPr>
        <w:t>”) or is located, organized or resident in a country or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19" w:name="page20"/>
    <w:bookmarkEnd w:id="19"/>
    <w:p>
      <w:pPr>
        <w:jc w:val="both"/>
        <w:ind w:left="360"/>
        <w:spacing w:after="0" w:line="257" w:lineRule="auto"/>
        <w:rPr>
          <w:sz w:val="20"/>
          <w:szCs w:val="20"/>
          <w:color w:val="auto"/>
        </w:rPr>
      </w:pPr>
      <w:r>
        <w:rPr>
          <w:rFonts w:ascii="Arial" w:cs="Arial" w:eastAsia="Arial" w:hAnsi="Arial"/>
          <w:sz w:val="19"/>
          <w:szCs w:val="19"/>
          <w:color w:val="auto"/>
        </w:rPr>
        <w:t>territory that is the subject or target of Sanctions; and the Company will not directly or indirectly use the proceeds of the sale of the Common Stock,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80" w:lineRule="exact"/>
        <w:rPr>
          <w:sz w:val="20"/>
          <w:szCs w:val="20"/>
          <w:color w:val="auto"/>
        </w:rPr>
      </w:pPr>
    </w:p>
    <w:p>
      <w:pPr>
        <w:jc w:val="both"/>
        <w:ind w:left="360" w:firstLine="749"/>
        <w:spacing w:after="0" w:line="267" w:lineRule="auto"/>
        <w:rPr>
          <w:sz w:val="20"/>
          <w:szCs w:val="20"/>
          <w:color w:val="auto"/>
        </w:rPr>
      </w:pPr>
      <w:r>
        <w:rPr>
          <w:rFonts w:ascii="Arial" w:cs="Arial" w:eastAsia="Arial" w:hAnsi="Arial"/>
          <w:sz w:val="18"/>
          <w:szCs w:val="18"/>
          <w:color w:val="auto"/>
        </w:rPr>
        <w:t>(xlii) The Company and its Subsidiaries own or possess the right to use all inventions, patent applications, patents, trademarks, trade names, service names, domain names, copyrights, trade secrets, know-how and other intellectual property (collectively,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 as are (i) necessary or material for the conduct of their respective businesses as currently conducted or as currently proposed to be conducted and as described in the Registration Statement, the General Disclosure Package and the Prospectus and (ii) necessary or material for the commercialization of the products described in the Registration Statement, the General Disclosure Package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20" w:name="page21"/>
    <w:bookmarkEnd w:id="20"/>
    <w:p>
      <w:pPr>
        <w:jc w:val="both"/>
        <w:ind w:left="360"/>
        <w:spacing w:after="0" w:line="255" w:lineRule="auto"/>
        <w:rPr>
          <w:sz w:val="20"/>
          <w:szCs w:val="20"/>
          <w:color w:val="auto"/>
        </w:rPr>
      </w:pPr>
      <w:r>
        <w:rPr>
          <w:rFonts w:ascii="Arial" w:cs="Arial" w:eastAsia="Arial" w:hAnsi="Arial"/>
          <w:sz w:val="19"/>
          <w:szCs w:val="19"/>
          <w:color w:val="auto"/>
        </w:rPr>
        <w:t>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the General Disclosure Package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184" w:lineRule="exact"/>
        <w:rPr>
          <w:sz w:val="20"/>
          <w:szCs w:val="20"/>
          <w:color w:val="auto"/>
        </w:rPr>
      </w:pPr>
    </w:p>
    <w:p>
      <w:pPr>
        <w:jc w:val="both"/>
        <w:ind w:left="360" w:firstLine="749"/>
        <w:spacing w:after="0" w:line="268" w:lineRule="auto"/>
        <w:rPr>
          <w:sz w:val="20"/>
          <w:szCs w:val="20"/>
          <w:color w:val="auto"/>
        </w:rPr>
      </w:pPr>
      <w:r>
        <w:rPr>
          <w:rFonts w:ascii="Arial" w:cs="Arial" w:eastAsia="Arial" w:hAnsi="Arial"/>
          <w:sz w:val="18"/>
          <w:szCs w:val="18"/>
          <w:color w:val="auto"/>
        </w:rPr>
        <w:t>(xliii) 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 European Medicines Agency (“</w:t>
      </w:r>
      <w:r>
        <w:rPr>
          <w:rFonts w:ascii="Arial" w:cs="Arial" w:eastAsia="Arial" w:hAnsi="Arial"/>
          <w:sz w:val="18"/>
          <w:szCs w:val="18"/>
          <w:u w:val="single" w:color="auto"/>
          <w:color w:val="auto"/>
        </w:rPr>
        <w:t>EMA</w:t>
      </w:r>
      <w:r>
        <w:rPr>
          <w:rFonts w:ascii="Arial" w:cs="Arial" w:eastAsia="Arial" w:hAnsi="Arial"/>
          <w:sz w:val="18"/>
          <w:szCs w:val="18"/>
          <w:color w:val="auto"/>
        </w:rPr>
        <w:t>”) and any local or other governmental or regulatory authority performing functions similar to those performed by the FDA or EMA) (collectively, “</w:t>
      </w:r>
      <w:r>
        <w:rPr>
          <w:rFonts w:ascii="Arial" w:cs="Arial" w:eastAsia="Arial" w:hAnsi="Arial"/>
          <w:sz w:val="18"/>
          <w:szCs w:val="18"/>
          <w:u w:val="single" w:color="auto"/>
          <w:color w:val="auto"/>
        </w:rPr>
        <w:t>Applicable Laws</w:t>
      </w:r>
      <w:r>
        <w:rPr>
          <w:rFonts w:ascii="Arial" w:cs="Arial" w:eastAsia="Arial" w:hAnsi="Arial"/>
          <w:sz w:val="18"/>
          <w:szCs w:val="18"/>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8"/>
          <w:szCs w:val="18"/>
          <w:u w:val="single" w:color="auto"/>
          <w:color w:val="auto"/>
        </w:rPr>
        <w:t>Governmental Permits</w:t>
      </w:r>
      <w:r>
        <w:rPr>
          <w:rFonts w:ascii="Arial" w:cs="Arial" w:eastAsia="Arial" w:hAnsi="Arial"/>
          <w:sz w:val="18"/>
          <w:szCs w:val="18"/>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the General Disclosure Package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the General Disclosure Package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21" w:name="page22"/>
    <w:bookmarkEnd w:id="21"/>
    <w:p>
      <w:pPr>
        <w:jc w:val="both"/>
        <w:ind w:left="360"/>
        <w:spacing w:after="0" w:line="257" w:lineRule="auto"/>
        <w:rPr>
          <w:sz w:val="20"/>
          <w:szCs w:val="20"/>
          <w:color w:val="auto"/>
        </w:rPr>
      </w:pPr>
      <w:r>
        <w:rPr>
          <w:rFonts w:ascii="Arial" w:cs="Arial" w:eastAsia="Arial" w:hAnsi="Arial"/>
          <w:sz w:val="19"/>
          <w:szCs w:val="19"/>
          <w:color w:val="auto"/>
        </w:rPr>
        <w:t>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185" w:lineRule="exact"/>
        <w:rPr>
          <w:sz w:val="20"/>
          <w:szCs w:val="20"/>
          <w:color w:val="auto"/>
        </w:rPr>
      </w:pPr>
    </w:p>
    <w:p>
      <w:pPr>
        <w:jc w:val="both"/>
        <w:ind w:left="360" w:firstLine="749"/>
        <w:spacing w:after="0" w:line="255" w:lineRule="auto"/>
        <w:rPr>
          <w:sz w:val="20"/>
          <w:szCs w:val="20"/>
          <w:color w:val="auto"/>
        </w:rPr>
      </w:pPr>
      <w:r>
        <w:rPr>
          <w:rFonts w:ascii="Arial" w:cs="Arial" w:eastAsia="Arial" w:hAnsi="Arial"/>
          <w:sz w:val="19"/>
          <w:szCs w:val="19"/>
          <w:color w:val="auto"/>
        </w:rPr>
        <w:t>(xliv) 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182" w:lineRule="exact"/>
        <w:rPr>
          <w:sz w:val="20"/>
          <w:szCs w:val="20"/>
          <w:color w:val="auto"/>
        </w:rPr>
      </w:pPr>
    </w:p>
    <w:p>
      <w:pPr>
        <w:jc w:val="both"/>
        <w:ind w:left="360" w:firstLine="749"/>
        <w:spacing w:after="0" w:line="269" w:lineRule="auto"/>
        <w:rPr>
          <w:sz w:val="20"/>
          <w:szCs w:val="20"/>
          <w:color w:val="auto"/>
        </w:rPr>
      </w:pPr>
      <w:r>
        <w:rPr>
          <w:rFonts w:ascii="Arial" w:cs="Arial" w:eastAsia="Arial" w:hAnsi="Arial"/>
          <w:sz w:val="18"/>
          <w:szCs w:val="18"/>
          <w:color w:val="auto"/>
        </w:rPr>
        <w:t>(xlv) 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18"/>
          <w:szCs w:val="18"/>
          <w:u w:val="single" w:color="auto"/>
          <w:color w:val="auto"/>
        </w:rPr>
        <w:t>Studies</w:t>
      </w:r>
      <w:r>
        <w:rPr>
          <w:rFonts w:ascii="Arial" w:cs="Arial" w:eastAsia="Arial" w:hAnsi="Arial"/>
          <w:sz w:val="18"/>
          <w:szCs w:val="18"/>
          <w:color w:val="auto"/>
        </w:rPr>
        <w:t>”) that are described in, or the results of which are referred to in, the Registration Statement, the General Disclosure Package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the General Disclosure Package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There have been no material serious adverse events resulting from any Study. To the Company’s knowledge, the manufacturing facilities and operations of its suppliers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22" w:name="page23"/>
    <w:bookmarkEnd w:id="22"/>
    <w:p>
      <w:pPr>
        <w:ind w:left="360"/>
        <w:spacing w:after="0"/>
        <w:rPr>
          <w:sz w:val="20"/>
          <w:szCs w:val="20"/>
          <w:color w:val="auto"/>
        </w:rPr>
      </w:pPr>
      <w:r>
        <w:rPr>
          <w:rFonts w:ascii="Arial" w:cs="Arial" w:eastAsia="Arial" w:hAnsi="Arial"/>
          <w:sz w:val="20"/>
          <w:szCs w:val="20"/>
          <w:color w:val="auto"/>
        </w:rPr>
        <w:t>are operated in compliance in all material respects with all Applicable Laws and Governmental Permits.</w:t>
      </w:r>
    </w:p>
    <w:p>
      <w:pPr>
        <w:spacing w:after="0" w:line="216" w:lineRule="exact"/>
        <w:rPr>
          <w:sz w:val="20"/>
          <w:szCs w:val="20"/>
          <w:color w:val="auto"/>
        </w:rPr>
      </w:pPr>
    </w:p>
    <w:p>
      <w:pPr>
        <w:jc w:val="both"/>
        <w:ind w:left="360" w:firstLine="749"/>
        <w:spacing w:after="0" w:line="243" w:lineRule="auto"/>
        <w:rPr>
          <w:sz w:val="20"/>
          <w:szCs w:val="20"/>
          <w:color w:val="auto"/>
        </w:rPr>
      </w:pPr>
      <w:r>
        <w:rPr>
          <w:rFonts w:ascii="Arial" w:cs="Arial" w:eastAsia="Arial" w:hAnsi="Arial"/>
          <w:sz w:val="20"/>
          <w:szCs w:val="20"/>
          <w:color w:val="auto"/>
        </w:rPr>
        <w:t>(xlvi) Each financial or operational projection or other “forward-looking statement” (as defined by Section 27A of the 1933 Act or Section 21E of the 1934 Act) contained in the Registration Statement, the General Disclosure Package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93" w:lineRule="exact"/>
        <w:rPr>
          <w:sz w:val="20"/>
          <w:szCs w:val="20"/>
          <w:color w:val="auto"/>
        </w:rPr>
      </w:pPr>
    </w:p>
    <w:p>
      <w:pPr>
        <w:jc w:val="both"/>
        <w:ind w:left="360" w:firstLine="749"/>
        <w:spacing w:after="0" w:line="255" w:lineRule="auto"/>
        <w:rPr>
          <w:sz w:val="20"/>
          <w:szCs w:val="20"/>
          <w:color w:val="auto"/>
        </w:rPr>
      </w:pPr>
      <w:r>
        <w:rPr>
          <w:rFonts w:ascii="Arial" w:cs="Arial" w:eastAsia="Arial" w:hAnsi="Arial"/>
          <w:sz w:val="19"/>
          <w:szCs w:val="19"/>
          <w:color w:val="auto"/>
        </w:rPr>
        <w:t>(xlvii) 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Arial" w:cs="Arial" w:eastAsia="Arial" w:hAnsi="Arial"/>
          <w:sz w:val="19"/>
          <w:szCs w:val="19"/>
          <w:u w:val="single" w:color="auto"/>
          <w:color w:val="auto"/>
        </w:rPr>
        <w:t>Occupational Laws</w:t>
      </w:r>
      <w:r>
        <w:rPr>
          <w:rFonts w:ascii="Arial" w:cs="Arial" w:eastAsia="Arial" w:hAnsi="Arial"/>
          <w:sz w:val="19"/>
          <w:szCs w:val="19"/>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90" w:lineRule="exact"/>
        <w:rPr>
          <w:sz w:val="20"/>
          <w:szCs w:val="20"/>
          <w:color w:val="auto"/>
        </w:rPr>
      </w:pPr>
    </w:p>
    <w:p>
      <w:pPr>
        <w:jc w:val="both"/>
        <w:ind w:left="360" w:firstLine="749"/>
        <w:spacing w:after="0" w:line="269" w:lineRule="auto"/>
        <w:rPr>
          <w:sz w:val="20"/>
          <w:szCs w:val="20"/>
          <w:color w:val="auto"/>
        </w:rPr>
      </w:pPr>
      <w:r>
        <w:rPr>
          <w:rFonts w:ascii="Arial" w:cs="Arial" w:eastAsia="Arial" w:hAnsi="Arial"/>
          <w:sz w:val="18"/>
          <w:szCs w:val="18"/>
          <w:color w:val="auto"/>
        </w:rPr>
        <w:t>(xlviii)The Company has duly and properly filed or caused to be filed with the U.S. Patent and Trademark Office (the “</w:t>
      </w:r>
      <w:r>
        <w:rPr>
          <w:rFonts w:ascii="Arial" w:cs="Arial" w:eastAsia="Arial" w:hAnsi="Arial"/>
          <w:sz w:val="18"/>
          <w:szCs w:val="18"/>
          <w:u w:val="single" w:color="auto"/>
          <w:color w:val="auto"/>
        </w:rPr>
        <w:t>PTO</w:t>
      </w:r>
      <w:r>
        <w:rPr>
          <w:rFonts w:ascii="Arial" w:cs="Arial" w:eastAsia="Arial" w:hAnsi="Arial"/>
          <w:sz w:val="18"/>
          <w:szCs w:val="18"/>
          <w:color w:val="auto"/>
        </w:rPr>
        <w:t>”) and applicable foreign and international patent and trademark authorities all patents, trademarks, copyrights and applications relating to the same owned by the Company and its Subsidiaries (the “</w:t>
      </w:r>
      <w:r>
        <w:rPr>
          <w:rFonts w:ascii="Arial" w:cs="Arial" w:eastAsia="Arial" w:hAnsi="Arial"/>
          <w:sz w:val="18"/>
          <w:szCs w:val="18"/>
          <w:u w:val="single" w:color="auto"/>
          <w:color w:val="auto"/>
        </w:rPr>
        <w:t>Company Patent and Trademark Applications</w:t>
      </w:r>
      <w:r>
        <w:rPr>
          <w:rFonts w:ascii="Arial" w:cs="Arial" w:eastAsia="Arial" w:hAnsi="Arial"/>
          <w:sz w:val="18"/>
          <w:szCs w:val="18"/>
          <w:color w:val="auto"/>
        </w:rPr>
        <w:t xml:space="preserve">”).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 </w:t>
      </w:r>
      <w:r>
        <w:rPr>
          <w:rFonts w:ascii="Arial" w:cs="Arial" w:eastAsia="Arial" w:hAnsi="Arial"/>
          <w:sz w:val="18"/>
          <w:szCs w:val="18"/>
          <w:u w:val="single" w:color="auto"/>
          <w:color w:val="auto"/>
        </w:rPr>
        <w:t>Licenses</w:t>
      </w:r>
      <w:r>
        <w:rPr>
          <w:rFonts w:ascii="Arial" w:cs="Arial" w:eastAsia="Arial" w:hAnsi="Arial"/>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23" w:name="page24"/>
    <w:bookmarkEnd w:id="23"/>
    <w:p>
      <w:pPr>
        <w:jc w:val="both"/>
        <w:ind w:left="360" w:right="20"/>
        <w:spacing w:after="0" w:line="260" w:lineRule="auto"/>
        <w:rPr>
          <w:sz w:val="20"/>
          <w:szCs w:val="20"/>
          <w:color w:val="auto"/>
        </w:rPr>
      </w:pPr>
      <w:r>
        <w:rPr>
          <w:rFonts w:ascii="Arial" w:cs="Arial" w:eastAsia="Arial" w:hAnsi="Arial"/>
          <w:sz w:val="20"/>
          <w:szCs w:val="20"/>
          <w:color w:val="auto"/>
        </w:rPr>
        <w:t>pursuant to the Licenses are valid, enforceable and being duly maintained. To the Company’s knowledge, all patent applications licensed to the Company pursuant to the Licenses are being duly prosecuted.</w:t>
      </w:r>
    </w:p>
    <w:p>
      <w:pPr>
        <w:spacing w:after="0" w:line="177" w:lineRule="exact"/>
        <w:rPr>
          <w:sz w:val="20"/>
          <w:szCs w:val="20"/>
          <w:color w:val="auto"/>
        </w:rPr>
      </w:pPr>
    </w:p>
    <w:p>
      <w:pPr>
        <w:jc w:val="both"/>
        <w:ind w:left="360" w:right="20" w:firstLine="749"/>
        <w:spacing w:after="0" w:line="259" w:lineRule="auto"/>
        <w:rPr>
          <w:sz w:val="20"/>
          <w:szCs w:val="20"/>
          <w:color w:val="auto"/>
        </w:rPr>
      </w:pPr>
      <w:r>
        <w:rPr>
          <w:rFonts w:ascii="Arial" w:cs="Arial" w:eastAsia="Arial" w:hAnsi="Arial"/>
          <w:sz w:val="19"/>
          <w:szCs w:val="19"/>
          <w:color w:val="auto"/>
        </w:rPr>
        <w:t>(xlix) (A) At the original effectiveness of the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 under the 1933 Act).</w:t>
      </w:r>
    </w:p>
    <w:p>
      <w:pPr>
        <w:spacing w:after="0" w:line="178" w:lineRule="exact"/>
        <w:rPr>
          <w:sz w:val="20"/>
          <w:szCs w:val="20"/>
          <w:color w:val="auto"/>
        </w:rPr>
      </w:pPr>
    </w:p>
    <w:p>
      <w:pPr>
        <w:ind w:left="-400" w:right="20" w:firstLine="757"/>
        <w:spacing w:after="0" w:line="316" w:lineRule="auto"/>
        <w:tabs>
          <w:tab w:leader="none" w:pos="618"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and delivered to the Representative or to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Underwriters shall be deemed a representation and warranty by the Company to each Underwriter as to the matters covered thereby.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2.</w:t>
      </w:r>
      <w:r>
        <w:rPr>
          <w:rFonts w:ascii="Arial" w:cs="Arial" w:eastAsia="Arial" w:hAnsi="Arial"/>
          <w:sz w:val="20"/>
          <w:szCs w:val="20"/>
          <w:u w:val="single" w:color="auto"/>
          <w:color w:val="auto"/>
        </w:rPr>
        <w:t>Sale and Delivery to Underwriters; Closing</w:t>
      </w:r>
      <w:r>
        <w:rPr>
          <w:rFonts w:ascii="Arial" w:cs="Arial" w:eastAsia="Arial" w:hAnsi="Arial"/>
          <w:sz w:val="20"/>
          <w:szCs w:val="20"/>
          <w:color w:val="auto"/>
        </w:rPr>
        <w:t>.</w:t>
      </w:r>
    </w:p>
    <w:p>
      <w:pPr>
        <w:spacing w:after="0" w:line="216" w:lineRule="exact"/>
        <w:rPr>
          <w:sz w:val="20"/>
          <w:szCs w:val="20"/>
          <w:color w:val="auto"/>
        </w:rPr>
      </w:pPr>
    </w:p>
    <w:p>
      <w:pPr>
        <w:jc w:val="both"/>
        <w:ind w:left="-400" w:firstLine="757"/>
        <w:spacing w:after="0" w:line="259" w:lineRule="auto"/>
        <w:tabs>
          <w:tab w:leader="none" w:pos="618"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Initial Securities</w:t>
      </w:r>
      <w:r>
        <w:rPr>
          <w:rFonts w:ascii="Arial" w:cs="Arial" w:eastAsia="Arial" w:hAnsi="Arial"/>
          <w:sz w:val="19"/>
          <w:szCs w:val="19"/>
          <w:color w:val="auto"/>
        </w:rPr>
        <w:t>. On the basis of the representations and warranties herein contained and subject to the terms and conditions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herein set forth, the Company agrees to sell to each Underwriter, severally and not jointly, and each Underwriter, severally and not jointly, agrees to purchase from the Company, at the price per share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that number of Initial Securities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 in its sole discretion shall make to eliminate any sales or purchases of fractional shares.</w:t>
      </w:r>
    </w:p>
    <w:p>
      <w:pPr>
        <w:spacing w:after="0" w:line="178" w:lineRule="exact"/>
        <w:rPr>
          <w:rFonts w:ascii="Arial" w:cs="Arial" w:eastAsia="Arial" w:hAnsi="Arial"/>
          <w:sz w:val="19"/>
          <w:szCs w:val="19"/>
          <w:color w:val="auto"/>
        </w:rPr>
      </w:pPr>
    </w:p>
    <w:p>
      <w:pPr>
        <w:jc w:val="both"/>
        <w:ind w:left="-400" w:firstLine="757"/>
        <w:spacing w:after="0" w:line="270"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Option Securities</w:t>
      </w:r>
      <w:r>
        <w:rPr>
          <w:rFonts w:ascii="Arial" w:cs="Arial" w:eastAsia="Arial" w:hAnsi="Arial"/>
          <w:sz w:val="18"/>
          <w:szCs w:val="18"/>
          <w:color w:val="auto"/>
        </w:rPr>
        <w:t>. In addition, on the basis of the representations and warranties herein contained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herein set forth, the Company hereby grants an option to the Underwriters, severally and not jointly, to purchase up to an additional 450,000 shares of Common Stock,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 to the Company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shall be determined by the Representative, but any Date of Delivery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bears to the total number of Initial Securities, subject, in each case, to such adjustments as the Representative in its sole discretion shall make to eliminate any sales or purchases of fractional shares.</w:t>
      </w:r>
    </w:p>
    <w:p>
      <w:pPr>
        <w:spacing w:after="0" w:line="172" w:lineRule="exact"/>
        <w:rPr>
          <w:rFonts w:ascii="Arial" w:cs="Arial" w:eastAsia="Arial" w:hAnsi="Arial"/>
          <w:sz w:val="18"/>
          <w:szCs w:val="18"/>
          <w:color w:val="auto"/>
        </w:rPr>
      </w:pPr>
    </w:p>
    <w:p>
      <w:pPr>
        <w:jc w:val="both"/>
        <w:ind w:left="-400" w:right="20" w:firstLine="757"/>
        <w:spacing w:after="0" w:line="263" w:lineRule="auto"/>
        <w:tabs>
          <w:tab w:leader="none" w:pos="618"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Payment</w:t>
      </w:r>
      <w:r>
        <w:rPr>
          <w:rFonts w:ascii="Arial" w:cs="Arial" w:eastAsia="Arial" w:hAnsi="Arial"/>
          <w:sz w:val="19"/>
          <w:szCs w:val="19"/>
          <w:color w:val="auto"/>
        </w:rPr>
        <w:t>. Payment of the purchase price for, and delivery of certificates or security entitlements for, the Initial Securities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made at the offices of Covington &amp; Burling LLP, The New York Times Building, 620 Eighth Avenue, New York, New York, 10018, or at such other place as shall be agreed upon by the Representative and the Company, at 10:00 A.M. (New York City time) on the second (third, if the pricing occurs after 4:30 P.M. (New York City time) on any given day) business day after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20" w:top="352" w:right="319" w:bottom="1440" w:gutter="0" w:footer="0" w:header="0"/>
        </w:sectPr>
      </w:pPr>
    </w:p>
    <w:bookmarkStart w:id="24" w:name="page25"/>
    <w:bookmarkEnd w:id="24"/>
    <w:p>
      <w:pPr>
        <w:jc w:val="both"/>
        <w:spacing w:after="0" w:line="246" w:lineRule="auto"/>
        <w:rPr>
          <w:sz w:val="20"/>
          <w:szCs w:val="20"/>
          <w:color w:val="auto"/>
        </w:rPr>
      </w:pPr>
      <w:r>
        <w:rPr>
          <w:rFonts w:ascii="Arial" w:cs="Arial" w:eastAsia="Arial" w:hAnsi="Arial"/>
          <w:sz w:val="20"/>
          <w:szCs w:val="20"/>
          <w:color w:val="auto"/>
        </w:rPr>
        <w:t>(unless postponed in accordance with the provisions of Section 10), or such other time not later than ten business days after such date as shall be agreed upon by the Representative and the Company (such time and date of payment and delivery being herein called “</w:t>
      </w:r>
      <w:r>
        <w:rPr>
          <w:rFonts w:ascii="Arial" w:cs="Arial" w:eastAsia="Arial" w:hAnsi="Arial"/>
          <w:sz w:val="20"/>
          <w:szCs w:val="20"/>
          <w:u w:val="single" w:color="auto"/>
          <w:color w:val="auto"/>
        </w:rPr>
        <w:t>Closing Time</w:t>
      </w:r>
      <w:r>
        <w:rPr>
          <w:rFonts w:ascii="Arial" w:cs="Arial" w:eastAsia="Arial" w:hAnsi="Arial"/>
          <w:sz w:val="20"/>
          <w:szCs w:val="20"/>
          <w:color w:val="auto"/>
        </w:rPr>
        <w:t>”). Delivery of the Initial Securities at the Closing Time shall be made through the facilities of The Depository Trust Company unless the Representative shall otherwise instruct.</w:t>
      </w:r>
    </w:p>
    <w:p>
      <w:pPr>
        <w:spacing w:after="0" w:line="191" w:lineRule="exact"/>
        <w:rPr>
          <w:sz w:val="20"/>
          <w:szCs w:val="20"/>
          <w:color w:val="auto"/>
        </w:rPr>
      </w:pPr>
    </w:p>
    <w:p>
      <w:pPr>
        <w:jc w:val="both"/>
        <w:ind w:firstLine="749"/>
        <w:spacing w:after="0" w:line="234" w:lineRule="exact"/>
        <w:rPr>
          <w:sz w:val="20"/>
          <w:szCs w:val="20"/>
          <w:color w:val="auto"/>
        </w:rPr>
      </w:pPr>
      <w:r>
        <w:rPr>
          <w:rFonts w:ascii="Arial" w:cs="Arial" w:eastAsia="Arial" w:hAnsi="Arial"/>
          <w:sz w:val="19"/>
          <w:szCs w:val="19"/>
          <w:color w:val="auto"/>
        </w:rPr>
        <w:t>In addition, in the event that any or all of the Option Securities are purchased by the Underwriters, payment of the purchase price for, and delivery of certificates or security entitlements for, such Option Securities shall be made at the above</w:t>
      </w:r>
      <w:r>
        <w:rPr>
          <w:rFonts w:ascii="MS PGothic" w:cs="MS PGothic" w:eastAsia="MS PGothic" w:hAnsi="MS PGothic"/>
          <w:sz w:val="19"/>
          <w:szCs w:val="19"/>
          <w:color w:val="auto"/>
        </w:rPr>
        <w:t>‑</w:t>
      </w:r>
      <w:r>
        <w:rPr>
          <w:rFonts w:ascii="Arial" w:cs="Arial" w:eastAsia="Arial" w:hAnsi="Arial"/>
          <w:sz w:val="19"/>
          <w:szCs w:val="19"/>
          <w:color w:val="auto"/>
        </w:rPr>
        <w:t>mentioned offices, or at such other place as shall be agreed upon by the Representative and the Company, on each Date of Delivery as specified in the notice from the Representative to the Company. Delivery of the Option Securities on each such Date of Delivery shall be made through the facilities of The Depository Trust Company unless the Representative shall otherwise instruct.</w:t>
      </w:r>
    </w:p>
    <w:p>
      <w:pPr>
        <w:spacing w:after="0" w:line="19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Payment shall be made to the Company by wire transfer of immediately available funds to a bank account designated by the Company, against delivery to the Representative for the respective accounts of the Underwriters of certificates or security entitlements for the Securities to be purchased by them. It is understood that each Underwriter has authorized the Representative, for its account, to accept delivery of, receipt for, and make payment of the purchase price for, the Initial Securities and the Option Securities, if any, which it has agreed to purchase. SVB Securities,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3.</w:t>
      </w:r>
      <w:r>
        <w:rPr>
          <w:rFonts w:ascii="Arial" w:cs="Arial" w:eastAsia="Arial" w:hAnsi="Arial"/>
          <w:sz w:val="20"/>
          <w:szCs w:val="20"/>
          <w:u w:val="single" w:color="auto"/>
          <w:color w:val="auto"/>
        </w:rPr>
        <w:t>Covenants of the Company</w:t>
      </w:r>
      <w:r>
        <w:rPr>
          <w:rFonts w:ascii="Arial" w:cs="Arial" w:eastAsia="Arial" w:hAnsi="Arial"/>
          <w:sz w:val="20"/>
          <w:szCs w:val="20"/>
          <w:color w:val="auto"/>
        </w:rPr>
        <w:t>. The Company covenants with each Underwriter as follows:</w:t>
      </w:r>
    </w:p>
    <w:p>
      <w:pPr>
        <w:spacing w:after="0" w:line="216" w:lineRule="exact"/>
        <w:rPr>
          <w:sz w:val="20"/>
          <w:szCs w:val="20"/>
          <w:color w:val="auto"/>
        </w:rPr>
      </w:pPr>
    </w:p>
    <w:p>
      <w:pPr>
        <w:jc w:val="both"/>
        <w:ind w:firstLine="757"/>
        <w:spacing w:after="0" w:line="301" w:lineRule="auto"/>
        <w:tabs>
          <w:tab w:leader="none" w:pos="101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430B, and will notify the Representative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spacing w:after="0" w:line="4" w:lineRule="exact"/>
        <w:rPr>
          <w:rFonts w:ascii="Arial" w:cs="Arial" w:eastAsia="Arial" w:hAnsi="Arial"/>
          <w:sz w:val="16"/>
          <w:szCs w:val="16"/>
          <w:color w:val="auto"/>
        </w:rPr>
      </w:pPr>
    </w:p>
    <w:p>
      <w:pPr>
        <w:jc w:val="both"/>
        <w:ind w:firstLine="8"/>
        <w:spacing w:after="0" w:line="254" w:lineRule="auto"/>
        <w:tabs>
          <w:tab w:leader="none" w:pos="289"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 The Company shall pay the required Commission filing fees relating to the Securities within the time required by Rule 456(b)(1)(i) under the 1933 Act Regulations without regard to the proviso therein and otherwise in accordance with Rules 456(b) and 457(r) under the 1933 Act Regulations (including, if applicable, by updating the “Calculation of Registration Fee” table in accordance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20"/>
          <w:szCs w:val="20"/>
          <w:color w:val="auto"/>
        </w:rPr>
        <w:t>with Rule 456(b)(1)(ii) either in a post-effective amendment to the Registration Statement or on the cover page of a prospectus filed pursuant to Rule 424(b)).</w:t>
      </w:r>
    </w:p>
    <w:p>
      <w:pPr>
        <w:spacing w:after="0" w:line="177" w:lineRule="exact"/>
        <w:rPr>
          <w:sz w:val="20"/>
          <w:szCs w:val="20"/>
          <w:color w:val="auto"/>
        </w:rPr>
      </w:pPr>
    </w:p>
    <w:p>
      <w:pPr>
        <w:jc w:val="both"/>
        <w:ind w:firstLine="757"/>
        <w:spacing w:after="0" w:line="268" w:lineRule="auto"/>
        <w:tabs>
          <w:tab w:leader="none" w:pos="10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Continued Compliance with Securities Laws</w:t>
      </w:r>
      <w:r>
        <w:rPr>
          <w:rFonts w:ascii="Arial" w:cs="Arial" w:eastAsia="Arial" w:hAnsi="Arial"/>
          <w:sz w:val="18"/>
          <w:szCs w:val="18"/>
          <w:color w:val="auto"/>
        </w:rPr>
        <w:t>. The Company will comply with the 1933 Act, the 1933 Act Regulations, the 1934</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Arial" w:cs="Arial" w:eastAsia="Arial" w:hAnsi="Arial"/>
          <w:sz w:val="18"/>
          <w:szCs w:val="18"/>
          <w:u w:val="single" w:color="auto"/>
          <w:color w:val="auto"/>
        </w:rPr>
        <w:t>Rule 172</w:t>
      </w:r>
      <w:r>
        <w:rPr>
          <w:rFonts w:ascii="Arial" w:cs="Arial" w:eastAsia="Arial" w:hAnsi="Arial"/>
          <w:sz w:val="18"/>
          <w:szCs w:val="18"/>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for the Underwriters shall object. The Company will furnish to the Underwriters such number of copies of such amendment or supplement as the Underwriters may reasonably request. The Company has given the Representative notice of any filings made pursuant to the 1934 Act or the 1934 Act Regulations within 48 hours prior to the Applicable Time; the Company will give the Representative notice of its intention to make any such filing from the Applicable Time to the Closing Time and will furnish the Representative with copies of any such documents a reasonable amount of time prior to such proposed filing, as the case may be, and will not file or use any such document to which the Representative or counsel for the Underwriters shall reasonably object.</w:t>
      </w:r>
    </w:p>
    <w:p>
      <w:pPr>
        <w:spacing w:after="0" w:line="180" w:lineRule="exact"/>
        <w:rPr>
          <w:rFonts w:ascii="Arial" w:cs="Arial" w:eastAsia="Arial" w:hAnsi="Arial"/>
          <w:sz w:val="18"/>
          <w:szCs w:val="18"/>
          <w:color w:val="auto"/>
        </w:rPr>
      </w:pPr>
    </w:p>
    <w:p>
      <w:pPr>
        <w:jc w:val="both"/>
        <w:ind w:firstLine="757"/>
        <w:spacing w:after="0" w:line="232" w:lineRule="exact"/>
        <w:tabs>
          <w:tab w:leader="none" w:pos="101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without charge, signed copies of the Registration Statement as originally filed and each amendment thereto (including exhibits filed therewith or incorporated by reference therein and documents incorporated or deemed incorporated by reference therein) and signed copies of all consents and certificates of experts, and will also deliver to the Representative,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w:t>
      </w:r>
    </w:p>
    <w:p>
      <w:pPr>
        <w:spacing w:after="0" w:line="198" w:lineRule="exact"/>
        <w:rPr>
          <w:rFonts w:ascii="Arial" w:cs="Arial" w:eastAsia="Arial" w:hAnsi="Arial"/>
          <w:sz w:val="18"/>
          <w:szCs w:val="18"/>
          <w:color w:val="auto"/>
        </w:rPr>
      </w:pPr>
    </w:p>
    <w:p>
      <w:pPr>
        <w:jc w:val="both"/>
        <w:ind w:firstLine="757"/>
        <w:spacing w:after="0" w:line="243" w:lineRule="auto"/>
        <w:tabs>
          <w:tab w:leader="none" w:pos="101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Delivery of Prospectuses</w:t>
      </w:r>
      <w:r>
        <w:rPr>
          <w:rFonts w:ascii="Arial" w:cs="Arial" w:eastAsia="Arial" w:hAnsi="Arial"/>
          <w:sz w:val="20"/>
          <w:szCs w:val="20"/>
          <w:color w:val="auto"/>
        </w:rPr>
        <w:t>. The Company has delivered to each Underwriter, without charge, as many copies of each preliminary</w:t>
      </w:r>
      <w:r>
        <w:rPr>
          <w:rFonts w:ascii="Arial" w:cs="Arial" w:eastAsia="Arial" w:hAnsi="Arial"/>
          <w:sz w:val="20"/>
          <w:szCs w:val="20"/>
          <w:i w:val="1"/>
          <w:iCs w:val="1"/>
          <w:color w:val="auto"/>
        </w:rPr>
        <w:t xml:space="preserve"> </w:t>
      </w:r>
      <w:r>
        <w:rPr>
          <w:rFonts w:ascii="Arial" w:cs="Arial" w:eastAsia="Arial" w:hAnsi="Arial"/>
          <w:sz w:val="20"/>
          <w:szCs w:val="20"/>
          <w:color w:val="auto"/>
        </w:rPr>
        <w:t>prospectus 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6" w:name="page27"/>
    <w:bookmarkEnd w:id="26"/>
    <w:p>
      <w:pPr>
        <w:spacing w:after="0" w:line="240" w:lineRule="exact"/>
        <w:rPr>
          <w:sz w:val="20"/>
          <w:szCs w:val="20"/>
          <w:color w:val="auto"/>
        </w:rPr>
      </w:pPr>
      <w:r>
        <w:rPr>
          <w:rFonts w:ascii="Arial" w:cs="Arial" w:eastAsia="Arial" w:hAnsi="Arial"/>
          <w:sz w:val="20"/>
          <w:szCs w:val="20"/>
          <w:color w:val="auto"/>
        </w:rPr>
        <w:t>Underwriters will be identical to the electronically transmitted copies thereof filed with the Commission pursuant to EDGAR, except to the extent permitted by Regulation S</w:t>
      </w:r>
      <w:r>
        <w:rPr>
          <w:rFonts w:ascii="MS PGothic" w:cs="MS PGothic" w:eastAsia="MS PGothic" w:hAnsi="MS PGothic"/>
          <w:sz w:val="20"/>
          <w:szCs w:val="20"/>
          <w:color w:val="auto"/>
        </w:rPr>
        <w:t>‑</w:t>
      </w:r>
      <w:r>
        <w:rPr>
          <w:rFonts w:ascii="Arial" w:cs="Arial" w:eastAsia="Arial" w:hAnsi="Arial"/>
          <w:sz w:val="20"/>
          <w:szCs w:val="20"/>
          <w:color w:val="auto"/>
        </w:rPr>
        <w:t>T.</w:t>
      </w:r>
    </w:p>
    <w:p>
      <w:pPr>
        <w:spacing w:after="0" w:line="196" w:lineRule="exact"/>
        <w:rPr>
          <w:sz w:val="20"/>
          <w:szCs w:val="20"/>
          <w:color w:val="auto"/>
        </w:rPr>
      </w:pPr>
    </w:p>
    <w:p>
      <w:pPr>
        <w:jc w:val="both"/>
        <w:ind w:firstLine="757"/>
        <w:spacing w:after="0" w:line="243" w:lineRule="auto"/>
        <w:tabs>
          <w:tab w:leader="none" w:pos="101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Blue Sky Qualifications</w:t>
      </w:r>
      <w:r>
        <w:rPr>
          <w:rFonts w:ascii="Arial" w:cs="Arial" w:eastAsia="Arial" w:hAnsi="Arial"/>
          <w:sz w:val="20"/>
          <w:szCs w:val="20"/>
          <w:color w:val="auto"/>
        </w:rPr>
        <w:t>. The Company will use its best efforts, in cooperation with the Underwriters, to qualify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for offering and sale under the applicable securities laws of such states and other jurisdictions (domestic or foreign) as the Representative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5" w:lineRule="exact"/>
        <w:rPr>
          <w:rFonts w:ascii="Arial" w:cs="Arial" w:eastAsia="Arial" w:hAnsi="Arial"/>
          <w:sz w:val="20"/>
          <w:szCs w:val="20"/>
          <w:color w:val="auto"/>
        </w:rPr>
      </w:pPr>
    </w:p>
    <w:p>
      <w:pPr>
        <w:jc w:val="both"/>
        <w:ind w:firstLine="757"/>
        <w:spacing w:after="0" w:line="250" w:lineRule="auto"/>
        <w:tabs>
          <w:tab w:leader="none" w:pos="101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Rule 158</w:t>
      </w:r>
      <w:r>
        <w:rPr>
          <w:rFonts w:ascii="Arial" w:cs="Arial" w:eastAsia="Arial" w:hAnsi="Arial"/>
          <w:sz w:val="20"/>
          <w:szCs w:val="20"/>
          <w:color w:val="auto"/>
        </w:rPr>
        <w:t>. The Company will timely file such reports pursuant to the 1934 Act as are necessary in order to make generally</w:t>
      </w:r>
      <w:r>
        <w:rPr>
          <w:rFonts w:ascii="Arial" w:cs="Arial" w:eastAsia="Arial" w:hAnsi="Arial"/>
          <w:sz w:val="20"/>
          <w:szCs w:val="20"/>
          <w:i w:val="1"/>
          <w:iCs w:val="1"/>
          <w:color w:val="auto"/>
        </w:rPr>
        <w:t xml:space="preserve"> </w:t>
      </w:r>
      <w:r>
        <w:rPr>
          <w:rFonts w:ascii="Arial" w:cs="Arial" w:eastAsia="Arial" w:hAnsi="Arial"/>
          <w:sz w:val="20"/>
          <w:szCs w:val="20"/>
          <w:color w:val="auto"/>
        </w:rPr>
        <w:t>available to its securityholders as soon as practicable an earning statement for the purposes of, and to provide to the Underwriters the benefits contemplated by, the last paragraph of Section 11(a) of the 1933 Act.</w:t>
      </w:r>
    </w:p>
    <w:p>
      <w:pPr>
        <w:spacing w:after="0" w:line="185" w:lineRule="exact"/>
        <w:rPr>
          <w:rFonts w:ascii="Arial" w:cs="Arial" w:eastAsia="Arial" w:hAnsi="Arial"/>
          <w:sz w:val="20"/>
          <w:szCs w:val="20"/>
          <w:color w:val="auto"/>
        </w:rPr>
      </w:pPr>
    </w:p>
    <w:p>
      <w:pPr>
        <w:jc w:val="both"/>
        <w:ind w:firstLine="757"/>
        <w:spacing w:after="0" w:line="385" w:lineRule="auto"/>
        <w:tabs>
          <w:tab w:leader="none" w:pos="1018"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use the net proceeds received by it from the sale of the Securities in all material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manner specified in the Registration Statement, the General Disclosure Package and the Prospectus under the heading “Use of Proceeds.”</w:t>
      </w:r>
    </w:p>
    <w:p>
      <w:pPr>
        <w:spacing w:after="0" w:line="84" w:lineRule="exact"/>
        <w:rPr>
          <w:rFonts w:ascii="Arial" w:cs="Arial" w:eastAsia="Arial" w:hAnsi="Arial"/>
          <w:sz w:val="16"/>
          <w:szCs w:val="16"/>
          <w:color w:val="auto"/>
        </w:rPr>
      </w:pPr>
    </w:p>
    <w:p>
      <w:pPr>
        <w:ind w:firstLine="757"/>
        <w:spacing w:after="0" w:line="260" w:lineRule="auto"/>
        <w:tabs>
          <w:tab w:leader="none" w:pos="101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Listing</w:t>
      </w:r>
      <w:r>
        <w:rPr>
          <w:rFonts w:ascii="Arial" w:cs="Arial" w:eastAsia="Arial" w:hAnsi="Arial"/>
          <w:sz w:val="20"/>
          <w:szCs w:val="20"/>
          <w:color w:val="auto"/>
        </w:rPr>
        <w:t>. The Company will use its best efforts to effect and maintain the listing of the Common Stock (including the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on the Nasdaq Global Market.</w:t>
      </w:r>
    </w:p>
    <w:p>
      <w:pPr>
        <w:spacing w:after="0" w:line="176" w:lineRule="exact"/>
        <w:rPr>
          <w:rFonts w:ascii="Arial" w:cs="Arial" w:eastAsia="Arial" w:hAnsi="Arial"/>
          <w:sz w:val="20"/>
          <w:szCs w:val="20"/>
          <w:color w:val="auto"/>
        </w:rPr>
      </w:pPr>
    </w:p>
    <w:p>
      <w:pPr>
        <w:jc w:val="both"/>
        <w:ind w:firstLine="757"/>
        <w:spacing w:after="0" w:line="269" w:lineRule="auto"/>
        <w:tabs>
          <w:tab w:leader="none" w:pos="101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 During a period of 90 days from the date of the Prospectus, the Company will not,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the Representative,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of an option or warrant or the conversion of a convertible security outstanding on the date hereof and referred to in the Registration Statement, the General Disclosure Package and the Prospectus; (C) any shares of Common Stock issued or options to purchase Common Stock granted pursuant to existing employee benefit plans of the Company referred to in the Registration Statement, the General Disclosure Package and the Prospectus; (D) any shares of Common Stock issued pursuant to any existing non-employee director stock plan or dividend reinvestment plan referred to in the Registration Statement, the General Disclosure Package and the Prospectus; or (E) the filing by the Company of any registration statement on Form S-8 or a successor form thereto.</w:t>
      </w:r>
    </w:p>
    <w:p>
      <w:pPr>
        <w:spacing w:after="0" w:line="178" w:lineRule="exact"/>
        <w:rPr>
          <w:rFonts w:ascii="Arial" w:cs="Arial" w:eastAsia="Arial" w:hAnsi="Arial"/>
          <w:sz w:val="18"/>
          <w:szCs w:val="18"/>
          <w:color w:val="auto"/>
        </w:rPr>
      </w:pPr>
    </w:p>
    <w:p>
      <w:pPr>
        <w:jc w:val="both"/>
        <w:ind w:firstLine="757"/>
        <w:spacing w:after="0" w:line="263" w:lineRule="auto"/>
        <w:tabs>
          <w:tab w:leader="none" w:pos="101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Reporting Requirements</w:t>
      </w:r>
      <w:r>
        <w:rPr>
          <w:rFonts w:ascii="Arial" w:cs="Arial" w:eastAsia="Arial" w:hAnsi="Arial"/>
          <w:sz w:val="19"/>
          <w:szCs w:val="19"/>
          <w:color w:val="auto"/>
        </w:rPr>
        <w:t>. The Company, during the period when a Prospectus relating to the Securities is (or, but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exception afforded 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7" w:name="page28"/>
    <w:bookmarkEnd w:id="27"/>
    <w:p>
      <w:pPr>
        <w:jc w:val="both"/>
        <w:ind w:left="-400" w:firstLine="757"/>
        <w:spacing w:after="0" w:line="269" w:lineRule="auto"/>
        <w:tabs>
          <w:tab w:leader="none" w:pos="61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The Company agrees that, unless it obtains the prior written consent of the Representative, 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not 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will be deemed to have consented to the Issuer Free Writing Prospectuses listed on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81" w:lineRule="exact"/>
        <w:rPr>
          <w:rFonts w:ascii="Arial" w:cs="Arial" w:eastAsia="Arial" w:hAnsi="Arial"/>
          <w:sz w:val="18"/>
          <w:szCs w:val="18"/>
          <w:color w:val="auto"/>
        </w:rPr>
      </w:pPr>
    </w:p>
    <w:p>
      <w:pPr>
        <w:jc w:val="both"/>
        <w:ind w:left="-400" w:firstLine="757"/>
        <w:spacing w:after="0" w:line="243" w:lineRule="auto"/>
        <w:tabs>
          <w:tab w:leader="none" w:pos="61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Testing-the-Waters Materials</w:t>
      </w:r>
      <w:r>
        <w:rPr>
          <w:rFonts w:ascii="Arial" w:cs="Arial" w:eastAsia="Arial" w:hAnsi="Arial"/>
          <w:sz w:val="20"/>
          <w:szCs w:val="20"/>
          <w:color w:val="auto"/>
        </w:rPr>
        <w:t>. If at any time following the distribution of any Written Testing-the-Waters Communication there</w:t>
      </w:r>
      <w:r>
        <w:rPr>
          <w:rFonts w:ascii="Arial" w:cs="Arial" w:eastAsia="Arial" w:hAnsi="Arial"/>
          <w:sz w:val="20"/>
          <w:szCs w:val="20"/>
          <w:i w:val="1"/>
          <w:iCs w:val="1"/>
          <w:color w:val="auto"/>
        </w:rPr>
        <w:t xml:space="preserve"> </w:t>
      </w:r>
      <w:r>
        <w:rPr>
          <w:rFonts w:ascii="Arial" w:cs="Arial" w:eastAsia="Arial" w:hAnsi="Arial"/>
          <w:sz w:val="20"/>
          <w:szCs w:val="20"/>
          <w:color w:val="auto"/>
        </w:rPr>
        <w:t>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(m)[Reserved.]</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4.</w:t>
      </w:r>
      <w:r>
        <w:rPr>
          <w:rFonts w:ascii="Arial" w:cs="Arial" w:eastAsia="Arial" w:hAnsi="Arial"/>
          <w:sz w:val="20"/>
          <w:szCs w:val="20"/>
          <w:u w:val="single" w:color="auto"/>
          <w:color w:val="auto"/>
        </w:rPr>
        <w:t>Payment of Expenses</w:t>
      </w:r>
      <w:r>
        <w:rPr>
          <w:rFonts w:ascii="Arial" w:cs="Arial" w:eastAsia="Arial" w:hAnsi="Arial"/>
          <w:sz w:val="20"/>
          <w:szCs w:val="20"/>
          <w:color w:val="auto"/>
        </w:rPr>
        <w:t>.</w:t>
      </w:r>
    </w:p>
    <w:p>
      <w:pPr>
        <w:spacing w:after="0" w:line="216" w:lineRule="exact"/>
        <w:rPr>
          <w:sz w:val="20"/>
          <w:szCs w:val="20"/>
          <w:color w:val="auto"/>
        </w:rPr>
      </w:pPr>
    </w:p>
    <w:p>
      <w:pPr>
        <w:jc w:val="both"/>
        <w:ind w:left="-400" w:firstLine="757"/>
        <w:spacing w:after="0" w:line="269" w:lineRule="auto"/>
        <w:tabs>
          <w:tab w:leader="none" w:pos="61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will pay or cause to be paid all expenses incident to the performance of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a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(viii) the filing fees incident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28" w:name="page29"/>
    <w:bookmarkEnd w:id="28"/>
    <w:p>
      <w:pPr>
        <w:jc w:val="both"/>
        <w:spacing w:after="0" w:line="243" w:lineRule="auto"/>
        <w:rPr>
          <w:sz w:val="20"/>
          <w:szCs w:val="20"/>
          <w:color w:val="auto"/>
        </w:rPr>
      </w:pPr>
      <w:r>
        <w:rPr>
          <w:rFonts w:ascii="Arial" w:cs="Arial" w:eastAsia="Arial" w:hAnsi="Arial"/>
          <w:sz w:val="20"/>
          <w:szCs w:val="20"/>
          <w:color w:val="auto"/>
        </w:rPr>
        <w:t>to, and the reasonable fees and disbursements of counsel to the Underwriters in connection with, any filing with FINRA and for determining the compliance of the terms of the sale of the Securities with FINRA’s rules, in an amount not to exceed $15,000,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96" w:lineRule="exact"/>
        <w:rPr>
          <w:sz w:val="20"/>
          <w:szCs w:val="20"/>
          <w:color w:val="auto"/>
        </w:rPr>
      </w:pPr>
    </w:p>
    <w:p>
      <w:pPr>
        <w:jc w:val="both"/>
        <w:ind w:firstLine="757"/>
        <w:spacing w:after="0" w:line="236" w:lineRule="exact"/>
        <w:tabs>
          <w:tab w:leader="none" w:pos="1018"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Termination of Agreement</w:t>
      </w:r>
      <w:r>
        <w:rPr>
          <w:rFonts w:ascii="Arial" w:cs="Arial" w:eastAsia="Arial" w:hAnsi="Arial"/>
          <w:sz w:val="19"/>
          <w:szCs w:val="19"/>
          <w:color w:val="auto"/>
        </w:rPr>
        <w:t>. If this Agreement is terminated by the Representative in accordance with the provisions of Section 5,</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9(a)(i), Section 9(a)(iii) or Section 10 hereof, the Company shall reimburse the Underwriters for all of their reasonably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including the reasonable fees and disbursements of counsel for the Underwriters.</w:t>
      </w:r>
    </w:p>
    <w:p>
      <w:pPr>
        <w:spacing w:after="0" w:line="19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SECTION 5.</w:t>
      </w:r>
      <w:r>
        <w:rPr>
          <w:rFonts w:ascii="Arial" w:cs="Arial" w:eastAsia="Arial" w:hAnsi="Arial"/>
          <w:sz w:val="20"/>
          <w:szCs w:val="20"/>
          <w:u w:val="single" w:color="auto"/>
          <w:color w:val="auto"/>
        </w:rPr>
        <w:t>Conditions of Underwriters’ Obligations</w:t>
      </w:r>
      <w:r>
        <w:rPr>
          <w:rFonts w:ascii="Arial" w:cs="Arial" w:eastAsia="Arial" w:hAnsi="Arial"/>
          <w:sz w:val="20"/>
          <w:szCs w:val="20"/>
          <w:color w:val="auto"/>
        </w:rPr>
        <w:t xml:space="preserve"> .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91" w:lineRule="exact"/>
        <w:rPr>
          <w:sz w:val="20"/>
          <w:szCs w:val="20"/>
          <w:color w:val="auto"/>
        </w:rPr>
      </w:pPr>
    </w:p>
    <w:p>
      <w:pPr>
        <w:jc w:val="both"/>
        <w:ind w:firstLine="757"/>
        <w:spacing w:after="0" w:line="272" w:lineRule="auto"/>
        <w:tabs>
          <w:tab w:leader="none" w:pos="10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has become effective and, at the Closing Time,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70"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Opinion of Counsel for Company</w:t>
      </w:r>
      <w:r>
        <w:rPr>
          <w:rFonts w:ascii="Arial" w:cs="Arial" w:eastAsia="Arial" w:hAnsi="Arial"/>
          <w:sz w:val="20"/>
          <w:szCs w:val="20"/>
          <w:color w:val="auto"/>
        </w:rPr>
        <w:t>. At the Closing Time, the Representative shall have received the opinion and the negative</w:t>
      </w:r>
      <w:r>
        <w:rPr>
          <w:rFonts w:ascii="Arial" w:cs="Arial" w:eastAsia="Arial" w:hAnsi="Arial"/>
          <w:sz w:val="20"/>
          <w:szCs w:val="20"/>
          <w:i w:val="1"/>
          <w:iCs w:val="1"/>
          <w:color w:val="auto"/>
        </w:rPr>
        <w:t xml:space="preserve"> </w:t>
      </w:r>
      <w:r>
        <w:rPr>
          <w:rFonts w:ascii="Arial" w:cs="Arial" w:eastAsia="Arial" w:hAnsi="Arial"/>
          <w:sz w:val="20"/>
          <w:szCs w:val="20"/>
          <w:color w:val="auto"/>
        </w:rPr>
        <w:t>assurance letter, each dated the Closing Time, of DLA Piper LLP (US), counsel for the Company, together with the opinion of Maschoff Brennan, special counsel for the Company with respect to intellectual property matters, in form and substance satisfactory to counsel for the Underwriters, together with signed or reproduced copies of each such letter for each of the other Underwriters to such effect as counsel to the Underwriters may reasonably request.</w:t>
      </w:r>
    </w:p>
    <w:p>
      <w:pPr>
        <w:spacing w:after="0" w:line="194" w:lineRule="exact"/>
        <w:rPr>
          <w:rFonts w:ascii="Arial" w:cs="Arial" w:eastAsia="Arial" w:hAnsi="Arial"/>
          <w:sz w:val="20"/>
          <w:szCs w:val="20"/>
          <w:color w:val="auto"/>
        </w:rPr>
      </w:pPr>
    </w:p>
    <w:p>
      <w:pPr>
        <w:jc w:val="both"/>
        <w:ind w:firstLine="757"/>
        <w:spacing w:after="0" w:line="274" w:lineRule="auto"/>
        <w:tabs>
          <w:tab w:leader="none" w:pos="101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 shall have received the opinion, and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letter, each dated the Closing Time, of Covington &amp; Burling LLP, counsel for the Underwriters, together with signed or reproduced copies of such letters for each of the other Underwriters in form and substance satisfactory to the Representative.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9" w:name="page30"/>
    <w:bookmarkEnd w:id="29"/>
    <w:p>
      <w:pPr>
        <w:jc w:val="both"/>
        <w:ind w:left="-8" w:firstLine="757"/>
        <w:spacing w:after="0" w:line="255" w:lineRule="auto"/>
        <w:tabs>
          <w:tab w:leader="none" w:pos="1010"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At the Closing Time, there shall not have been, since the date hereof or since the respective dates as of</w:t>
      </w:r>
      <w:r>
        <w:rPr>
          <w:rFonts w:ascii="Arial" w:cs="Arial" w:eastAsia="Arial" w:hAnsi="Arial"/>
          <w:sz w:val="19"/>
          <w:szCs w:val="19"/>
          <w:i w:val="1"/>
          <w:iCs w:val="1"/>
          <w:color w:val="auto"/>
        </w:rPr>
        <w:t xml:space="preserve"> </w:t>
      </w:r>
      <w:r>
        <w:rPr>
          <w:rFonts w:ascii="Arial" w:cs="Arial" w:eastAsia="Arial" w:hAnsi="Arial"/>
          <w:sz w:val="19"/>
          <w:szCs w:val="19"/>
          <w:color w:val="auto"/>
        </w:rPr>
        <w:t>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6" w:lineRule="exact"/>
        <w:rPr>
          <w:rFonts w:ascii="Arial" w:cs="Arial" w:eastAsia="Arial" w:hAnsi="Arial"/>
          <w:sz w:val="19"/>
          <w:szCs w:val="19"/>
          <w:color w:val="auto"/>
        </w:rPr>
      </w:pPr>
    </w:p>
    <w:p>
      <w:pPr>
        <w:jc w:val="both"/>
        <w:ind w:left="-8" w:firstLine="757"/>
        <w:spacing w:after="0" w:line="260" w:lineRule="auto"/>
        <w:tabs>
          <w:tab w:leader="none" w:pos="1010"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Accountants’ Comfort Letters</w:t>
      </w:r>
      <w:r>
        <w:rPr>
          <w:rFonts w:ascii="Arial" w:cs="Arial" w:eastAsia="Arial" w:hAnsi="Arial"/>
          <w:sz w:val="19"/>
          <w:szCs w:val="19"/>
          <w:color w:val="auto"/>
        </w:rPr>
        <w:t>. At the time of the execution of this Agreement, the Representative shall have received from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Ernst &amp; Young LLP and KPMG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0" w:lineRule="exact"/>
        <w:rPr>
          <w:rFonts w:ascii="Arial" w:cs="Arial" w:eastAsia="Arial" w:hAnsi="Arial"/>
          <w:sz w:val="19"/>
          <w:szCs w:val="19"/>
          <w:color w:val="auto"/>
        </w:rPr>
      </w:pPr>
    </w:p>
    <w:p>
      <w:pPr>
        <w:jc w:val="both"/>
        <w:ind w:left="-8" w:firstLine="757"/>
        <w:spacing w:after="0" w:line="309" w:lineRule="auto"/>
        <w:tabs>
          <w:tab w:leader="none" w:pos="101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Bring-down Comfort Letters</w:t>
      </w:r>
      <w:r>
        <w:rPr>
          <w:rFonts w:ascii="Arial" w:cs="Arial" w:eastAsia="Arial" w:hAnsi="Arial"/>
          <w:sz w:val="16"/>
          <w:szCs w:val="16"/>
          <w:color w:val="auto"/>
        </w:rPr>
        <w:t>. At the Closing Time, the Representative shall have received from each of Ernst &amp; Young LLP and</w:t>
      </w:r>
      <w:r>
        <w:rPr>
          <w:rFonts w:ascii="Arial" w:cs="Arial" w:eastAsia="Arial" w:hAnsi="Arial"/>
          <w:sz w:val="16"/>
          <w:szCs w:val="16"/>
          <w:i w:val="1"/>
          <w:iCs w:val="1"/>
          <w:color w:val="auto"/>
        </w:rPr>
        <w:t xml:space="preserve"> </w:t>
      </w:r>
      <w:r>
        <w:rPr>
          <w:rFonts w:ascii="Arial" w:cs="Arial" w:eastAsia="Arial" w:hAnsi="Arial"/>
          <w:sz w:val="16"/>
          <w:szCs w:val="16"/>
          <w:color w:val="auto"/>
        </w:rPr>
        <w:t>KPMG a letter, dated as of the Closing Time, to the effect that they reaffirm the statements made in the letter furnished pursuant to subsection</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this Section, except that the specified date referred to shall be a date not more than three business days prior to the Closing Time.</w:t>
      </w:r>
    </w:p>
    <w:p>
      <w:pPr>
        <w:spacing w:after="0" w:line="222" w:lineRule="exact"/>
        <w:rPr>
          <w:rFonts w:ascii="Arial" w:cs="Arial" w:eastAsia="Arial" w:hAnsi="Arial"/>
          <w:sz w:val="18"/>
          <w:szCs w:val="18"/>
          <w:color w:val="auto"/>
        </w:rPr>
      </w:pPr>
    </w:p>
    <w:p>
      <w:pPr>
        <w:ind w:left="-8" w:firstLine="757"/>
        <w:spacing w:after="0" w:line="260" w:lineRule="auto"/>
        <w:tabs>
          <w:tab w:leader="none" w:pos="101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Approval of Listing</w:t>
      </w:r>
      <w:r>
        <w:rPr>
          <w:rFonts w:ascii="Arial" w:cs="Arial" w:eastAsia="Arial" w:hAnsi="Arial"/>
          <w:sz w:val="20"/>
          <w:szCs w:val="20"/>
          <w:color w:val="auto"/>
        </w:rPr>
        <w:t>. At the Closing Time, the Securities shall have been approved for listing on the Nasdaq Global Market,</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only to official notice of issuance.</w:t>
      </w:r>
    </w:p>
    <w:p>
      <w:pPr>
        <w:spacing w:after="0" w:line="176" w:lineRule="exact"/>
        <w:rPr>
          <w:rFonts w:ascii="Arial" w:cs="Arial" w:eastAsia="Arial" w:hAnsi="Arial"/>
          <w:sz w:val="20"/>
          <w:szCs w:val="20"/>
          <w:color w:val="auto"/>
        </w:rPr>
      </w:pPr>
    </w:p>
    <w:p>
      <w:pPr>
        <w:ind w:left="-8" w:firstLine="757"/>
        <w:spacing w:after="0" w:line="260" w:lineRule="auto"/>
        <w:tabs>
          <w:tab w:leader="none" w:pos="101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No Objection</w:t>
      </w:r>
      <w:r>
        <w:rPr>
          <w:rFonts w:ascii="Arial" w:cs="Arial" w:eastAsia="Arial" w:hAnsi="Arial"/>
          <w:sz w:val="20"/>
          <w:szCs w:val="20"/>
          <w:color w:val="auto"/>
        </w:rPr>
        <w:t>. If a filing has been made with FINRA, FINRA shall have not raised any objection with respect to the fairness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reasonableness of the underwriting terms and arrangements relating to the offering of the Securities.</w:t>
      </w:r>
    </w:p>
    <w:p>
      <w:pPr>
        <w:spacing w:after="0" w:line="176" w:lineRule="exact"/>
        <w:rPr>
          <w:rFonts w:ascii="Arial" w:cs="Arial" w:eastAsia="Arial" w:hAnsi="Arial"/>
          <w:sz w:val="20"/>
          <w:szCs w:val="20"/>
          <w:color w:val="auto"/>
        </w:rPr>
      </w:pPr>
    </w:p>
    <w:p>
      <w:pPr>
        <w:ind w:left="-8" w:firstLine="757"/>
        <w:spacing w:after="0" w:line="316" w:lineRule="auto"/>
        <w:tabs>
          <w:tab w:leader="none" w:pos="101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 shall have received a signed agreement substantially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from each of the Company’s directors, officers and securityholders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29" w:lineRule="exact"/>
        <w:rPr>
          <w:rFonts w:ascii="Arial" w:cs="Arial" w:eastAsia="Arial" w:hAnsi="Arial"/>
          <w:sz w:val="18"/>
          <w:szCs w:val="18"/>
          <w:color w:val="auto"/>
        </w:rPr>
      </w:pPr>
    </w:p>
    <w:p>
      <w:pPr>
        <w:jc w:val="both"/>
        <w:ind w:left="-8" w:firstLine="757"/>
        <w:spacing w:after="0" w:line="246" w:lineRule="auto"/>
        <w:tabs>
          <w:tab w:leader="none" w:pos="101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Conditions to Purchase of Option Securities</w:t>
      </w:r>
      <w:r>
        <w:rPr>
          <w:rFonts w:ascii="Arial" w:cs="Arial" w:eastAsia="Arial" w:hAnsi="Arial"/>
          <w:sz w:val="20"/>
          <w:szCs w:val="20"/>
          <w:color w:val="auto"/>
        </w:rPr>
        <w:t>. In the event that the Underwriters exercise their option provided in Section 2(b)</w:t>
      </w:r>
      <w:r>
        <w:rPr>
          <w:rFonts w:ascii="Arial" w:cs="Arial" w:eastAsia="Arial" w:hAnsi="Arial"/>
          <w:sz w:val="20"/>
          <w:szCs w:val="20"/>
          <w:i w:val="1"/>
          <w:iCs w:val="1"/>
          <w:color w:val="auto"/>
        </w:rPr>
        <w:t xml:space="preserve"> </w:t>
      </w:r>
      <w:r>
        <w:rPr>
          <w:rFonts w:ascii="Arial" w:cs="Arial" w:eastAsia="Arial" w:hAnsi="Arial"/>
          <w:sz w:val="20"/>
          <w:szCs w:val="20"/>
          <w:color w:val="auto"/>
        </w:rPr>
        <w:t>hereof to 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 shall have received:</w:t>
      </w:r>
    </w:p>
    <w:p>
      <w:pPr>
        <w:spacing w:after="0" w:line="191" w:lineRule="exact"/>
        <w:rPr>
          <w:sz w:val="20"/>
          <w:szCs w:val="20"/>
          <w:color w:val="auto"/>
        </w:rPr>
      </w:pPr>
    </w:p>
    <w:p>
      <w:pPr>
        <w:jc w:val="both"/>
        <w:ind w:left="752" w:firstLine="745"/>
        <w:spacing w:after="0" w:line="250" w:lineRule="auto"/>
        <w:tabs>
          <w:tab w:leader="none" w:pos="195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A certificate, dated such Date of Delivery, of the principal executive officer of the Company and of the principal financial officer of the Company confirming that the certificate delivered at the Closing Time pursuant to Section 5(d) hereof remains true and correct as of such Date of Delivery.</w:t>
      </w:r>
    </w:p>
    <w:p>
      <w:pPr>
        <w:spacing w:after="0" w:line="186" w:lineRule="exact"/>
        <w:rPr>
          <w:sz w:val="20"/>
          <w:szCs w:val="20"/>
          <w:color w:val="auto"/>
        </w:rPr>
      </w:pPr>
    </w:p>
    <w:p>
      <w:pPr>
        <w:ind w:left="392"/>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2" w:right="339" w:bottom="1440" w:gutter="0" w:footer="0" w:header="0"/>
        </w:sectPr>
      </w:pPr>
    </w:p>
    <w:bookmarkStart w:id="30" w:name="page31"/>
    <w:bookmarkEnd w:id="30"/>
    <w:p>
      <w:pPr>
        <w:jc w:val="both"/>
        <w:ind w:left="360" w:firstLine="745"/>
        <w:spacing w:after="0" w:line="260" w:lineRule="auto"/>
        <w:tabs>
          <w:tab w:leader="none" w:pos="1557"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Opinion of Counsel for Company</w:t>
      </w:r>
      <w:r>
        <w:rPr>
          <w:rFonts w:ascii="Arial" w:cs="Arial" w:eastAsia="Arial" w:hAnsi="Arial"/>
          <w:sz w:val="19"/>
          <w:szCs w:val="19"/>
          <w:color w:val="auto"/>
        </w:rPr>
        <w:t>. If requested by the Representative, the opinion, and negative assurance letter, of DLA Piper LLP (US), counsel for the Company, together with the opinion of Maschoff Brennan, special counsel for the Company with respect to intellectual property matters, in form and substance satisfactory to counsel for the Underwriters, dated such Date of Delivery, relating to the Option Securities to be purchased on such Date of Delivery and otherwise to the same effect as the opinions and negative assurance letter required by Section 5(b) hereof.</w:t>
      </w:r>
    </w:p>
    <w:p>
      <w:pPr>
        <w:spacing w:after="0" w:line="180" w:lineRule="exact"/>
        <w:rPr>
          <w:rFonts w:ascii="Arial" w:cs="Arial" w:eastAsia="Arial" w:hAnsi="Arial"/>
          <w:sz w:val="19"/>
          <w:szCs w:val="19"/>
          <w:color w:val="auto"/>
        </w:rPr>
      </w:pPr>
    </w:p>
    <w:p>
      <w:pPr>
        <w:jc w:val="both"/>
        <w:ind w:left="360" w:firstLine="745"/>
        <w:spacing w:after="0" w:line="246" w:lineRule="auto"/>
        <w:tabs>
          <w:tab w:leader="none" w:pos="1553"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Opinion of Counsel for Underwriters</w:t>
      </w:r>
      <w:r>
        <w:rPr>
          <w:rFonts w:ascii="Arial" w:cs="Arial" w:eastAsia="Arial" w:hAnsi="Arial"/>
          <w:sz w:val="20"/>
          <w:szCs w:val="20"/>
          <w:color w:val="auto"/>
        </w:rPr>
        <w:t>. If requested by the Representative, the opinion, and negative assurance letter, of Covington &amp; Burling LLP counsel for the Underwriters, dated such Date of Delivery, relating to the Option Securities to be purchased on such Date of Delivery and otherwise to the same effect as the opinion and negative assurance letter required by Section 5(c) hereof.</w:t>
      </w:r>
    </w:p>
    <w:p>
      <w:pPr>
        <w:spacing w:after="0" w:line="191" w:lineRule="exact"/>
        <w:rPr>
          <w:rFonts w:ascii="Arial" w:cs="Arial" w:eastAsia="Arial" w:hAnsi="Arial"/>
          <w:sz w:val="20"/>
          <w:szCs w:val="20"/>
          <w:color w:val="auto"/>
        </w:rPr>
      </w:pPr>
    </w:p>
    <w:p>
      <w:pPr>
        <w:jc w:val="both"/>
        <w:ind w:left="360" w:firstLine="745"/>
        <w:spacing w:after="0" w:line="328" w:lineRule="auto"/>
        <w:tabs>
          <w:tab w:leader="none" w:pos="157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Bring-down Comfort Letters</w:t>
      </w:r>
      <w:r>
        <w:rPr>
          <w:rFonts w:ascii="Arial" w:cs="Arial" w:eastAsia="Arial" w:hAnsi="Arial"/>
          <w:sz w:val="16"/>
          <w:szCs w:val="16"/>
          <w:color w:val="auto"/>
        </w:rPr>
        <w:t>. If requested by the Representative, a letter from each of Ernst &amp; Young LLP and KPMG, in form and substance satisfactory to the Representative and dated such Date of Delivery, substantially in the same form and substance as the letter furnished to the Representative pursuant to subsection (f) of this Section, except that the “specified date” in the letter furnished pursuant to this paragraph shall be a date not more than three business days prior to such Date of Delivery.</w:t>
      </w:r>
    </w:p>
    <w:p>
      <w:pPr>
        <w:spacing w:after="0" w:line="128" w:lineRule="exact"/>
        <w:rPr>
          <w:rFonts w:ascii="Arial" w:cs="Arial" w:eastAsia="Arial" w:hAnsi="Arial"/>
          <w:sz w:val="16"/>
          <w:szCs w:val="16"/>
          <w:color w:val="auto"/>
        </w:rPr>
      </w:pPr>
    </w:p>
    <w:p>
      <w:pPr>
        <w:jc w:val="both"/>
        <w:ind w:left="-400" w:firstLine="757"/>
        <w:spacing w:after="0" w:line="243" w:lineRule="auto"/>
        <w:tabs>
          <w:tab w:leader="none" w:pos="61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Additional Documents</w:t>
      </w:r>
      <w:r>
        <w:rPr>
          <w:rFonts w:ascii="Arial" w:cs="Arial" w:eastAsia="Arial" w:hAnsi="Arial"/>
          <w:sz w:val="20"/>
          <w:szCs w:val="20"/>
          <w:color w:val="auto"/>
        </w:rPr>
        <w:t>. At the Closing Time and at each Date of Delivery (if any), counsel for the Underwriters shall have been</w:t>
      </w:r>
      <w:r>
        <w:rPr>
          <w:rFonts w:ascii="Arial" w:cs="Arial" w:eastAsia="Arial" w:hAnsi="Arial"/>
          <w:sz w:val="20"/>
          <w:szCs w:val="20"/>
          <w:i w:val="1"/>
          <w:iCs w:val="1"/>
          <w:color w:val="auto"/>
        </w:rPr>
        <w:t xml:space="preserve"> </w:t>
      </w:r>
      <w:r>
        <w:rPr>
          <w:rFonts w:ascii="Arial" w:cs="Arial" w:eastAsia="Arial" w:hAnsi="Arial"/>
          <w:sz w:val="20"/>
          <w:szCs w:val="20"/>
          <w:color w:val="auto"/>
        </w:rPr>
        <w:t>furnished with such other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 and counsel for the Underwriters.</w:t>
      </w:r>
    </w:p>
    <w:p>
      <w:pPr>
        <w:spacing w:after="0" w:line="195" w:lineRule="exact"/>
        <w:rPr>
          <w:rFonts w:ascii="Arial" w:cs="Arial" w:eastAsia="Arial" w:hAnsi="Arial"/>
          <w:sz w:val="20"/>
          <w:szCs w:val="20"/>
          <w:color w:val="auto"/>
        </w:rPr>
      </w:pPr>
    </w:p>
    <w:p>
      <w:pPr>
        <w:jc w:val="both"/>
        <w:ind w:left="-400" w:firstLine="757"/>
        <w:spacing w:after="0" w:line="259" w:lineRule="auto"/>
        <w:tabs>
          <w:tab w:leader="none" w:pos="618"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Termination of Agreement</w:t>
      </w:r>
      <w:r>
        <w:rPr>
          <w:rFonts w:ascii="Arial" w:cs="Arial" w:eastAsia="Arial" w:hAnsi="Arial"/>
          <w:sz w:val="19"/>
          <w:szCs w:val="19"/>
          <w:color w:val="auto"/>
        </w:rPr>
        <w:t>. If any condition specified in this Section shall not have been fulfilled when and as required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fulfilled, this 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4, 6, 7, 8, 15, 16 and 17 shall survive any such termination and remain in full force and effect.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SECTION 6.</w:t>
      </w:r>
      <w:r>
        <w:rPr>
          <w:rFonts w:ascii="Arial" w:cs="Arial" w:eastAsia="Arial" w:hAnsi="Arial"/>
          <w:sz w:val="20"/>
          <w:szCs w:val="20"/>
          <w:u w:val="single" w:color="auto"/>
          <w:color w:val="auto"/>
        </w:rPr>
        <w:t>Indemnification</w:t>
      </w:r>
      <w:r>
        <w:rPr>
          <w:rFonts w:ascii="Arial" w:cs="Arial" w:eastAsia="Arial" w:hAnsi="Arial"/>
          <w:sz w:val="20"/>
          <w:szCs w:val="20"/>
          <w:color w:val="auto"/>
        </w:rPr>
        <w:t>.</w:t>
      </w:r>
    </w:p>
    <w:p>
      <w:pPr>
        <w:spacing w:after="0" w:line="216" w:lineRule="exact"/>
        <w:rPr>
          <w:sz w:val="20"/>
          <w:szCs w:val="20"/>
          <w:color w:val="auto"/>
        </w:rPr>
      </w:pPr>
    </w:p>
    <w:p>
      <w:pPr>
        <w:jc w:val="both"/>
        <w:ind w:left="-400" w:firstLine="757"/>
        <w:spacing w:after="0" w:line="250" w:lineRule="auto"/>
        <w:tabs>
          <w:tab w:leader="none" w:pos="61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Indemnification of Underwriters</w:t>
      </w:r>
      <w:r>
        <w:rPr>
          <w:rFonts w:ascii="Arial" w:cs="Arial" w:eastAsia="Arial" w:hAnsi="Arial"/>
          <w:sz w:val="20"/>
          <w:szCs w:val="20"/>
          <w:color w:val="auto"/>
        </w:rPr>
        <w:t>. The Company agrees to indemnify and hold harmless each Underwriter, its affiliates (as such</w:t>
      </w:r>
      <w:r>
        <w:rPr>
          <w:rFonts w:ascii="Arial" w:cs="Arial" w:eastAsia="Arial" w:hAnsi="Arial"/>
          <w:sz w:val="20"/>
          <w:szCs w:val="20"/>
          <w:i w:val="1"/>
          <w:iCs w:val="1"/>
          <w:color w:val="auto"/>
        </w:rPr>
        <w:t xml:space="preserve"> </w:t>
      </w:r>
      <w:r>
        <w:rPr>
          <w:rFonts w:ascii="Arial" w:cs="Arial" w:eastAsia="Arial" w:hAnsi="Arial"/>
          <w:sz w:val="20"/>
          <w:szCs w:val="20"/>
          <w:color w:val="auto"/>
        </w:rPr>
        <w:t>term is defined in Rule 501(b) under the 1933 Act (each, an “</w:t>
      </w:r>
      <w:r>
        <w:rPr>
          <w:rFonts w:ascii="Arial" w:cs="Arial" w:eastAsia="Arial" w:hAnsi="Arial"/>
          <w:sz w:val="20"/>
          <w:szCs w:val="20"/>
          <w:u w:val="single" w:color="auto"/>
          <w:color w:val="auto"/>
        </w:rPr>
        <w:t>Affiliate</w:t>
      </w:r>
      <w:r>
        <w:rPr>
          <w:rFonts w:ascii="Arial" w:cs="Arial" w:eastAsia="Arial" w:hAnsi="Arial"/>
          <w:sz w:val="20"/>
          <w:szCs w:val="20"/>
          <w:color w:val="auto"/>
        </w:rPr>
        <w:t>”)), its selling agents and each person, if any, who controls any Underwriter within the meaning of Section 15 of the 1933 Act or Section 20 of the 1934 Act as follows:</w:t>
      </w:r>
    </w:p>
    <w:p>
      <w:pPr>
        <w:spacing w:after="0" w:line="185" w:lineRule="exact"/>
        <w:rPr>
          <w:rFonts w:ascii="Arial" w:cs="Arial" w:eastAsia="Arial" w:hAnsi="Arial"/>
          <w:sz w:val="20"/>
          <w:szCs w:val="20"/>
          <w:color w:val="auto"/>
        </w:rPr>
      </w:pPr>
    </w:p>
    <w:p>
      <w:pPr>
        <w:jc w:val="both"/>
        <w:ind w:left="360" w:firstLine="745"/>
        <w:spacing w:after="0" w:line="243" w:lineRule="auto"/>
        <w:tabs>
          <w:tab w:leader="none" w:pos="1577" w:val="left"/>
        </w:tabs>
        <w:numPr>
          <w:ilvl w:val="1"/>
          <w:numId w:val="31"/>
        </w:numPr>
        <w:rPr>
          <w:rFonts w:ascii="Arial" w:cs="Arial" w:eastAsia="Arial" w:hAnsi="Arial"/>
          <w:sz w:val="20"/>
          <w:szCs w:val="20"/>
          <w:color w:val="auto"/>
        </w:rPr>
      </w:pPr>
      <w:r>
        <w:rPr>
          <w:rFonts w:ascii="Arial" w:cs="Arial" w:eastAsia="Arial" w:hAnsi="Arial"/>
          <w:sz w:val="20"/>
          <w:szCs w:val="20"/>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352" w:right="339" w:bottom="1440" w:gutter="0" w:footer="0" w:header="0"/>
        </w:sectPr>
      </w:pPr>
    </w:p>
    <w:bookmarkStart w:id="31" w:name="page32"/>
    <w:bookmarkEnd w:id="31"/>
    <w:p>
      <w:pPr>
        <w:jc w:val="both"/>
        <w:ind w:left="760"/>
        <w:spacing w:after="0" w:line="257" w:lineRule="auto"/>
        <w:rPr>
          <w:sz w:val="20"/>
          <w:szCs w:val="20"/>
          <w:color w:val="auto"/>
        </w:rPr>
      </w:pPr>
      <w:r>
        <w:rPr>
          <w:rFonts w:ascii="Arial" w:cs="Arial" w:eastAsia="Arial" w:hAnsi="Arial"/>
          <w:sz w:val="19"/>
          <w:szCs w:val="19"/>
          <w:color w:val="auto"/>
        </w:rPr>
        <w:t>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9"/>
          <w:szCs w:val="19"/>
          <w:u w:val="single" w:color="auto"/>
          <w:color w:val="auto"/>
        </w:rPr>
        <w:t>Marketing Materials</w:t>
      </w:r>
      <w:r>
        <w:rPr>
          <w:rFonts w:ascii="Arial" w:cs="Arial" w:eastAsia="Arial" w:hAnsi="Arial"/>
          <w:sz w:val="19"/>
          <w:szCs w:val="19"/>
          <w:color w:val="auto"/>
        </w:rPr>
        <w:t>”), including any roadshow or investor presentations made to investors by the Company (whether in person or electronically), or the omission or alleged omission in any preliminary prospectus, any Issuer Free Writing Prospectus, any Written Testing-the-Waters Communication,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185" w:lineRule="exact"/>
        <w:rPr>
          <w:sz w:val="20"/>
          <w:szCs w:val="20"/>
          <w:color w:val="auto"/>
        </w:rPr>
      </w:pPr>
    </w:p>
    <w:p>
      <w:pPr>
        <w:jc w:val="both"/>
        <w:ind w:left="760" w:firstLine="745"/>
        <w:spacing w:after="0" w:line="282" w:lineRule="auto"/>
        <w:tabs>
          <w:tab w:leader="none" w:pos="195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61" w:lineRule="exact"/>
        <w:rPr>
          <w:rFonts w:ascii="Arial" w:cs="Arial" w:eastAsia="Arial" w:hAnsi="Arial"/>
          <w:sz w:val="18"/>
          <w:szCs w:val="18"/>
          <w:color w:val="auto"/>
        </w:rPr>
      </w:pPr>
    </w:p>
    <w:p>
      <w:pPr>
        <w:jc w:val="both"/>
        <w:ind w:left="760" w:firstLine="745"/>
        <w:spacing w:after="0" w:line="304" w:lineRule="auto"/>
        <w:tabs>
          <w:tab w:leader="none" w:pos="19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chosen by the Representative),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w:t>
      </w:r>
    </w:p>
    <w:p>
      <w:pPr>
        <w:spacing w:after="0" w:line="1" w:lineRule="exact"/>
        <w:rPr>
          <w:rFonts w:ascii="Arial" w:cs="Arial" w:eastAsia="Arial" w:hAnsi="Arial"/>
          <w:sz w:val="16"/>
          <w:szCs w:val="16"/>
          <w:color w:val="auto"/>
        </w:rPr>
      </w:pPr>
    </w:p>
    <w:p>
      <w:pPr>
        <w:ind w:left="1040" w:hanging="283"/>
        <w:spacing w:after="0"/>
        <w:tabs>
          <w:tab w:leader="none" w:pos="10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6" w:lineRule="exact"/>
        <w:rPr>
          <w:sz w:val="20"/>
          <w:szCs w:val="20"/>
          <w:color w:val="auto"/>
        </w:rPr>
      </w:pPr>
    </w:p>
    <w:p>
      <w:pPr>
        <w:jc w:val="both"/>
        <w:ind w:firstLine="757"/>
        <w:spacing w:after="0" w:line="257" w:lineRule="auto"/>
        <w:tabs>
          <w:tab w:leader="none" w:pos="101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Indemnification of Company, Directors and Officers</w:t>
      </w:r>
      <w:r>
        <w:rPr>
          <w:rFonts w:ascii="Arial" w:cs="Arial" w:eastAsia="Arial" w:hAnsi="Arial"/>
          <w:sz w:val="19"/>
          <w:szCs w:val="19"/>
          <w:color w:val="auto"/>
        </w:rPr>
        <w:t>. Each Underwriter severally agrees to indemnify and hold harmless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4" w:lineRule="exact"/>
        <w:rPr>
          <w:rFonts w:ascii="Arial" w:cs="Arial" w:eastAsia="Arial" w:hAnsi="Arial"/>
          <w:sz w:val="19"/>
          <w:szCs w:val="19"/>
          <w:color w:val="auto"/>
        </w:rPr>
      </w:pPr>
    </w:p>
    <w:p>
      <w:pPr>
        <w:jc w:val="both"/>
        <w:ind w:firstLine="757"/>
        <w:spacing w:after="0" w:line="256" w:lineRule="auto"/>
        <w:tabs>
          <w:tab w:leader="none" w:pos="101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Actions against Parties; Notification</w:t>
      </w:r>
      <w:r>
        <w:rPr>
          <w:rFonts w:ascii="Arial" w:cs="Arial" w:eastAsia="Arial" w:hAnsi="Arial"/>
          <w:sz w:val="19"/>
          <w:szCs w:val="19"/>
          <w:color w:val="auto"/>
        </w:rPr>
        <w:t>. Each indemnified party shall give notice as promptly as reasonably practicable to each</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8"/>
          <w:szCs w:val="18"/>
          <w:color w:val="auto"/>
        </w:rPr>
        <w:t>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68" w:lineRule="exact"/>
        <w:rPr>
          <w:sz w:val="20"/>
          <w:szCs w:val="20"/>
          <w:color w:val="auto"/>
        </w:rPr>
      </w:pPr>
    </w:p>
    <w:p>
      <w:pPr>
        <w:jc w:val="both"/>
        <w:ind w:firstLine="757"/>
        <w:spacing w:after="0" w:line="276" w:lineRule="auto"/>
        <w:tabs>
          <w:tab w:leader="none" w:pos="1018"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w:t>
      </w:r>
      <w:r>
        <w:rPr>
          <w:rFonts w:ascii="Arial" w:cs="Arial" w:eastAsia="Arial" w:hAnsi="Arial"/>
          <w:sz w:val="18"/>
          <w:szCs w:val="18"/>
          <w:i w:val="1"/>
          <w:iCs w:val="1"/>
          <w:color w:val="auto"/>
        </w:rPr>
        <w:t xml:space="preserve"> </w:t>
      </w:r>
      <w:r>
        <w:rPr>
          <w:rFonts w:ascii="Arial" w:cs="Arial" w:eastAsia="Arial" w:hAnsi="Arial"/>
          <w:sz w:val="18"/>
          <w:szCs w:val="18"/>
          <w:color w:val="auto"/>
        </w:rPr>
        <w:t>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6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SECTION 7.</w:t>
      </w:r>
      <w:r>
        <w:rPr>
          <w:rFonts w:ascii="Arial" w:cs="Arial" w:eastAsia="Arial" w:hAnsi="Arial"/>
          <w:sz w:val="20"/>
          <w:szCs w:val="20"/>
          <w:u w:val="single" w:color="auto"/>
          <w:color w:val="auto"/>
        </w:rPr>
        <w:t>Contribution</w:t>
      </w:r>
      <w:r>
        <w:rPr>
          <w:rFonts w:ascii="Arial" w:cs="Arial" w:eastAsia="Arial" w:hAnsi="Arial"/>
          <w:sz w:val="20"/>
          <w:szCs w:val="20"/>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3" w:name="page34"/>
    <w:bookmarkEnd w:id="33"/>
    <w:p>
      <w:pPr>
        <w:jc w:val="both"/>
        <w:spacing w:after="0" w:line="246" w:lineRule="auto"/>
        <w:rPr>
          <w:sz w:val="20"/>
          <w:szCs w:val="20"/>
          <w:color w:val="auto"/>
        </w:rPr>
      </w:pPr>
      <w:r>
        <w:rPr>
          <w:rFonts w:ascii="Arial" w:cs="Arial" w:eastAsia="Arial" w:hAnsi="Arial"/>
          <w:sz w:val="20"/>
          <w:szCs w:val="20"/>
          <w:color w:val="auto"/>
        </w:rPr>
        <w:t>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No person guilty of fraudulent misrepresentation (within the meaning of Section 11(f) of the 1933 Act) shall be entitled to contribution from any person who was not guilty of such fraudulent misrepresentation.</w:t>
      </w:r>
    </w:p>
    <w:p>
      <w:pPr>
        <w:spacing w:after="0" w:line="17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6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SECTION 8.</w:t>
      </w:r>
      <w:r>
        <w:rPr>
          <w:rFonts w:ascii="Arial" w:cs="Arial" w:eastAsia="Arial" w:hAnsi="Arial"/>
          <w:sz w:val="20"/>
          <w:szCs w:val="20"/>
          <w:u w:val="single" w:color="auto"/>
          <w:color w:val="auto"/>
        </w:rPr>
        <w:t>Representations, Warranties and Agreements to Survive</w:t>
      </w:r>
      <w:r>
        <w:rPr>
          <w:rFonts w:ascii="Arial" w:cs="Arial" w:eastAsia="Arial" w:hAnsi="Arial"/>
          <w:sz w:val="20"/>
          <w:szCs w:val="20"/>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SECTION 9.</w:t>
      </w:r>
      <w:r>
        <w:rPr>
          <w:rFonts w:ascii="Arial" w:cs="Arial" w:eastAsia="Arial" w:hAnsi="Arial"/>
          <w:sz w:val="20"/>
          <w:szCs w:val="20"/>
          <w:u w:val="single" w:color="auto"/>
          <w:color w:val="auto"/>
        </w:rPr>
        <w:t>Termination of Agreement</w:t>
      </w:r>
      <w:r>
        <w:rPr>
          <w:rFonts w:ascii="Arial" w:cs="Arial" w:eastAsia="Arial" w:hAnsi="Arial"/>
          <w:sz w:val="20"/>
          <w:szCs w:val="20"/>
          <w:color w:val="auto"/>
        </w:rPr>
        <w:t>.</w:t>
      </w:r>
    </w:p>
    <w:p>
      <w:pPr>
        <w:spacing w:after="0" w:line="216" w:lineRule="exact"/>
        <w:rPr>
          <w:sz w:val="20"/>
          <w:szCs w:val="20"/>
          <w:color w:val="auto"/>
        </w:rPr>
      </w:pPr>
    </w:p>
    <w:p>
      <w:pPr>
        <w:jc w:val="both"/>
        <w:ind w:firstLine="757"/>
        <w:spacing w:after="0" w:line="254" w:lineRule="auto"/>
        <w:tabs>
          <w:tab w:leader="none" w:pos="1018"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The Representative may terminate this Agreement, by notice to the Company, at any time at or prior to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Time (i)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4" w:name="page35"/>
    <w:bookmarkEnd w:id="34"/>
    <w:p>
      <w:pPr>
        <w:jc w:val="both"/>
        <w:ind w:firstLine="757"/>
        <w:spacing w:after="0" w:line="250" w:lineRule="auto"/>
        <w:tabs>
          <w:tab w:leader="none" w:pos="1018" w:val="left"/>
        </w:tabs>
        <w:numPr>
          <w:ilvl w:val="0"/>
          <w:numId w:val="37"/>
        </w:numPr>
        <w:rPr>
          <w:rFonts w:ascii="Arial" w:cs="Arial" w:eastAsia="Arial" w:hAnsi="Arial"/>
          <w:sz w:val="20"/>
          <w:szCs w:val="20"/>
          <w:color w:val="auto"/>
        </w:rPr>
      </w:pPr>
      <w:r>
        <w:rPr>
          <w:rFonts w:ascii="Arial" w:cs="Arial" w:eastAsia="Arial" w:hAnsi="Arial"/>
          <w:sz w:val="20"/>
          <w:szCs w:val="20"/>
          <w:i w:val="1"/>
          <w:iCs w:val="1"/>
          <w:color w:val="auto"/>
        </w:rPr>
        <w:t>Liabilities</w:t>
      </w:r>
      <w:r>
        <w:rPr>
          <w:rFonts w:ascii="Arial" w:cs="Arial" w:eastAsia="Arial" w:hAnsi="Arial"/>
          <w:sz w:val="20"/>
          <w:szCs w:val="20"/>
          <w:color w:val="auto"/>
        </w:rPr>
        <w:t>. If this Agreement is terminated pursuant to this Section, such termination shall be without liability of any party to</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party except as provided in Section 4 hereof, and provided further that Sections 1, 4, 6, 7, 8, 15, 16 and 17 shall survive such termination and remain in full force and effect.</w:t>
      </w:r>
    </w:p>
    <w:p>
      <w:pPr>
        <w:spacing w:after="0" w:line="186" w:lineRule="exact"/>
        <w:rPr>
          <w:sz w:val="20"/>
          <w:szCs w:val="20"/>
          <w:color w:val="auto"/>
        </w:rPr>
      </w:pPr>
    </w:p>
    <w:p>
      <w:pPr>
        <w:jc w:val="both"/>
        <w:ind w:firstLine="749"/>
        <w:spacing w:after="0" w:line="233" w:lineRule="exact"/>
        <w:rPr>
          <w:sz w:val="20"/>
          <w:szCs w:val="20"/>
          <w:color w:val="auto"/>
        </w:rPr>
      </w:pPr>
      <w:r>
        <w:rPr>
          <w:rFonts w:ascii="Arial" w:cs="Arial" w:eastAsia="Arial" w:hAnsi="Arial"/>
          <w:sz w:val="18"/>
          <w:szCs w:val="18"/>
          <w:color w:val="auto"/>
        </w:rPr>
        <w:t>SECTION 10.</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 shall have the right, within 24 hours thereafter, to make arrangements for one or more of the non</w:t>
      </w:r>
      <w:r>
        <w:rPr>
          <w:rFonts w:ascii="MS PGothic" w:cs="MS PGothic" w:eastAsia="MS PGothic" w:hAnsi="MS PGothic"/>
          <w:sz w:val="18"/>
          <w:szCs w:val="18"/>
          <w:color w:val="auto"/>
        </w:rPr>
        <w:t>‑</w:t>
      </w:r>
      <w:r>
        <w:rPr>
          <w:rFonts w:ascii="Arial" w:cs="Arial" w:eastAsia="Arial" w:hAnsi="Arial"/>
          <w:sz w:val="18"/>
          <w:szCs w:val="18"/>
          <w:color w:val="auto"/>
        </w:rPr>
        <w:t>defaulting Underwriters, or any other underwriters, to purchase all, but not less than all, of the Defaulted Securities in such amounts as may be agreed upon and upon the terms herein set forth; if, however, the Representative shall not have completed such arrangements within such 24</w:t>
      </w:r>
      <w:r>
        <w:rPr>
          <w:rFonts w:ascii="MS PGothic" w:cs="MS PGothic" w:eastAsia="MS PGothic" w:hAnsi="MS PGothic"/>
          <w:sz w:val="18"/>
          <w:szCs w:val="18"/>
          <w:color w:val="auto"/>
        </w:rPr>
        <w:t>‑</w:t>
      </w:r>
      <w:r>
        <w:rPr>
          <w:rFonts w:ascii="Arial" w:cs="Arial" w:eastAsia="Arial" w:hAnsi="Arial"/>
          <w:sz w:val="18"/>
          <w:szCs w:val="18"/>
          <w:color w:val="auto"/>
        </w:rPr>
        <w:t>hour period, then:</w:t>
      </w:r>
    </w:p>
    <w:p>
      <w:pPr>
        <w:spacing w:after="0" w:line="199" w:lineRule="exact"/>
        <w:rPr>
          <w:sz w:val="20"/>
          <w:szCs w:val="20"/>
          <w:color w:val="auto"/>
        </w:rPr>
      </w:pPr>
    </w:p>
    <w:p>
      <w:pPr>
        <w:jc w:val="both"/>
        <w:ind w:left="760" w:firstLine="745"/>
        <w:spacing w:after="0" w:line="234" w:lineRule="exact"/>
        <w:tabs>
          <w:tab w:leader="none" w:pos="20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the number of Defaulted Securities does not exceed 10% of the number of Securities to be purchased on such date, each of the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Underwriters shall be obligated, severally and not jointly, to purchase the full amount thereof in the proportions that their respective underwriting obligations hereunder bear to the underwriting obligations of all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Underwriters, or</w:t>
      </w:r>
    </w:p>
    <w:p>
      <w:pPr>
        <w:spacing w:after="0" w:line="198" w:lineRule="exact"/>
        <w:rPr>
          <w:rFonts w:ascii="Arial" w:cs="Arial" w:eastAsia="Arial" w:hAnsi="Arial"/>
          <w:sz w:val="20"/>
          <w:szCs w:val="20"/>
          <w:color w:val="auto"/>
        </w:rPr>
      </w:pPr>
    </w:p>
    <w:p>
      <w:pPr>
        <w:jc w:val="both"/>
        <w:ind w:left="760" w:firstLine="745"/>
        <w:spacing w:after="0" w:line="234" w:lineRule="exact"/>
        <w:tabs>
          <w:tab w:leader="none" w:pos="20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w:t>
      </w:r>
      <w:r>
        <w:rPr>
          <w:rFonts w:ascii="MS PGothic" w:cs="MS PGothic" w:eastAsia="MS PGothic" w:hAnsi="MS PGothic"/>
          <w:sz w:val="20"/>
          <w:szCs w:val="20"/>
          <w:color w:val="auto"/>
        </w:rPr>
        <w:t>‑</w:t>
      </w:r>
      <w:r>
        <w:rPr>
          <w:rFonts w:ascii="Arial" w:cs="Arial" w:eastAsia="Arial" w:hAnsi="Arial"/>
          <w:sz w:val="20"/>
          <w:szCs w:val="20"/>
          <w:color w:val="auto"/>
        </w:rPr>
        <w:t>defaulting Underwriter.</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 action taken pursuant to this Section shall relieve any defaulting Underwriter from liability in respect of its default.</w:t>
      </w:r>
    </w:p>
    <w:p>
      <w:pPr>
        <w:spacing w:after="0" w:line="21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SECTION 11.</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deemed to have been duly given if mailed or transmitted by any standard form of telecommunication. Notices to the Underwriters shall be directed to SVB Securities at 1301 Avenue of the Americas, 12</w:t>
      </w:r>
      <w:r>
        <w:rPr>
          <w:rFonts w:ascii="Arial" w:cs="Arial" w:eastAsia="Arial" w:hAnsi="Arial"/>
          <w:sz w:val="12"/>
          <w:szCs w:val="12"/>
          <w:color w:val="auto"/>
        </w:rPr>
        <w:t>th</w:t>
      </w:r>
      <w:r>
        <w:rPr>
          <w:rFonts w:ascii="Arial" w:cs="Arial" w:eastAsia="Arial" w:hAnsi="Arial"/>
          <w:sz w:val="19"/>
          <w:szCs w:val="19"/>
          <w:color w:val="auto"/>
        </w:rPr>
        <w:t xml:space="preserve"> Floor, New York, New York, 10019, attention of Stuart R. Nayman and to Covington &amp; Burling LLP at The New York Times Building, 620 Eighth Avenue, New York, New York, 10018, attention of Brian K. Rosenzweig.</w:t>
      </w:r>
    </w:p>
    <w:p>
      <w:pPr>
        <w:spacing w:after="0" w:line="176"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SECTION 12.</w:t>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5" w:name="page36"/>
    <w:bookmarkEnd w:id="35"/>
    <w:p>
      <w:pPr>
        <w:jc w:val="both"/>
        <w:spacing w:after="0" w:line="276" w:lineRule="auto"/>
        <w:rPr>
          <w:sz w:val="20"/>
          <w:szCs w:val="20"/>
          <w:color w:val="auto"/>
        </w:rPr>
      </w:pPr>
      <w:r>
        <w:rPr>
          <w:rFonts w:ascii="Arial" w:cs="Arial" w:eastAsia="Arial" w:hAnsi="Arial"/>
          <w:sz w:val="18"/>
          <w:szCs w:val="18"/>
          <w:color w:val="auto"/>
        </w:rPr>
        <w:t>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6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SECTION 13.</w:t>
      </w:r>
      <w:r>
        <w:rPr>
          <w:rFonts w:ascii="Arial" w:cs="Arial" w:eastAsia="Arial" w:hAnsi="Arial"/>
          <w:sz w:val="20"/>
          <w:szCs w:val="20"/>
          <w:u w:val="single" w:color="auto"/>
          <w:color w:val="auto"/>
        </w:rPr>
        <w:t>Recognition of the U.S. Special Resolution Regimes</w:t>
      </w:r>
      <w:r>
        <w:rPr>
          <w:rFonts w:ascii="Arial" w:cs="Arial" w:eastAsia="Arial" w:hAnsi="Arial"/>
          <w:sz w:val="20"/>
          <w:szCs w:val="20"/>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SECTION 14.</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SECTION 15.</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6" w:name="page37"/>
    <w:bookmarkEnd w:id="36"/>
    <w:p>
      <w:pPr>
        <w:jc w:val="both"/>
        <w:ind w:firstLine="749"/>
        <w:spacing w:after="0" w:line="250" w:lineRule="auto"/>
        <w:rPr>
          <w:sz w:val="20"/>
          <w:szCs w:val="20"/>
          <w:color w:val="auto"/>
        </w:rPr>
      </w:pPr>
      <w:r>
        <w:rPr>
          <w:rFonts w:ascii="Arial" w:cs="Arial" w:eastAsia="Arial" w:hAnsi="Arial"/>
          <w:sz w:val="20"/>
          <w:szCs w:val="20"/>
          <w:color w:val="auto"/>
        </w:rPr>
        <w:t>SECTION 16.</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SECTION 17.</w:t>
      </w:r>
      <w:r>
        <w:rPr>
          <w:rFonts w:ascii="Arial" w:cs="Arial" w:eastAsia="Arial" w:hAnsi="Arial"/>
          <w:sz w:val="19"/>
          <w:szCs w:val="19"/>
          <w:u w:val="single" w:color="auto"/>
          <w:color w:val="auto"/>
        </w:rPr>
        <w:t>Consent to Jurisdiction; Waiver of Immunity</w:t>
      </w:r>
      <w:r>
        <w:rPr>
          <w:rFonts w:ascii="Arial" w:cs="Arial" w:eastAsia="Arial" w:hAnsi="Arial"/>
          <w:sz w:val="19"/>
          <w:szCs w:val="19"/>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9"/>
          <w:szCs w:val="19"/>
          <w:u w:val="single" w:color="auto"/>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SECTION 18.</w:t>
      </w:r>
      <w:r>
        <w:rPr>
          <w:rFonts w:ascii="Arial" w:cs="Arial" w:eastAsia="Arial" w:hAnsi="Arial"/>
          <w:sz w:val="20"/>
          <w:szCs w:val="20"/>
          <w:u w:val="single" w:color="auto"/>
          <w:color w:val="auto"/>
        </w:rPr>
        <w:t>TIME</w:t>
      </w:r>
      <w:r>
        <w:rPr>
          <w:rFonts w:ascii="Arial" w:cs="Arial" w:eastAsia="Arial" w:hAnsi="Arial"/>
          <w:sz w:val="20"/>
          <w:szCs w:val="20"/>
          <w:color w:val="auto"/>
        </w:rPr>
        <w:t>. TIME SHALL BE OF THE ESSENCE OF THIS AGREEMENT. EXCEPT AS OTHERWISE SET FORTH HEREIN, SPECIFIED TIMES OF DAY REFER TO NEW YORK CITY TIME.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SECTION 19.</w:t>
      </w:r>
      <w:r>
        <w:rPr>
          <w:rFonts w:ascii="Arial" w:cs="Arial" w:eastAsia="Arial" w:hAnsi="Arial"/>
          <w:sz w:val="20"/>
          <w:szCs w:val="20"/>
          <w:u w:val="single" w:color="auto"/>
          <w:color w:val="auto"/>
        </w:rPr>
        <w:t>Partial Unenforceability</w:t>
      </w:r>
      <w:r>
        <w:rPr>
          <w:rFonts w:ascii="Arial" w:cs="Arial" w:eastAsia="Arial" w:hAnsi="Arial"/>
          <w:sz w:val="20"/>
          <w:szCs w:val="20"/>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9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SECTION 20.</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8" w:lineRule="exact"/>
        <w:rPr>
          <w:sz w:val="20"/>
          <w:szCs w:val="20"/>
          <w:color w:val="auto"/>
        </w:rPr>
      </w:pPr>
    </w:p>
    <w:p>
      <w:pPr>
        <w:ind w:left="760"/>
        <w:spacing w:after="0"/>
        <w:tabs>
          <w:tab w:leader="none" w:pos="3640" w:val="left"/>
        </w:tabs>
        <w:rPr>
          <w:sz w:val="20"/>
          <w:szCs w:val="20"/>
          <w:color w:val="auto"/>
        </w:rPr>
      </w:pPr>
      <w:r>
        <w:rPr>
          <w:rFonts w:ascii="Arial" w:cs="Arial" w:eastAsia="Arial" w:hAnsi="Arial"/>
          <w:sz w:val="20"/>
          <w:szCs w:val="20"/>
          <w:color w:val="auto"/>
        </w:rPr>
        <w:t>SECTION 21.</w:t>
      </w:r>
      <w:r>
        <w:rPr>
          <w:rFonts w:ascii="Arial" w:cs="Arial" w:eastAsia="Arial" w:hAnsi="Arial"/>
          <w:sz w:val="20"/>
          <w:szCs w:val="20"/>
          <w:u w:val="single" w:color="auto"/>
          <w:color w:val="auto"/>
        </w:rPr>
        <w:t>Effect of Headings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Section headings herein are for convenience only and shall not affect the construction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20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SECTION 22.</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supersedes all prior agreements and understandings (whether written or oral) between the Company and the Underwriters, or any of them, with respect to the subject matter 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7" w:name="page38"/>
    <w:bookmarkEnd w:id="37"/>
    <w:p>
      <w:pPr>
        <w:jc w:val="both"/>
        <w:ind w:firstLine="398"/>
        <w:spacing w:after="0" w:line="250" w:lineRule="auto"/>
        <w:rPr>
          <w:sz w:val="20"/>
          <w:szCs w:val="20"/>
          <w:color w:val="auto"/>
        </w:rPr>
      </w:pPr>
      <w:r>
        <w:rPr>
          <w:rFonts w:ascii="Arial" w:cs="Arial" w:eastAsia="Arial" w:hAnsi="Arial"/>
          <w:sz w:val="20"/>
          <w:szCs w:val="20"/>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40" w:lineRule="exact"/>
        <w:rPr>
          <w:sz w:val="20"/>
          <w:szCs w:val="20"/>
          <w:color w:val="auto"/>
        </w:rPr>
      </w:pPr>
    </w:p>
    <w:p>
      <w:pPr>
        <w:ind w:left="6840"/>
        <w:spacing w:after="0"/>
        <w:rPr>
          <w:sz w:val="20"/>
          <w:szCs w:val="20"/>
          <w:color w:val="auto"/>
        </w:rPr>
      </w:pPr>
      <w:r>
        <w:rPr>
          <w:rFonts w:ascii="Arial" w:cs="Arial" w:eastAsia="Arial" w:hAnsi="Arial"/>
          <w:sz w:val="20"/>
          <w:szCs w:val="20"/>
          <w:color w:val="auto"/>
        </w:rPr>
        <w:t>Very truly yours,</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20"/>
          <w:szCs w:val="20"/>
          <w:color w:val="auto"/>
        </w:rPr>
        <w:t>AXSOME THERAPEUTICS, INC.</w:t>
      </w:r>
    </w:p>
    <w:p>
      <w:pPr>
        <w:spacing w:after="0" w:line="270" w:lineRule="exact"/>
        <w:rPr>
          <w:sz w:val="20"/>
          <w:szCs w:val="20"/>
          <w:color w:val="auto"/>
        </w:rPr>
      </w:pPr>
    </w:p>
    <w:p>
      <w:pPr>
        <w:ind w:left="6840"/>
        <w:spacing w:after="0"/>
        <w:tabs>
          <w:tab w:leader="none" w:pos="7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19050</wp:posOffset>
            </wp:positionV>
            <wp:extent cx="1988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Herriot Tabuteau</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CONFIRMED AND ACCEPTED</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the date first above written: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SVB SECURITIES LLC</w:t>
      </w:r>
    </w:p>
    <w:p>
      <w:pPr>
        <w:spacing w:after="0" w:line="27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19050</wp:posOffset>
            </wp:positionV>
            <wp:extent cx="19716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Name: Gabriel P. Cavazos</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Title:  Managing Director, Investment Banking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itself and as Representative of the other Underwriters named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U</w:t>
      </w:r>
      <w:r>
        <w:rPr>
          <w:rFonts w:ascii="Arial" w:cs="Arial" w:eastAsia="Arial" w:hAnsi="Arial"/>
          <w:sz w:val="12"/>
          <w:szCs w:val="12"/>
          <w:color w:val="auto"/>
        </w:rPr>
        <w:t>nderwriting</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8" w:name="page39"/>
    <w:bookmarkEnd w:id="38"/>
    <w:p>
      <w:pPr>
        <w:ind w:left="5020"/>
        <w:spacing w:after="0"/>
        <w:rPr>
          <w:sz w:val="20"/>
          <w:szCs w:val="20"/>
          <w:color w:val="auto"/>
        </w:rPr>
      </w:pPr>
      <w:r>
        <w:rPr>
          <w:rFonts w:ascii="Arial" w:cs="Arial" w:eastAsia="Arial" w:hAnsi="Arial"/>
          <w:sz w:val="20"/>
          <w:szCs w:val="20"/>
          <w:color w:val="auto"/>
        </w:rPr>
        <w:t>SCHEDULE 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initial public offering price per share for the Securities shall be $75.00.</w:t>
      </w:r>
    </w:p>
    <w:p>
      <w:pPr>
        <w:spacing w:after="0" w:line="216"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The purchase price per share for the Securities to be paid by the several Underwriters shall be $70.50, being an amount equal to the initial public offering price set forth above less $4.50 per share, subject to adjustment in accordance with Section 2(b) for dividends or distributions declared by the Company and payable on the Initial Securities but not payable on the Option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00" w:type="dxa"/>
            <w:vAlign w:val="bottom"/>
            <w:gridSpan w:val="2"/>
          </w:tcPr>
          <w:p>
            <w:pPr>
              <w:jc w:val="center"/>
              <w:ind w:right="1000"/>
              <w:spacing w:after="0"/>
              <w:rPr>
                <w:sz w:val="20"/>
                <w:szCs w:val="20"/>
                <w:color w:val="auto"/>
              </w:rPr>
            </w:pPr>
            <w:r>
              <w:rPr>
                <w:rFonts w:ascii="Arial" w:cs="Arial" w:eastAsia="Arial" w:hAnsi="Arial"/>
                <w:sz w:val="20"/>
                <w:szCs w:val="20"/>
                <w:color w:val="auto"/>
                <w:w w:val="92"/>
              </w:rPr>
              <w:t>Number of</w:t>
            </w:r>
          </w:p>
        </w:tc>
      </w:tr>
      <w:tr>
        <w:trPr>
          <w:trHeight w:val="206"/>
        </w:trPr>
        <w:tc>
          <w:tcPr>
            <w:tcW w:w="7940" w:type="dxa"/>
            <w:vAlign w:val="bottom"/>
          </w:tcPr>
          <w:p>
            <w:pPr>
              <w:ind w:left="120"/>
              <w:spacing w:after="0" w:line="206" w:lineRule="exact"/>
              <w:rPr>
                <w:sz w:val="20"/>
                <w:szCs w:val="20"/>
                <w:color w:val="auto"/>
              </w:rPr>
            </w:pPr>
            <w:r>
              <w:rPr>
                <w:rFonts w:ascii="Arial" w:cs="Arial" w:eastAsia="Arial" w:hAnsi="Arial"/>
                <w:sz w:val="20"/>
                <w:szCs w:val="20"/>
                <w:color w:val="auto"/>
              </w:rPr>
              <w:t>Name of Underwriter</w:t>
            </w:r>
          </w:p>
        </w:tc>
        <w:tc>
          <w:tcPr>
            <w:tcW w:w="100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20"/>
                <w:szCs w:val="20"/>
                <w:color w:val="auto"/>
                <w:w w:val="92"/>
              </w:rPr>
              <w:t>Initial Securities</w:t>
            </w:r>
          </w:p>
        </w:tc>
        <w:tc>
          <w:tcPr>
            <w:tcW w:w="1000" w:type="dxa"/>
            <w:vAlign w:val="bottom"/>
          </w:tcPr>
          <w:p>
            <w:pPr>
              <w:spacing w:after="0"/>
              <w:rPr>
                <w:sz w:val="17"/>
                <w:szCs w:val="17"/>
                <w:color w:val="auto"/>
              </w:rPr>
            </w:pPr>
          </w:p>
        </w:tc>
      </w:tr>
      <w:tr>
        <w:trPr>
          <w:trHeight w:val="538"/>
        </w:trPr>
        <w:tc>
          <w:tcPr>
            <w:tcW w:w="7940" w:type="dxa"/>
            <w:vAlign w:val="bottom"/>
          </w:tcPr>
          <w:p>
            <w:pPr>
              <w:ind w:left="120"/>
              <w:spacing w:after="0"/>
              <w:rPr>
                <w:sz w:val="20"/>
                <w:szCs w:val="20"/>
                <w:color w:val="auto"/>
              </w:rPr>
            </w:pPr>
            <w:r>
              <w:rPr>
                <w:rFonts w:ascii="Arial" w:cs="Arial" w:eastAsia="Arial" w:hAnsi="Arial"/>
                <w:sz w:val="20"/>
                <w:szCs w:val="20"/>
                <w:color w:val="auto"/>
              </w:rPr>
              <w:t>SVB Securities LLC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915,000</w:t>
            </w:r>
          </w:p>
        </w:tc>
        <w:tc>
          <w:tcPr>
            <w:tcW w:w="1000" w:type="dxa"/>
            <w:vAlign w:val="bottom"/>
          </w:tcPr>
          <w:p>
            <w:pPr>
              <w:spacing w:after="0"/>
              <w:rPr>
                <w:sz w:val="24"/>
                <w:szCs w:val="24"/>
                <w:color w:val="auto"/>
              </w:rPr>
            </w:pPr>
          </w:p>
        </w:tc>
      </w:tr>
      <w:tr>
        <w:trPr>
          <w:trHeight w:val="257"/>
        </w:trPr>
        <w:tc>
          <w:tcPr>
            <w:tcW w:w="7940" w:type="dxa"/>
            <w:vAlign w:val="bottom"/>
          </w:tcPr>
          <w:p>
            <w:pPr>
              <w:ind w:left="120"/>
              <w:spacing w:after="0"/>
              <w:rPr>
                <w:sz w:val="20"/>
                <w:szCs w:val="20"/>
                <w:color w:val="auto"/>
              </w:rPr>
            </w:pPr>
            <w:r>
              <w:rPr>
                <w:rFonts w:ascii="Arial" w:cs="Arial" w:eastAsia="Arial" w:hAnsi="Arial"/>
                <w:sz w:val="20"/>
                <w:szCs w:val="20"/>
                <w:color w:val="auto"/>
              </w:rPr>
              <w:t>Guggenheim Securities, LLC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375,000</w:t>
            </w:r>
          </w:p>
        </w:tc>
        <w:tc>
          <w:tcPr>
            <w:tcW w:w="1000" w:type="dxa"/>
            <w:vAlign w:val="bottom"/>
          </w:tcPr>
          <w:p>
            <w:pPr>
              <w:spacing w:after="0"/>
              <w:rPr>
                <w:sz w:val="22"/>
                <w:szCs w:val="22"/>
                <w:color w:val="auto"/>
              </w:rPr>
            </w:pPr>
          </w:p>
        </w:tc>
      </w:tr>
      <w:tr>
        <w:trPr>
          <w:trHeight w:val="257"/>
        </w:trPr>
        <w:tc>
          <w:tcPr>
            <w:tcW w:w="7940" w:type="dxa"/>
            <w:vAlign w:val="bottom"/>
          </w:tcPr>
          <w:p>
            <w:pPr>
              <w:ind w:left="120"/>
              <w:spacing w:after="0"/>
              <w:rPr>
                <w:sz w:val="20"/>
                <w:szCs w:val="20"/>
                <w:color w:val="auto"/>
              </w:rPr>
            </w:pPr>
            <w:r>
              <w:rPr>
                <w:rFonts w:ascii="Arial" w:cs="Arial" w:eastAsia="Arial" w:hAnsi="Arial"/>
                <w:sz w:val="20"/>
                <w:szCs w:val="20"/>
                <w:color w:val="auto"/>
              </w:rPr>
              <w:t>Truist Securities, Inc.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330,000</w:t>
            </w:r>
          </w:p>
        </w:tc>
        <w:tc>
          <w:tcPr>
            <w:tcW w:w="1000" w:type="dxa"/>
            <w:vAlign w:val="bottom"/>
          </w:tcPr>
          <w:p>
            <w:pPr>
              <w:spacing w:after="0"/>
              <w:rPr>
                <w:sz w:val="22"/>
                <w:szCs w:val="22"/>
                <w:color w:val="auto"/>
              </w:rPr>
            </w:pPr>
          </w:p>
        </w:tc>
      </w:tr>
      <w:tr>
        <w:trPr>
          <w:trHeight w:val="256"/>
        </w:trPr>
        <w:tc>
          <w:tcPr>
            <w:tcW w:w="7940" w:type="dxa"/>
            <w:vAlign w:val="bottom"/>
          </w:tcPr>
          <w:p>
            <w:pPr>
              <w:ind w:left="120"/>
              <w:spacing w:after="0"/>
              <w:rPr>
                <w:sz w:val="20"/>
                <w:szCs w:val="20"/>
                <w:color w:val="auto"/>
              </w:rPr>
            </w:pPr>
            <w:r>
              <w:rPr>
                <w:rFonts w:ascii="Arial" w:cs="Arial" w:eastAsia="Arial" w:hAnsi="Arial"/>
                <w:sz w:val="20"/>
                <w:szCs w:val="20"/>
                <w:color w:val="auto"/>
              </w:rPr>
              <w:t>William Blair &amp; Company, L.L.C.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330,000</w:t>
            </w:r>
          </w:p>
        </w:tc>
        <w:tc>
          <w:tcPr>
            <w:tcW w:w="1000" w:type="dxa"/>
            <w:vAlign w:val="bottom"/>
          </w:tcPr>
          <w:p>
            <w:pPr>
              <w:spacing w:after="0"/>
              <w:rPr>
                <w:sz w:val="22"/>
                <w:szCs w:val="22"/>
                <w:color w:val="auto"/>
              </w:rPr>
            </w:pPr>
          </w:p>
        </w:tc>
      </w:tr>
      <w:tr>
        <w:trPr>
          <w:trHeight w:val="257"/>
        </w:trPr>
        <w:tc>
          <w:tcPr>
            <w:tcW w:w="7940" w:type="dxa"/>
            <w:vAlign w:val="bottom"/>
          </w:tcPr>
          <w:p>
            <w:pPr>
              <w:ind w:left="120"/>
              <w:spacing w:after="0"/>
              <w:rPr>
                <w:sz w:val="20"/>
                <w:szCs w:val="20"/>
                <w:color w:val="auto"/>
              </w:rPr>
            </w:pPr>
            <w:r>
              <w:rPr>
                <w:rFonts w:ascii="Arial" w:cs="Arial" w:eastAsia="Arial" w:hAnsi="Arial"/>
                <w:sz w:val="20"/>
                <w:szCs w:val="20"/>
                <w:color w:val="auto"/>
              </w:rPr>
              <w:t>Cantor Fitzgerald &amp; Co.</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330,000</w:t>
            </w:r>
          </w:p>
        </w:tc>
        <w:tc>
          <w:tcPr>
            <w:tcW w:w="1000" w:type="dxa"/>
            <w:vAlign w:val="bottom"/>
          </w:tcPr>
          <w:p>
            <w:pPr>
              <w:spacing w:after="0"/>
              <w:rPr>
                <w:sz w:val="22"/>
                <w:szCs w:val="22"/>
                <w:color w:val="auto"/>
              </w:rPr>
            </w:pPr>
          </w:p>
        </w:tc>
      </w:tr>
      <w:tr>
        <w:trPr>
          <w:trHeight w:val="257"/>
        </w:trPr>
        <w:tc>
          <w:tcPr>
            <w:tcW w:w="7940" w:type="dxa"/>
            <w:vAlign w:val="bottom"/>
          </w:tcPr>
          <w:p>
            <w:pPr>
              <w:ind w:left="120"/>
              <w:spacing w:after="0"/>
              <w:rPr>
                <w:sz w:val="20"/>
                <w:szCs w:val="20"/>
                <w:color w:val="auto"/>
              </w:rPr>
            </w:pPr>
            <w:r>
              <w:rPr>
                <w:rFonts w:ascii="Arial" w:cs="Arial" w:eastAsia="Arial" w:hAnsi="Arial"/>
                <w:sz w:val="20"/>
                <w:szCs w:val="20"/>
                <w:color w:val="auto"/>
              </w:rPr>
              <w:t>Ladenburg Thalmann &amp; Co. Inc.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300,000</w:t>
            </w:r>
          </w:p>
        </w:tc>
        <w:tc>
          <w:tcPr>
            <w:tcW w:w="1000" w:type="dxa"/>
            <w:vAlign w:val="bottom"/>
          </w:tcPr>
          <w:p>
            <w:pPr>
              <w:spacing w:after="0"/>
              <w:rPr>
                <w:sz w:val="22"/>
                <w:szCs w:val="22"/>
                <w:color w:val="auto"/>
              </w:rPr>
            </w:pPr>
          </w:p>
        </w:tc>
      </w:tr>
      <w:tr>
        <w:trPr>
          <w:trHeight w:val="257"/>
        </w:trPr>
        <w:tc>
          <w:tcPr>
            <w:tcW w:w="7940" w:type="dxa"/>
            <w:vAlign w:val="bottom"/>
          </w:tcPr>
          <w:p>
            <w:pPr>
              <w:ind w:left="120"/>
              <w:spacing w:after="0"/>
              <w:rPr>
                <w:sz w:val="20"/>
                <w:szCs w:val="20"/>
                <w:color w:val="auto"/>
              </w:rPr>
            </w:pPr>
            <w:r>
              <w:rPr>
                <w:rFonts w:ascii="Arial" w:cs="Arial" w:eastAsia="Arial" w:hAnsi="Arial"/>
                <w:sz w:val="20"/>
                <w:szCs w:val="20"/>
                <w:color w:val="auto"/>
              </w:rPr>
              <w:t>Mizuho Securities USA LLC</w:t>
            </w:r>
          </w:p>
        </w:tc>
        <w:tc>
          <w:tcPr>
            <w:tcW w:w="2300" w:type="dxa"/>
            <w:vAlign w:val="bottom"/>
            <w:gridSpan w:val="2"/>
          </w:tcPr>
          <w:p>
            <w:pPr>
              <w:jc w:val="center"/>
              <w:ind w:left="881"/>
              <w:spacing w:after="0"/>
              <w:rPr>
                <w:sz w:val="20"/>
                <w:szCs w:val="20"/>
                <w:color w:val="auto"/>
              </w:rPr>
            </w:pPr>
            <w:r>
              <w:rPr>
                <w:rFonts w:ascii="Arial" w:cs="Arial" w:eastAsia="Arial" w:hAnsi="Arial"/>
                <w:sz w:val="20"/>
                <w:szCs w:val="20"/>
                <w:color w:val="auto"/>
                <w:w w:val="88"/>
              </w:rPr>
              <w:t>210,000</w:t>
            </w:r>
          </w:p>
        </w:tc>
        <w:tc>
          <w:tcPr>
            <w:tcW w:w="1000" w:type="dxa"/>
            <w:vAlign w:val="bottom"/>
          </w:tcPr>
          <w:p>
            <w:pPr>
              <w:spacing w:after="0"/>
              <w:rPr>
                <w:sz w:val="22"/>
                <w:szCs w:val="22"/>
                <w:color w:val="auto"/>
              </w:rPr>
            </w:pPr>
          </w:p>
        </w:tc>
      </w:tr>
      <w:tr>
        <w:trPr>
          <w:trHeight w:val="259"/>
        </w:trPr>
        <w:tc>
          <w:tcPr>
            <w:tcW w:w="7940" w:type="dxa"/>
            <w:vAlign w:val="bottom"/>
          </w:tcPr>
          <w:p>
            <w:pPr>
              <w:ind w:left="120"/>
              <w:spacing w:after="0"/>
              <w:rPr>
                <w:sz w:val="20"/>
                <w:szCs w:val="20"/>
                <w:color w:val="auto"/>
              </w:rPr>
            </w:pPr>
            <w:r>
              <w:rPr>
                <w:rFonts w:ascii="Arial" w:cs="Arial" w:eastAsia="Arial" w:hAnsi="Arial"/>
                <w:sz w:val="20"/>
                <w:szCs w:val="20"/>
                <w:color w:val="auto"/>
              </w:rPr>
              <w:t>H.C. Wainwright &amp; Co., LLC.</w:t>
            </w:r>
          </w:p>
        </w:tc>
        <w:tc>
          <w:tcPr>
            <w:tcW w:w="2300" w:type="dxa"/>
            <w:vAlign w:val="bottom"/>
            <w:tcBorders>
              <w:bottom w:val="single" w:sz="8" w:color="auto"/>
            </w:tcBorders>
            <w:gridSpan w:val="2"/>
          </w:tcPr>
          <w:p>
            <w:pPr>
              <w:jc w:val="center"/>
              <w:ind w:left="881"/>
              <w:spacing w:after="0"/>
              <w:rPr>
                <w:sz w:val="20"/>
                <w:szCs w:val="20"/>
                <w:color w:val="auto"/>
              </w:rPr>
            </w:pPr>
            <w:r>
              <w:rPr>
                <w:rFonts w:ascii="Arial" w:cs="Arial" w:eastAsia="Arial" w:hAnsi="Arial"/>
                <w:sz w:val="20"/>
                <w:szCs w:val="20"/>
                <w:color w:val="auto"/>
                <w:w w:val="88"/>
              </w:rPr>
              <w:t>210,000</w:t>
            </w:r>
          </w:p>
        </w:tc>
        <w:tc>
          <w:tcPr>
            <w:tcW w:w="1000" w:type="dxa"/>
            <w:vAlign w:val="bottom"/>
            <w:tcBorders>
              <w:bottom w:val="single" w:sz="8" w:color="auto"/>
            </w:tcBorders>
          </w:tcPr>
          <w:p>
            <w:pPr>
              <w:spacing w:after="0"/>
              <w:rPr>
                <w:sz w:val="22"/>
                <w:szCs w:val="22"/>
                <w:color w:val="auto"/>
              </w:rPr>
            </w:pPr>
          </w:p>
        </w:tc>
      </w:tr>
      <w:tr>
        <w:trPr>
          <w:trHeight w:val="253"/>
        </w:trPr>
        <w:tc>
          <w:tcPr>
            <w:tcW w:w="7940" w:type="dxa"/>
            <w:vAlign w:val="bottom"/>
          </w:tcPr>
          <w:p>
            <w:pPr>
              <w:ind w:left="760"/>
              <w:spacing w:after="0"/>
              <w:rPr>
                <w:sz w:val="20"/>
                <w:szCs w:val="20"/>
                <w:color w:val="auto"/>
              </w:rPr>
            </w:pPr>
            <w:r>
              <w:rPr>
                <w:rFonts w:ascii="Arial" w:cs="Arial" w:eastAsia="Arial" w:hAnsi="Arial"/>
                <w:sz w:val="20"/>
                <w:szCs w:val="20"/>
                <w:color w:val="auto"/>
              </w:rPr>
              <w:t>Total</w:t>
            </w:r>
          </w:p>
        </w:tc>
        <w:tc>
          <w:tcPr>
            <w:tcW w:w="2300" w:type="dxa"/>
            <w:vAlign w:val="bottom"/>
            <w:tcBorders>
              <w:bottom w:val="single" w:sz="8" w:color="auto"/>
            </w:tcBorders>
            <w:gridSpan w:val="2"/>
          </w:tcPr>
          <w:p>
            <w:pPr>
              <w:jc w:val="center"/>
              <w:ind w:left="901"/>
              <w:spacing w:after="0"/>
              <w:rPr>
                <w:sz w:val="20"/>
                <w:szCs w:val="20"/>
                <w:color w:val="auto"/>
              </w:rPr>
            </w:pPr>
            <w:r>
              <w:rPr>
                <w:rFonts w:ascii="Arial" w:cs="Arial" w:eastAsia="Arial" w:hAnsi="Arial"/>
                <w:sz w:val="20"/>
                <w:szCs w:val="20"/>
                <w:color w:val="auto"/>
                <w:w w:val="87"/>
              </w:rPr>
              <w:t>3,000,000</w:t>
            </w:r>
          </w:p>
        </w:tc>
        <w:tc>
          <w:tcPr>
            <w:tcW w:w="1000" w:type="dxa"/>
            <w:vAlign w:val="bottom"/>
            <w:tcBorders>
              <w:bottom w:val="single" w:sz="8" w:color="auto"/>
            </w:tcBorders>
          </w:tcPr>
          <w:p>
            <w:pPr>
              <w:spacing w:after="0"/>
              <w:rPr>
                <w:sz w:val="22"/>
                <w:szCs w:val="22"/>
                <w:color w:val="auto"/>
              </w:rPr>
            </w:pPr>
          </w:p>
        </w:tc>
      </w:tr>
      <w:tr>
        <w:trPr>
          <w:trHeight w:val="20"/>
        </w:trPr>
        <w:tc>
          <w:tcPr>
            <w:tcW w:w="7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49"/>
        </w:trPr>
        <w:tc>
          <w:tcPr>
            <w:tcW w:w="7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SCHEDULE B-1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Pricing Terms</w:t>
      </w:r>
    </w:p>
    <w:p>
      <w:pPr>
        <w:spacing w:after="0" w:line="216"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Company is selling 3,000,000 shares of Common Stock.</w:t>
      </w:r>
    </w:p>
    <w:p>
      <w:pPr>
        <w:spacing w:after="0" w:line="215" w:lineRule="exact"/>
        <w:rPr>
          <w:rFonts w:ascii="Arial" w:cs="Arial" w:eastAsia="Arial" w:hAnsi="Arial"/>
          <w:sz w:val="20"/>
          <w:szCs w:val="20"/>
          <w:color w:val="auto"/>
        </w:rPr>
      </w:pPr>
    </w:p>
    <w:p>
      <w:pPr>
        <w:ind w:firstLine="8"/>
        <w:spacing w:after="0" w:line="260" w:lineRule="auto"/>
        <w:tabs>
          <w:tab w:leader="none" w:pos="413"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Company has granted an option to the Underwriters, severally and not jointly, to purchase up to an additional 450,000 shares of Common Stock.</w:t>
      </w:r>
    </w:p>
    <w:p>
      <w:pPr>
        <w:spacing w:after="0" w:line="176" w:lineRule="exact"/>
        <w:rPr>
          <w:rFonts w:ascii="Arial" w:cs="Arial" w:eastAsia="Arial" w:hAnsi="Arial"/>
          <w:sz w:val="20"/>
          <w:szCs w:val="20"/>
          <w:color w:val="auto"/>
        </w:rPr>
      </w:pPr>
    </w:p>
    <w:p>
      <w:pPr>
        <w:ind w:left="400" w:hanging="392"/>
        <w:spacing w:after="0"/>
        <w:tabs>
          <w:tab w:leader="none" w:pos="4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initial public offering price per share for the Securities shall be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0"/>
          <w:szCs w:val="20"/>
          <w:color w:val="auto"/>
        </w:rPr>
        <w:t>SCHEDULE B-2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Free Writing Prospectuses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1052195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0"/>
          <w:szCs w:val="20"/>
          <w:color w:val="auto"/>
        </w:rPr>
        <w:t>SCHEDULE B-3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List of Written Testing-the-Waters Communications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1052195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42" w:name="page43"/>
    <w:bookmarkEnd w:id="42"/>
    <w:p>
      <w:pPr>
        <w:ind w:left="10480"/>
        <w:spacing w:after="0"/>
        <w:rPr>
          <w:sz w:val="20"/>
          <w:szCs w:val="20"/>
          <w:color w:val="auto"/>
        </w:rPr>
      </w:pPr>
      <w:r>
        <w:rPr>
          <w:rFonts w:ascii="Arial" w:cs="Arial" w:eastAsia="Arial" w:hAnsi="Arial"/>
          <w:sz w:val="19"/>
          <w:szCs w:val="19"/>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Lock-up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June ___, 2023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SVB Securities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Representative of the several Underwriters</w:t>
      </w:r>
    </w:p>
    <w:p>
      <w:pPr>
        <w:spacing w:after="0" w:line="21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c/o</w:t>
      </w:r>
      <w:r>
        <w:rPr>
          <w:sz w:val="20"/>
          <w:szCs w:val="20"/>
          <w:color w:val="auto"/>
        </w:rPr>
        <w:tab/>
      </w:r>
      <w:r>
        <w:rPr>
          <w:rFonts w:ascii="Arial" w:cs="Arial" w:eastAsia="Arial" w:hAnsi="Arial"/>
          <w:sz w:val="18"/>
          <w:szCs w:val="18"/>
          <w:color w:val="auto"/>
        </w:rPr>
        <w:t>SVB Securities LLC</w:t>
      </w:r>
    </w:p>
    <w:p>
      <w:pPr>
        <w:spacing w:after="0" w:line="207" w:lineRule="auto"/>
        <w:rPr>
          <w:sz w:val="20"/>
          <w:szCs w:val="20"/>
          <w:color w:val="auto"/>
        </w:rPr>
      </w:pPr>
      <w:r>
        <w:rPr>
          <w:rFonts w:ascii="Arial" w:cs="Arial" w:eastAsia="Arial" w:hAnsi="Arial"/>
          <w:sz w:val="20"/>
          <w:szCs w:val="20"/>
          <w:color w:val="auto"/>
        </w:rPr>
        <w:t>1301 Avenue of the Americas, 12</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10019</w:t>
      </w:r>
    </w:p>
    <w:p>
      <w:pPr>
        <w:spacing w:after="0" w:line="213"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6"/>
          <w:szCs w:val="16"/>
          <w:u w:val="single" w:color="auto"/>
          <w:color w:val="auto"/>
        </w:rPr>
        <w:t>Proposed Public Offering by Axsome Therapeutics,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undersigned, a stockholder, officer and/or director of Axsome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understands that SVB Securities LLC (“</w:t>
      </w:r>
      <w:r>
        <w:rPr>
          <w:rFonts w:ascii="Arial" w:cs="Arial" w:eastAsia="Arial" w:hAnsi="Arial"/>
          <w:sz w:val="18"/>
          <w:szCs w:val="18"/>
          <w:u w:val="single" w:color="auto"/>
          <w:color w:val="auto"/>
        </w:rPr>
        <w:t>SVB Securities</w:t>
      </w:r>
      <w:r>
        <w:rPr>
          <w:rFonts w:ascii="Arial" w:cs="Arial" w:eastAsia="Arial" w:hAnsi="Arial"/>
          <w:sz w:val="18"/>
          <w:szCs w:val="18"/>
          <w:color w:val="auto"/>
        </w:rPr>
        <w:t>”) proposes to enter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the Company providing for the public offering (the “</w:t>
      </w:r>
      <w:r>
        <w:rPr>
          <w:rFonts w:ascii="Arial" w:cs="Arial" w:eastAsia="Arial" w:hAnsi="Arial"/>
          <w:sz w:val="18"/>
          <w:szCs w:val="18"/>
          <w:u w:val="single" w:color="auto"/>
          <w:color w:val="auto"/>
        </w:rPr>
        <w:t>Public Offering</w:t>
      </w:r>
      <w:r>
        <w:rPr>
          <w:rFonts w:ascii="Arial" w:cs="Arial" w:eastAsia="Arial" w:hAnsi="Arial"/>
          <w:sz w:val="18"/>
          <w:szCs w:val="18"/>
          <w:color w:val="auto"/>
        </w:rPr>
        <w:t>”) of shares (the “</w:t>
      </w:r>
      <w:r>
        <w:rPr>
          <w:rFonts w:ascii="Arial" w:cs="Arial" w:eastAsia="Arial" w:hAnsi="Arial"/>
          <w:sz w:val="18"/>
          <w:szCs w:val="18"/>
          <w:u w:val="single" w:color="auto"/>
          <w:color w:val="auto"/>
        </w:rPr>
        <w:t>Securities</w:t>
      </w:r>
      <w:r>
        <w:rPr>
          <w:rFonts w:ascii="Arial" w:cs="Arial" w:eastAsia="Arial" w:hAnsi="Arial"/>
          <w:sz w:val="18"/>
          <w:szCs w:val="18"/>
          <w:color w:val="auto"/>
        </w:rPr>
        <w:t>”) of the Company’s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that, during the period beginning on the date hereof and ending on the date that is 90 days from the date of the Underwriting Agreement (the “</w:t>
      </w:r>
      <w:r>
        <w:rPr>
          <w:rFonts w:ascii="Arial" w:cs="Arial" w:eastAsia="Arial" w:hAnsi="Arial"/>
          <w:sz w:val="18"/>
          <w:szCs w:val="18"/>
          <w:u w:val="single" w:color="auto"/>
          <w:color w:val="auto"/>
        </w:rPr>
        <w:t>Lock-Up Period</w:t>
      </w:r>
      <w:r>
        <w:rPr>
          <w:rFonts w:ascii="Arial" w:cs="Arial" w:eastAsia="Arial" w:hAnsi="Arial"/>
          <w:sz w:val="18"/>
          <w:szCs w:val="18"/>
          <w:color w:val="auto"/>
        </w:rPr>
        <w:t>”), the undersigned will not, without the prior written consent of SVB Securities,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8"/>
          <w:szCs w:val="18"/>
          <w:u w:val="single" w:color="auto"/>
          <w:color w:val="auto"/>
        </w:rPr>
        <w:t>Lock-Up Securities</w:t>
      </w:r>
      <w:r>
        <w:rPr>
          <w:rFonts w:ascii="Arial" w:cs="Arial" w:eastAsia="Arial" w:hAnsi="Arial"/>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7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Notwithstanding the foregoing, and subject to the conditions below, the undersigned may transfer Lock-Up Securities without the prior written consent of SVB Securities, provided, in each case, that (1) SVB Securities receives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 (4) the undersigned does not otherwise voluntarily effect any public filing or report regarding such transfers (other than a filing on a Form 5 made after the expiration of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3" w:name="page44"/>
    <w:bookmarkEnd w:id="43"/>
    <w:p>
      <w:pPr>
        <w:ind w:left="1500" w:hanging="743"/>
        <w:spacing w:after="0"/>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as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gifts;</w:t>
      </w:r>
    </w:p>
    <w:p>
      <w:pPr>
        <w:spacing w:after="0" w:line="215" w:lineRule="exact"/>
        <w:rPr>
          <w:rFonts w:ascii="Arial" w:cs="Arial" w:eastAsia="Arial" w:hAnsi="Arial"/>
          <w:sz w:val="20"/>
          <w:szCs w:val="20"/>
          <w:color w:val="auto"/>
        </w:rPr>
      </w:pPr>
    </w:p>
    <w:p>
      <w:pPr>
        <w:jc w:val="both"/>
        <w:ind w:left="1500" w:hanging="743"/>
        <w:spacing w:after="0" w:line="250" w:lineRule="auto"/>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85" w:lineRule="exact"/>
        <w:rPr>
          <w:rFonts w:ascii="Arial" w:cs="Arial" w:eastAsia="Arial" w:hAnsi="Arial"/>
          <w:sz w:val="20"/>
          <w:szCs w:val="20"/>
          <w:color w:val="auto"/>
        </w:rPr>
      </w:pPr>
    </w:p>
    <w:p>
      <w:pPr>
        <w:jc w:val="both"/>
        <w:ind w:left="1500" w:hanging="743"/>
        <w:spacing w:after="0" w:line="250" w:lineRule="auto"/>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 a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85" w:lineRule="exact"/>
        <w:rPr>
          <w:rFonts w:ascii="Arial" w:cs="Arial" w:eastAsia="Arial" w:hAnsi="Arial"/>
          <w:sz w:val="20"/>
          <w:szCs w:val="20"/>
          <w:color w:val="auto"/>
        </w:rPr>
      </w:pPr>
    </w:p>
    <w:p>
      <w:pPr>
        <w:ind w:left="1500" w:hanging="743"/>
        <w:spacing w:after="0"/>
        <w:tabs>
          <w:tab w:leader="none" w:pos="15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to the undersigned’s affiliates or to any investment fund or other entity controlled or managed by the undersigned;</w:t>
      </w:r>
    </w:p>
    <w:p>
      <w:pPr>
        <w:spacing w:after="0" w:line="227" w:lineRule="exact"/>
        <w:rPr>
          <w:rFonts w:ascii="Arial" w:cs="Arial" w:eastAsia="Arial" w:hAnsi="Arial"/>
          <w:sz w:val="19"/>
          <w:szCs w:val="19"/>
          <w:color w:val="auto"/>
        </w:rPr>
      </w:pPr>
    </w:p>
    <w:p>
      <w:pPr>
        <w:ind w:left="1500" w:hanging="743"/>
        <w:spacing w:after="0"/>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pursuant to a qualified domestic relations order or in connection with a divorce settlement;</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by will or intestate succession upon the death of the undersigned; or</w:t>
      </w:r>
    </w:p>
    <w:p>
      <w:pPr>
        <w:spacing w:after="0" w:line="215" w:lineRule="exact"/>
        <w:rPr>
          <w:rFonts w:ascii="Arial" w:cs="Arial" w:eastAsia="Arial" w:hAnsi="Arial"/>
          <w:sz w:val="20"/>
          <w:szCs w:val="20"/>
          <w:color w:val="auto"/>
        </w:rPr>
      </w:pPr>
    </w:p>
    <w:p>
      <w:pPr>
        <w:ind w:left="1500" w:hanging="743"/>
        <w:spacing w:after="0"/>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the Company in satisfaction of any tax withholding obligation.</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 (2) the exercise or exchange by the undersigned of any option or warrant to acquire any shares of Common Stock or options to purchase shares of Common Stock, in each case for cash or on a “cashless” or “net exercise” basis, pursuant to any stock option, stock bonus or other stock plan or arrangement; provided, however, that the underlying shares of Common Stock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letter; and (4) the conversion of outstanding preferred stock of the Company into shares of Common Stock, provided that any such shares received upon such conversion shall be subject to the restrictions on transfer set forth in this letter.</w:t>
      </w:r>
    </w:p>
    <w:p>
      <w:pPr>
        <w:spacing w:after="0" w:line="18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Notwithstanding anything herein to the contrary, nothing herein shall prevent the undersigned from (1) establishing a 10b5-1 trading plan that complies with Rule 10b5-1 under the Exchange Act (“</w:t>
      </w:r>
      <w:r>
        <w:rPr>
          <w:rFonts w:ascii="Arial" w:cs="Arial" w:eastAsia="Arial" w:hAnsi="Arial"/>
          <w:sz w:val="18"/>
          <w:szCs w:val="18"/>
          <w:u w:val="single" w:color="auto"/>
          <w:color w:val="auto"/>
        </w:rPr>
        <w:t>10b5-1 Trading Plan</w:t>
      </w:r>
      <w:r>
        <w:rPr>
          <w:rFonts w:ascii="Arial" w:cs="Arial" w:eastAsia="Arial" w:hAnsi="Arial"/>
          <w:sz w:val="18"/>
          <w:szCs w:val="18"/>
          <w:color w:val="auto"/>
        </w:rPr>
        <w:t>”) or from amending an existing 10b5-1 Trading Plan so long as there are no sales of Lock-Up Securities under any such 10b5-1 Trading Plan during the Lock-Up Period or (2) from consummating any sales during the Lock-Up Period that are made pursuant to a 10b5-1 Trading Plan that was entered into prior to the date hereof, provided that (a) the undersigned states in any required public disclosure that such sales were made pursuant to a 10b5-1 Trading Plan and (b) the undersigned does not otherwise voluntarily effect any public filing or report regarding such sales.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color w:val="auto"/>
        </w:rPr>
        <w:t>shall be released from the undersigned’s obligations hereunder, upon the earliest to occur, if any, of (i) prior to the execution of the Underwriting Agreement, the Company advises SVB Securities in writing that it has determined not to proceed with the Public Offering; (ii) the Underwriting Agreement is executed but is terminated prior to the closing of the Public Offering (other than the provisions thereof which survive termination), or (iii) July 30, 2023, in the event that the Underwriting Agreement has not been executed by such date.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5" w:name="page46"/>
    <w:bookmarkEnd w:id="45"/>
    <w:p>
      <w:pPr>
        <w:ind w:left="45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xml:space="preserve">Name of Security Holder </w:t>
      </w:r>
      <w:r>
        <w:rPr>
          <w:rFonts w:ascii="Arial" w:cs="Arial" w:eastAsia="Arial" w:hAnsi="Arial"/>
          <w:sz w:val="20"/>
          <w:szCs w:val="20"/>
          <w:i w:val="1"/>
          <w:iCs w:val="1"/>
          <w:color w:val="auto"/>
        </w:rPr>
        <w:t>(Print exact name</w:t>
      </w: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By:________________________________________</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If not signing in an individual capacity:</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xml:space="preserve">Name of Authorized Signatory </w:t>
      </w:r>
      <w:r>
        <w:rPr>
          <w:rFonts w:ascii="Arial" w:cs="Arial" w:eastAsia="Arial" w:hAnsi="Arial"/>
          <w:sz w:val="20"/>
          <w:szCs w:val="20"/>
          <w:i w:val="1"/>
          <w:iCs w:val="1"/>
          <w:color w:val="auto"/>
        </w:rPr>
        <w:t>(Print</w:t>
      </w:r>
      <w:r>
        <w:rPr>
          <w:rFonts w:ascii="Arial" w:cs="Arial" w:eastAsia="Arial" w:hAnsi="Arial"/>
          <w:sz w:val="20"/>
          <w:szCs w:val="20"/>
          <w:color w:val="auto"/>
        </w:rPr>
        <w:t>)</w:t>
      </w:r>
    </w:p>
    <w:p>
      <w:pPr>
        <w:spacing w:after="0" w:line="200"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 xml:space="preserve">Title of Authorized Signatory </w:t>
      </w:r>
      <w:r>
        <w:rPr>
          <w:rFonts w:ascii="Arial" w:cs="Arial" w:eastAsia="Arial" w:hAnsi="Arial"/>
          <w:sz w:val="20"/>
          <w:szCs w:val="20"/>
          <w:i w:val="1"/>
          <w:iCs w:val="1"/>
          <w:color w:val="auto"/>
        </w:rPr>
        <w:t>(Print</w:t>
      </w:r>
      <w:r>
        <w:rPr>
          <w:rFonts w:ascii="Arial" w:cs="Arial" w:eastAsia="Arial" w:hAnsi="Arial"/>
          <w:sz w:val="20"/>
          <w:szCs w:val="20"/>
          <w:color w:val="auto"/>
        </w:rPr>
        <w:t>)</w:t>
      </w:r>
    </w:p>
    <w:p>
      <w:pPr>
        <w:spacing w:after="0" w:line="213" w:lineRule="exact"/>
        <w:rPr>
          <w:sz w:val="20"/>
          <w:szCs w:val="20"/>
          <w:color w:val="auto"/>
        </w:rPr>
      </w:pPr>
    </w:p>
    <w:p>
      <w:pPr>
        <w:ind w:left="4500"/>
        <w:spacing w:after="0" w:line="260" w:lineRule="auto"/>
        <w:rPr>
          <w:sz w:val="20"/>
          <w:szCs w:val="20"/>
          <w:color w:val="auto"/>
        </w:rPr>
      </w:pPr>
      <w:r>
        <w:rPr>
          <w:rFonts w:ascii="Arial" w:cs="Arial" w:eastAsia="Arial" w:hAnsi="Arial"/>
          <w:sz w:val="20"/>
          <w:szCs w:val="20"/>
          <w:i w:val="1"/>
          <w:iCs w:val="1"/>
          <w:color w:val="auto"/>
        </w:rPr>
        <w:t>(indicate capacity of person signing if signing as custodian, trustee, or on behalf of an entity)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98" w:right="47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DLA Piper LLP (US)</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51 John F. Kennedy Parkway, Suite 120</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Short Hills, New Jersey 07078</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www.dlapiper.com</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 973-520-2550</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F: 973-520-2551</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Attorneys Responsible for Short Hills Office:</w:t>
      </w:r>
    </w:p>
    <w:p>
      <w:pPr>
        <w:spacing w:after="0" w:line="4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Emilio Ragosa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28,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21"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You have requested our opinion with respect to certain matters in connection with the sale and issuance by Axsome Therapeutics, Inc., a Delaware corporation (the “Company”), of up to an aggregate of 3,450,000 shares (the “Shares”) of the Company’s common stock, par value $0.0001 per share (the “Common Stock”), pursuant to a Registration Statement on Form S-3 (File 333-268664) (the “Registration Statement”) filed with the Securities and Exchange Commission (the “Commission”) under the Securities Act of 1933, as amended (the “Act”), the related prospectus dated December 2, 2022 (the “Base Prospectus”), as supplemented by the prospectus supplement dated June 28, 2023, filed with the Commission pursuant to Rule 424(b) promulgated under the Act (the “Prospectus Supplement” and together with the Base Prospectus, the “Prospectus”). The Shares include shares of Common Stock that are subject to an option to purchase additional shares granted to the underwriters in the offering.</w:t>
      </w:r>
    </w:p>
    <w:p>
      <w:pPr>
        <w:spacing w:after="0" w:line="11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In connection with this opinion, we have examined and relied upon the Registration Statement and the related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w:t>
      </w:r>
    </w:p>
    <w:p>
      <w:pPr>
        <w:spacing w:after="0" w:line="11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In rendering this opinion, we have assumed the genuineness and authenticity of all signatures on original documents; the genuineness and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prerequisites to the effectiveness of such documents (other than with respect to the Company).</w:t>
      </w:r>
    </w:p>
    <w:p>
      <w:pPr>
        <w:spacing w:after="0" w:line="10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On the basis of the foregoing, and in reliance thereon, we are of the opinion that the Shares have been duly and validly authorized and, when issued and sold pursuant to that certain Underwriting Agreement by and among the Company, SVB Securities LLC, as representative of the several underwriters named in Schedule A thereto, dated June 28, 2023, in accordance with the Registration Statement and the related Prospectus, will be validly issued, fully paid and nonassessable.</w:t>
      </w:r>
    </w:p>
    <w:p>
      <w:pPr>
        <w:spacing w:after="0" w:line="11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We consent to the reference to our firm under the caption “Legal Matters” in the Prospectus Supplement and to the filing of this opinion as an exhibit to a Current Report of the Company on Form 8-K. In giving our consent, we do not thereby admit that we are in the category of persons whose consent is required under Section 7 of the Act or the rules and regulations of the Commission thereunder.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831215" cy="471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312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Proposed Public Offering of Common Stock</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NEW YORK, June 27, 2023 (Globe Newswire) – Axsome Therapeutics, Inc. (NASDAQ: AXSM) (“Axsome” or the “Company”), a biopharmaceutical company developing novel therapies for the management of central nervous system (CNS) disorders, today announced that it intends to offer and sell shares of its common stock, subject to market and other conditions, in an underwritten public offering. In addition, Axsome intends to grant the underwriters a 30-day option to purchase up to an additional 15% of the shares of its common stock offered in the public offering, on the same terms and conditions. All of the shares in the offering are to be sold by Axsome.</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intends to use the proceeds from this offering to advance its late-stage pipeline, including funding existing and potential new clinical programs, products, and product candidates, to expand its commercialization efforts, and for other general corporate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is acting as sole bookrunning manager for the offering.</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shares of common stock described above are being offered by Axsome pursuant to its previously filed shelf registration statement on Form S-3, which automatically became effective upon filing with the Securities and Exchange Commission (the “SEC”). A preliminary prospectus supplement and the accompanying prospectus relating to the offering will be filed with the SEC and made available on the SEC’s website at www.sec.gov. The offering may be made only by means of a prospectus supplement and accompanying prospectus, copies of which, when available, may be obtained by contacting SVB Securities LLC, Attention: Syndicate Department, 53 State Street, 40th Floor, Boston, MA 02109, by telephone at 1-800-808-7525, ext. 6105, or by email at syndicate@svbsecurities.com.</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anticipated final terms, timing, and completion of the proposed offering; the intended use of net proceeds from the proposed offering; the success, timing, and cost of the Company’s ongoing clinical trials and anticipated clinical trials for the Company’s current product candidates, including statements regarding the timing of initiation and completion of the trials; the timing of and the Company’s ability to obtain and maintain U.S. Food and Drug Administration or other regulatory authority approval of, or other action with respect to, the Company’s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rPr>
          <w:sz w:val="20"/>
          <w:szCs w:val="20"/>
          <w:color w:val="auto"/>
        </w:rPr>
      </w:pPr>
      <w:r>
        <w:rPr>
          <w:rFonts w:ascii="Arial" w:cs="Arial" w:eastAsia="Arial" w:hAnsi="Arial"/>
          <w:sz w:val="18"/>
          <w:szCs w:val="18"/>
          <w:color w:val="auto"/>
        </w:rPr>
        <w:t>Email: dopland@axsome.com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805815" cy="454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5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Pricing of Public Offering of $225 Million of Shares of Common Stock</w:t>
      </w:r>
    </w:p>
    <w:p>
      <w:pPr>
        <w:spacing w:after="0" w:line="3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YORK, June 28, 2023 (Globe Newswire) -- Axsome Therapeutics, Inc. (NASDAQ: AXSM) (“Axsome” or the “Company”), a biopharmaceutical company developing and delivering novel therapies for the management of central nervous system (CNS) disorders, today announced the pricing of an underwritten public offering of 3,000,000 shares of its common stock at a public offering price of $75.00 per share. The proceeds from the offering, before deducting the underwriting discounts and commissions and other offering expenses payable by Axsome, are expected to be $225.0 million. In addition, Axsome has granted the underwriters a 30-day option to purchase up to 450,000 additional shares of common stock at the public offering price, less the underwriting discounts and commissions. The offering is expected to close on or about June 30, 2023, subject to customary closing conditions.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intends to use the proceeds from this offering to advance its late-stage pipeline, including funding existing and potential new clinical programs, products, and product candidates, to expand its commercialization efforts, and for other general corporate purposes.</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SVB Securities is acting as lead bookrunning manager for the offering. Guggenheim Securities, Truist Securities, William Blair and Cantor are acting as joint bookrunning managers, and Ladenburg Thalmann, Mizuho and H.C. Wainwright &amp; Co. are acting as lead managers for the offering.</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shares of common stock described above are being offered by Axsome pursuant to its previously filed shelf registration statement on Form S-3, which automatically became effective upon filing with the Securities and Exchange Commission (the “SEC”). The offering may be made only by means of a prospectus supplement and accompanying prospectus. A preliminary prospectus supplement and the accompanying prospectus relating to the offering have been filed with the SEC and are available on the SEC’s website at www.sec.gov. A final prospectus supplement and accompanying prospectus will be filed with the SEC, copies of which, when available, may be obtained by contacting SVB Securities LLC, Attention: Syndicate Department, 53 State Street, 40th Floor, Boston, MA 02109, by telephone at 1-800-808-7525, ext. 6105, or by email at syndicate@svbsecurities.com.</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timing and completion of the offering; the intended use of net proceeds from the offering; the success, timing, and cost of the Company’s ongoing clinical trials and anticipated clinical trials for the Company’s current product candidates, including statements regarding the timing of initiation and completion of the trials; the timing of and the Company’s ability to obtain and maintain U.S. Food and Drug Administration or other regulatory authority approval of, or other action with respect to, the Company’s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rPr>
          <w:sz w:val="20"/>
          <w:szCs w:val="20"/>
          <w:color w:val="auto"/>
        </w:rPr>
      </w:pPr>
      <w:r>
        <w:rPr>
          <w:rFonts w:ascii="Arial" w:cs="Arial" w:eastAsia="Arial" w:hAnsi="Arial"/>
          <w:sz w:val="18"/>
          <w:szCs w:val="18"/>
          <w:color w:val="auto"/>
        </w:rPr>
        <w:t>Email: dopland@axsome.com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lvl w:ilvl="1">
      <w:lvlJc w:val="left"/>
      <w:lvlText w:val="(%2)"/>
      <w:numFmt w:val="lowerLetter"/>
      <w:start w:val="9"/>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lowerRoman"/>
      <w:start w:val="3"/>
    </w:lvl>
  </w:abstractNum>
  <w:abstractNum w:abstractNumId="4">
    <w:nsid w:val="2443A858"/>
    <w:multiLevelType w:val="hybridMultilevel"/>
    <w:lvl w:ilvl="0">
      <w:lvlJc w:val="left"/>
      <w:lvlText w:val="%1"/>
      <w:numFmt w:val="upperLetter"/>
      <w:start w:val="1"/>
    </w:lvl>
    <w:lvl w:ilvl="1">
      <w:lvlJc w:val="left"/>
      <w:lvlText w:val="(%2)"/>
      <w:numFmt w:val="lowerRoman"/>
      <w:start w:val="4"/>
    </w:lvl>
  </w:abstractNum>
  <w:abstractNum w:abstractNumId="5">
    <w:nsid w:val="2D1D5AE9"/>
    <w:multiLevelType w:val="hybridMultilevel"/>
    <w:lvl w:ilvl="0">
      <w:lvlJc w:val="left"/>
      <w:lvlText w:val="(%1)"/>
      <w:numFmt w:val="upperLetter"/>
      <w:start w:val="2"/>
    </w:lvl>
    <w:lvl w:ilvl="1">
      <w:lvlJc w:val="left"/>
      <w:lvlText w:val="(%2)"/>
      <w:numFmt w:val="lowerRoman"/>
      <w:start w:val="5"/>
    </w:lvl>
  </w:abstractNum>
  <w:abstractNum w:abstractNumId="6">
    <w:nsid w:val="6763845E"/>
    <w:multiLevelType w:val="hybridMultilevel"/>
    <w:lvl w:ilvl="0">
      <w:lvlJc w:val="left"/>
      <w:lvlText w:val="(%1)"/>
      <w:numFmt w:val="lowerRoman"/>
      <w:start w:val="11"/>
    </w:lvl>
  </w:abstractNum>
  <w:abstractNum w:abstractNumId="7">
    <w:nsid w:val="75A2A8D4"/>
    <w:multiLevelType w:val="hybridMultilevel"/>
    <w:lvl w:ilvl="0">
      <w:lvlJc w:val="left"/>
      <w:lvlText w:val="(%1)"/>
      <w:numFmt w:val="lowerRoman"/>
      <w:start w:val="13"/>
    </w:lvl>
  </w:abstractNum>
  <w:abstractNum w:abstractNumId="8">
    <w:nsid w:val="8EDBDAB"/>
    <w:multiLevelType w:val="hybridMultilevel"/>
    <w:lvl w:ilvl="0">
      <w:lvlJc w:val="left"/>
      <w:lvlText w:val="(%1)"/>
      <w:numFmt w:val="lowerRoman"/>
      <w:start w:val="18"/>
    </w:lvl>
  </w:abstractNum>
  <w:abstractNum w:abstractNumId="9">
    <w:nsid w:val="79838CB2"/>
    <w:multiLevelType w:val="hybridMultilevel"/>
    <w:lvl w:ilvl="0">
      <w:lvlJc w:val="left"/>
      <w:lvlText w:val="%1"/>
      <w:numFmt w:val="lowerRoman"/>
      <w:start w:val="1"/>
    </w:lvl>
    <w:lvl w:ilvl="1">
      <w:lvlJc w:val="left"/>
      <w:lvlText w:val="(%2)"/>
      <w:numFmt w:val="lowerRoman"/>
      <w:start w:val="22"/>
    </w:lvl>
  </w:abstractNum>
  <w:abstractNum w:abstractNumId="10">
    <w:nsid w:val="4353D0CD"/>
    <w:multiLevelType w:val="hybridMultilevel"/>
    <w:lvl w:ilvl="0">
      <w:lvlJc w:val="left"/>
      <w:lvlText w:val="(%1)"/>
      <w:numFmt w:val="lowerRoman"/>
      <w:start w:val="2"/>
    </w:lvl>
    <w:lvl w:ilvl="1">
      <w:lvlJc w:val="left"/>
      <w:lvlText w:val="%2"/>
      <w:numFmt w:val="lowerRoman"/>
      <w:start w:val="1"/>
    </w:lvl>
  </w:abstractNum>
  <w:abstractNum w:abstractNumId="11">
    <w:nsid w:val="B03E0C6"/>
    <w:multiLevelType w:val="hybridMultilevel"/>
    <w:lvl w:ilvl="0">
      <w:lvlJc w:val="left"/>
      <w:lvlText w:val="(%1)"/>
      <w:numFmt w:val="lowerRoman"/>
      <w:start w:val="23"/>
    </w:lvl>
  </w:abstractNum>
  <w:abstractNum w:abstractNumId="12">
    <w:nsid w:val="189A769B"/>
    <w:multiLevelType w:val="hybridMultilevel"/>
    <w:lvl w:ilvl="0">
      <w:lvlJc w:val="left"/>
      <w:lvlText w:val="%1"/>
      <w:numFmt w:val="upperLetter"/>
      <w:start w:val="1"/>
    </w:lvl>
    <w:lvl w:ilvl="1">
      <w:lvlJc w:val="left"/>
      <w:lvlText w:val="(%2)"/>
      <w:numFmt w:val="lowerRoman"/>
      <w:start w:val="29"/>
    </w:lvl>
  </w:abstractNum>
  <w:abstractNum w:abstractNumId="13">
    <w:nsid w:val="54E49EB4"/>
    <w:multiLevelType w:val="hybridMultilevel"/>
    <w:lvl w:ilvl="0">
      <w:lvlJc w:val="left"/>
      <w:lvlText w:val="(%1)"/>
      <w:numFmt w:val="upperLetter"/>
      <w:start w:val="1"/>
    </w:lvl>
    <w:lvl w:ilvl="1">
      <w:lvlJc w:val="left"/>
      <w:lvlText w:val="%2"/>
      <w:numFmt w:val="lowerRoman"/>
      <w:start w:val="1"/>
    </w:lvl>
  </w:abstractNum>
  <w:abstractNum w:abstractNumId="14">
    <w:nsid w:val="71F32454"/>
    <w:multiLevelType w:val="hybridMultilevel"/>
    <w:lvl w:ilvl="0">
      <w:lvlJc w:val="left"/>
      <w:lvlText w:val="(%1)"/>
      <w:numFmt w:val="lowerRoman"/>
      <w:start w:val="31"/>
    </w:lvl>
  </w:abstractNum>
  <w:abstractNum w:abstractNumId="15">
    <w:nsid w:val="2CA88611"/>
    <w:multiLevelType w:val="hybridMultilevel"/>
    <w:lvl w:ilvl="0">
      <w:lvlJc w:val="left"/>
      <w:lvlText w:val="(%1)"/>
      <w:numFmt w:val="lowerLetter"/>
      <w:start w:val="2"/>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lvl w:ilvl="1">
      <w:lvlJc w:val="left"/>
      <w:lvlText w:val="(%2)"/>
      <w:numFmt w:val="lowerLetter"/>
      <w:start w:val="1"/>
    </w:lvl>
  </w:abstractNum>
  <w:abstractNum w:abstractNumId="18">
    <w:nsid w:val="3A95F874"/>
    <w:multiLevelType w:val="hybridMultilevel"/>
    <w:lvl w:ilvl="0">
      <w:lvlJc w:val="left"/>
      <w:lvlText w:val="(%1)"/>
      <w:numFmt w:val="lowerLetter"/>
      <w:start w:val="22"/>
    </w:lvl>
    <w:lvl w:ilvl="1">
      <w:lvlJc w:val="left"/>
      <w:lvlText w:val="%2"/>
      <w:numFmt w:val="lowerLetter"/>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Letter"/>
      <w:start w:val="5"/>
    </w:lvl>
  </w:abstractNum>
  <w:abstractNum w:abstractNumId="21">
    <w:nsid w:val="7C3DBD3D"/>
    <w:multiLevelType w:val="hybridMultilevel"/>
    <w:lvl w:ilvl="0">
      <w:lvlJc w:val="left"/>
      <w:lvlText w:val="(%1)"/>
      <w:numFmt w:val="lowerLetter"/>
      <w:start w:val="1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lvl w:ilvl="1">
      <w:lvlJc w:val="left"/>
      <w:lvlText w:val="(%2)"/>
      <w:numFmt w:val="lowerLetter"/>
      <w:start w:val="4"/>
    </w:lvl>
  </w:abstractNum>
  <w:abstractNum w:abstractNumId="26">
    <w:nsid w:val="3006C83E"/>
    <w:multiLevelType w:val="hybridMultilevel"/>
    <w:lvl w:ilvl="0">
      <w:lvlJc w:val="left"/>
      <w:lvlText w:val="(%1)"/>
      <w:numFmt w:val="lowerLetter"/>
      <w:start w:val="5"/>
    </w:lvl>
    <w:lvl w:ilvl="1">
      <w:lvlJc w:val="left"/>
      <w:lvlText w:val="(%2)"/>
      <w:numFmt w:val="lowerLetter"/>
      <w:start w:val="7"/>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1"/>
      <w:numFmt w:val="lowerLetter"/>
      <w:start w:val="1"/>
    </w:lvl>
    <w:lvl w:ilvl="1">
      <w:lvlJc w:val="left"/>
      <w:lvlText w:val="(%2)"/>
      <w:numFmt w:val="lowerRoman"/>
      <w:start w:val="2"/>
    </w:lvl>
  </w:abstractNum>
  <w:abstractNum w:abstractNumId="29">
    <w:nsid w:val="5577F8E1"/>
    <w:multiLevelType w:val="hybridMultilevel"/>
    <w:lvl w:ilvl="0">
      <w:lvlJc w:val="left"/>
      <w:lvlText w:val="(%1)"/>
      <w:numFmt w:val="lowerLetter"/>
      <w:start w:val="11"/>
    </w:lvl>
    <w:lvl w:ilvl="1">
      <w:lvlJc w:val="left"/>
      <w:lvlText w:val="%2"/>
      <w:numFmt w:val="lowerRoman"/>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9"/>
    </w:lvl>
  </w:abstractNum>
  <w:abstractNum w:abstractNumId="31">
    <w:nsid w:val="5072367"/>
    <w:multiLevelType w:val="hybridMultilevel"/>
    <w:lvl w:ilvl="0">
      <w:lvlJc w:val="left"/>
      <w:lvlText w:val="%1"/>
      <w:numFmt w:val="lowerRoman"/>
      <w:start w:val="1"/>
    </w:lvl>
    <w:lvl w:ilvl="1">
      <w:lvlJc w:val="left"/>
      <w:lvlText w:val="(%2)"/>
      <w:numFmt w:val="lowerRoman"/>
      <w:start w:val="2"/>
    </w:lvl>
  </w:abstractNum>
  <w:abstractNum w:abstractNumId="32">
    <w:nsid w:val="3804823E"/>
    <w:multiLevelType w:val="hybridMultilevel"/>
    <w:lvl w:ilvl="0">
      <w:lvlJc w:val="left"/>
      <w:lvlText w:val="(%1)"/>
      <w:numFmt w:val="lowerRoman"/>
      <w:start w:val="2"/>
    </w:lvl>
    <w:lvl w:ilvl="1">
      <w:lvlJc w:val="left"/>
      <w:lvlText w:val="%2"/>
      <w:numFmt w:val="lowerRoman"/>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4"/>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2"/>
    </w:lvl>
  </w:abstractNum>
  <w:abstractNum w:abstractNumId="37">
    <w:nsid w:val="5E884ADC"/>
    <w:multiLevelType w:val="hybridMultilevel"/>
    <w:lvl w:ilvl="0">
      <w:lvlJc w:val="left"/>
      <w:lvlText w:val="(%1)"/>
      <w:numFmt w:val="lowerRoman"/>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2023-06-29T05:15:58Z</dcterms:created>
  <dcterms:modified xsi:type="dcterms:W3CDTF">2023-06-29T05:15:58Z</dcterms:modified>
</cp:coreProperties>
</file>