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174625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w:t>
      </w:r>
      <w:r>
        <w:rPr>
          <w:rFonts w:ascii="Arial" w:cs="Arial" w:eastAsia="Arial" w:hAnsi="Arial"/>
          <w:sz w:val="22"/>
          <w:szCs w:val="22"/>
          <w:b w:val="1"/>
          <w:bCs w:val="1"/>
          <w:u w:val="single" w:color="auto"/>
          <w:color w:val="auto"/>
        </w:rPr>
        <w:t>ASHINGTON, D.C. 205</w:t>
      </w:r>
      <w:r>
        <w:rPr>
          <w:rFonts w:ascii="Arial" w:cs="Arial" w:eastAsia="Arial" w:hAnsi="Arial"/>
          <w:sz w:val="22"/>
          <w:szCs w:val="22"/>
          <w:b w:val="1"/>
          <w:bCs w:val="1"/>
          <w:color w:val="auto"/>
        </w:rPr>
        <w:t>49</w:t>
      </w:r>
    </w:p>
    <w:p>
      <w:pPr>
        <w:spacing w:after="0" w:line="14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24130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6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94"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Date of Report (Date of earliest event reported): March 01,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68580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39"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Axsome Therapeutics, Inc.</w:t>
      </w:r>
    </w:p>
    <w:p>
      <w:pPr>
        <w:spacing w:after="0" w:line="76"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(Exact name of Registrant as Specified in Its Charter)</w:t>
      </w:r>
    </w:p>
    <w:p>
      <w:pPr>
        <w:spacing w:after="0" w:line="154" w:lineRule="exact"/>
        <w:rPr>
          <w:sz w:val="24"/>
          <w:szCs w:val="24"/>
          <w:color w:val="auto"/>
        </w:rPr>
      </w:pPr>
    </w:p>
    <w:tbl>
      <w:tblPr>
        <w:tblLayout w:type="fixed"/>
        <w:tblInd w:w="1120" w:type="dxa"/>
        <w:tblCellMar>
          <w:top w:w="0" w:type="dxa"/>
          <w:left w:w="0" w:type="dxa"/>
          <w:bottom w:w="0" w:type="dxa"/>
          <w:right w:w="0" w:type="dxa"/>
        </w:tblCellMar>
      </w:tblPr>
      <w:tr>
        <w:trPr>
          <w:trHeight w:val="176"/>
        </w:trPr>
        <w:tc>
          <w:tcPr>
            <w:tcW w:w="3380" w:type="dxa"/>
            <w:vAlign w:val="bottom"/>
          </w:tcPr>
          <w:p>
            <w:pPr>
              <w:jc w:val="center"/>
              <w:ind w:right="901"/>
              <w:spacing w:after="0" w:line="176" w:lineRule="exact"/>
              <w:rPr>
                <w:sz w:val="20"/>
                <w:szCs w:val="20"/>
                <w:color w:val="auto"/>
              </w:rPr>
            </w:pPr>
            <w:r>
              <w:rPr>
                <w:rFonts w:ascii="Arial" w:cs="Arial" w:eastAsia="Arial" w:hAnsi="Arial"/>
                <w:sz w:val="18"/>
                <w:szCs w:val="18"/>
                <w:b w:val="1"/>
                <w:bCs w:val="1"/>
                <w:color w:val="auto"/>
                <w:w w:val="91"/>
              </w:rPr>
              <w:t>Delaware</w:t>
            </w:r>
          </w:p>
        </w:tc>
        <w:tc>
          <w:tcPr>
            <w:tcW w:w="2240" w:type="dxa"/>
            <w:vAlign w:val="bottom"/>
            <w:tcBorders>
              <w:top w:val="single" w:sz="8" w:color="auto"/>
            </w:tcBorders>
          </w:tcPr>
          <w:p>
            <w:pPr>
              <w:jc w:val="right"/>
              <w:ind w:right="641"/>
              <w:spacing w:after="0" w:line="176" w:lineRule="exact"/>
              <w:rPr>
                <w:sz w:val="20"/>
                <w:szCs w:val="20"/>
                <w:color w:val="auto"/>
              </w:rPr>
            </w:pPr>
            <w:r>
              <w:rPr>
                <w:rFonts w:ascii="Arial" w:cs="Arial" w:eastAsia="Arial" w:hAnsi="Arial"/>
                <w:sz w:val="18"/>
                <w:szCs w:val="18"/>
                <w:b w:val="1"/>
                <w:bCs w:val="1"/>
                <w:color w:val="auto"/>
              </w:rPr>
              <w:t>001-37635</w:t>
            </w:r>
          </w:p>
        </w:tc>
        <w:tc>
          <w:tcPr>
            <w:tcW w:w="2720" w:type="dxa"/>
            <w:vAlign w:val="bottom"/>
          </w:tcPr>
          <w:p>
            <w:pPr>
              <w:jc w:val="right"/>
              <w:ind w:right="4"/>
              <w:spacing w:after="0" w:line="176" w:lineRule="exact"/>
              <w:rPr>
                <w:sz w:val="20"/>
                <w:szCs w:val="20"/>
                <w:color w:val="auto"/>
              </w:rPr>
            </w:pPr>
            <w:r>
              <w:rPr>
                <w:rFonts w:ascii="Arial" w:cs="Arial" w:eastAsia="Arial" w:hAnsi="Arial"/>
                <w:sz w:val="18"/>
                <w:szCs w:val="18"/>
                <w:b w:val="1"/>
                <w:bCs w:val="1"/>
                <w:color w:val="auto"/>
              </w:rPr>
              <w:t>45-4241907</w:t>
            </w:r>
          </w:p>
        </w:tc>
      </w:tr>
      <w:tr>
        <w:trPr>
          <w:trHeight w:val="135"/>
        </w:trPr>
        <w:tc>
          <w:tcPr>
            <w:tcW w:w="3380" w:type="dxa"/>
            <w:vAlign w:val="bottom"/>
          </w:tcPr>
          <w:p>
            <w:pPr>
              <w:jc w:val="center"/>
              <w:ind w:right="901"/>
              <w:spacing w:after="0" w:line="135" w:lineRule="exact"/>
              <w:rPr>
                <w:sz w:val="20"/>
                <w:szCs w:val="20"/>
                <w:color w:val="auto"/>
              </w:rPr>
            </w:pPr>
            <w:r>
              <w:rPr>
                <w:rFonts w:ascii="Arial" w:cs="Arial" w:eastAsia="Arial" w:hAnsi="Arial"/>
                <w:sz w:val="13"/>
                <w:szCs w:val="13"/>
                <w:b w:val="1"/>
                <w:bCs w:val="1"/>
                <w:color w:val="auto"/>
                <w:w w:val="95"/>
              </w:rPr>
              <w:t>(State or Other Jurisdiction</w:t>
            </w:r>
          </w:p>
        </w:tc>
        <w:tc>
          <w:tcPr>
            <w:tcW w:w="22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5"/>
              </w:rPr>
              <w:t>(Commission File Number)</w:t>
            </w:r>
          </w:p>
        </w:tc>
        <w:tc>
          <w:tcPr>
            <w:tcW w:w="2720" w:type="dxa"/>
            <w:vAlign w:val="bottom"/>
          </w:tcPr>
          <w:p>
            <w:pPr>
              <w:jc w:val="center"/>
              <w:ind w:left="1604"/>
              <w:spacing w:after="0" w:line="135" w:lineRule="exact"/>
              <w:rPr>
                <w:sz w:val="20"/>
                <w:szCs w:val="20"/>
                <w:color w:val="auto"/>
              </w:rPr>
            </w:pPr>
            <w:r>
              <w:rPr>
                <w:rFonts w:ascii="Arial" w:cs="Arial" w:eastAsia="Arial" w:hAnsi="Arial"/>
                <w:sz w:val="13"/>
                <w:szCs w:val="13"/>
                <w:b w:val="1"/>
                <w:bCs w:val="1"/>
                <w:color w:val="auto"/>
                <w:w w:val="98"/>
              </w:rPr>
              <w:t>(IRS Employer</w:t>
            </w:r>
          </w:p>
        </w:tc>
      </w:tr>
      <w:tr>
        <w:trPr>
          <w:trHeight w:val="174"/>
        </w:trPr>
        <w:tc>
          <w:tcPr>
            <w:tcW w:w="3380" w:type="dxa"/>
            <w:vAlign w:val="bottom"/>
          </w:tcPr>
          <w:p>
            <w:pPr>
              <w:jc w:val="center"/>
              <w:ind w:right="901"/>
              <w:spacing w:after="0"/>
              <w:rPr>
                <w:sz w:val="20"/>
                <w:szCs w:val="20"/>
                <w:color w:val="auto"/>
              </w:rPr>
            </w:pPr>
            <w:r>
              <w:rPr>
                <w:rFonts w:ascii="Arial" w:cs="Arial" w:eastAsia="Arial" w:hAnsi="Arial"/>
                <w:sz w:val="13"/>
                <w:szCs w:val="13"/>
                <w:b w:val="1"/>
                <w:bCs w:val="1"/>
                <w:color w:val="auto"/>
                <w:w w:val="96"/>
              </w:rPr>
              <w:t>of Incorporation)</w:t>
            </w:r>
          </w:p>
        </w:tc>
        <w:tc>
          <w:tcPr>
            <w:tcW w:w="2240" w:type="dxa"/>
            <w:vAlign w:val="bottom"/>
          </w:tcPr>
          <w:p>
            <w:pPr>
              <w:spacing w:after="0"/>
              <w:rPr>
                <w:sz w:val="15"/>
                <w:szCs w:val="15"/>
                <w:color w:val="auto"/>
              </w:rPr>
            </w:pPr>
          </w:p>
        </w:tc>
        <w:tc>
          <w:tcPr>
            <w:tcW w:w="2720" w:type="dxa"/>
            <w:vAlign w:val="bottom"/>
          </w:tcPr>
          <w:p>
            <w:pPr>
              <w:jc w:val="center"/>
              <w:ind w:left="1584"/>
              <w:spacing w:after="0"/>
              <w:rPr>
                <w:sz w:val="20"/>
                <w:szCs w:val="20"/>
                <w:color w:val="auto"/>
              </w:rPr>
            </w:pPr>
            <w:r>
              <w:rPr>
                <w:rFonts w:ascii="Arial" w:cs="Arial" w:eastAsia="Arial" w:hAnsi="Arial"/>
                <w:sz w:val="13"/>
                <w:szCs w:val="13"/>
                <w:b w:val="1"/>
                <w:bCs w:val="1"/>
                <w:color w:val="auto"/>
                <w:w w:val="96"/>
              </w:rPr>
              <w:t>Identification No.)</w:t>
            </w:r>
          </w:p>
        </w:tc>
      </w:tr>
      <w:tr>
        <w:trPr>
          <w:trHeight w:val="347"/>
        </w:trPr>
        <w:tc>
          <w:tcPr>
            <w:tcW w:w="3380" w:type="dxa"/>
            <w:vAlign w:val="bottom"/>
          </w:tcPr>
          <w:p>
            <w:pPr>
              <w:jc w:val="center"/>
              <w:ind w:right="921"/>
              <w:spacing w:after="0"/>
              <w:rPr>
                <w:sz w:val="20"/>
                <w:szCs w:val="20"/>
                <w:color w:val="auto"/>
              </w:rPr>
            </w:pPr>
            <w:r>
              <w:rPr>
                <w:rFonts w:ascii="Arial" w:cs="Arial" w:eastAsia="Arial" w:hAnsi="Arial"/>
                <w:sz w:val="18"/>
                <w:szCs w:val="18"/>
                <w:b w:val="1"/>
                <w:bCs w:val="1"/>
                <w:color w:val="auto"/>
                <w:w w:val="92"/>
              </w:rPr>
              <w:t>22 Cortlandt Street, 16th Floor</w:t>
            </w:r>
          </w:p>
        </w:tc>
        <w:tc>
          <w:tcPr>
            <w:tcW w:w="2240" w:type="dxa"/>
            <w:vAlign w:val="bottom"/>
          </w:tcPr>
          <w:p>
            <w:pPr>
              <w:spacing w:after="0"/>
              <w:rPr>
                <w:sz w:val="24"/>
                <w:szCs w:val="24"/>
                <w:color w:val="auto"/>
              </w:rPr>
            </w:pPr>
          </w:p>
        </w:tc>
        <w:tc>
          <w:tcPr>
            <w:tcW w:w="2720" w:type="dxa"/>
            <w:vAlign w:val="bottom"/>
          </w:tcPr>
          <w:p>
            <w:pPr>
              <w:spacing w:after="0"/>
              <w:rPr>
                <w:sz w:val="24"/>
                <w:szCs w:val="24"/>
                <w:color w:val="auto"/>
              </w:rPr>
            </w:pPr>
          </w:p>
        </w:tc>
      </w:tr>
      <w:tr>
        <w:trPr>
          <w:trHeight w:val="195"/>
        </w:trPr>
        <w:tc>
          <w:tcPr>
            <w:tcW w:w="3380" w:type="dxa"/>
            <w:vAlign w:val="bottom"/>
          </w:tcPr>
          <w:p>
            <w:pPr>
              <w:jc w:val="center"/>
              <w:ind w:right="921"/>
              <w:spacing w:after="0" w:line="195" w:lineRule="exact"/>
              <w:rPr>
                <w:sz w:val="20"/>
                <w:szCs w:val="20"/>
                <w:color w:val="auto"/>
              </w:rPr>
            </w:pPr>
            <w:r>
              <w:rPr>
                <w:rFonts w:ascii="Arial" w:cs="Arial" w:eastAsia="Arial" w:hAnsi="Arial"/>
                <w:sz w:val="18"/>
                <w:szCs w:val="18"/>
                <w:b w:val="1"/>
                <w:bCs w:val="1"/>
                <w:color w:val="auto"/>
                <w:w w:val="93"/>
              </w:rPr>
              <w:t>New York, New York</w:t>
            </w:r>
          </w:p>
        </w:tc>
        <w:tc>
          <w:tcPr>
            <w:tcW w:w="2240" w:type="dxa"/>
            <w:vAlign w:val="bottom"/>
          </w:tcPr>
          <w:p>
            <w:pPr>
              <w:spacing w:after="0"/>
              <w:rPr>
                <w:sz w:val="16"/>
                <w:szCs w:val="16"/>
                <w:color w:val="auto"/>
              </w:rPr>
            </w:pPr>
          </w:p>
        </w:tc>
        <w:tc>
          <w:tcPr>
            <w:tcW w:w="2720" w:type="dxa"/>
            <w:vAlign w:val="bottom"/>
          </w:tcPr>
          <w:p>
            <w:pPr>
              <w:jc w:val="right"/>
              <w:ind w:right="224"/>
              <w:spacing w:after="0" w:line="195" w:lineRule="exact"/>
              <w:rPr>
                <w:sz w:val="20"/>
                <w:szCs w:val="20"/>
                <w:color w:val="auto"/>
              </w:rPr>
            </w:pPr>
            <w:r>
              <w:rPr>
                <w:rFonts w:ascii="Arial" w:cs="Arial" w:eastAsia="Arial" w:hAnsi="Arial"/>
                <w:sz w:val="18"/>
                <w:szCs w:val="18"/>
                <w:b w:val="1"/>
                <w:bCs w:val="1"/>
                <w:color w:val="auto"/>
              </w:rPr>
              <w:t>10007</w:t>
            </w:r>
          </w:p>
        </w:tc>
      </w:tr>
      <w:tr>
        <w:trPr>
          <w:trHeight w:val="174"/>
        </w:trPr>
        <w:tc>
          <w:tcPr>
            <w:tcW w:w="3380" w:type="dxa"/>
            <w:vAlign w:val="bottom"/>
          </w:tcPr>
          <w:p>
            <w:pPr>
              <w:jc w:val="center"/>
              <w:ind w:right="901"/>
              <w:spacing w:after="0"/>
              <w:rPr>
                <w:sz w:val="20"/>
                <w:szCs w:val="20"/>
                <w:color w:val="auto"/>
              </w:rPr>
            </w:pPr>
            <w:r>
              <w:rPr>
                <w:rFonts w:ascii="Arial" w:cs="Arial" w:eastAsia="Arial" w:hAnsi="Arial"/>
                <w:sz w:val="13"/>
                <w:szCs w:val="13"/>
                <w:b w:val="1"/>
                <w:bCs w:val="1"/>
                <w:color w:val="auto"/>
                <w:w w:val="93"/>
              </w:rPr>
              <w:t>(Address of Principal Executive Offices)</w:t>
            </w:r>
          </w:p>
        </w:tc>
        <w:tc>
          <w:tcPr>
            <w:tcW w:w="2240" w:type="dxa"/>
            <w:vAlign w:val="bottom"/>
          </w:tcPr>
          <w:p>
            <w:pPr>
              <w:spacing w:after="0"/>
              <w:rPr>
                <w:sz w:val="15"/>
                <w:szCs w:val="15"/>
                <w:color w:val="auto"/>
              </w:rPr>
            </w:pPr>
          </w:p>
        </w:tc>
        <w:tc>
          <w:tcPr>
            <w:tcW w:w="2720" w:type="dxa"/>
            <w:vAlign w:val="bottom"/>
          </w:tcPr>
          <w:p>
            <w:pPr>
              <w:jc w:val="center"/>
              <w:ind w:left="1604"/>
              <w:spacing w:after="0"/>
              <w:rPr>
                <w:sz w:val="20"/>
                <w:szCs w:val="20"/>
                <w:color w:val="auto"/>
              </w:rPr>
            </w:pPr>
            <w:r>
              <w:rPr>
                <w:rFonts w:ascii="Arial" w:cs="Arial" w:eastAsia="Arial" w:hAnsi="Arial"/>
                <w:sz w:val="13"/>
                <w:szCs w:val="13"/>
                <w:b w:val="1"/>
                <w:bCs w:val="1"/>
                <w:color w:val="auto"/>
                <w:w w:val="99"/>
              </w:rPr>
              <w:t>(Zip Code)</w:t>
            </w:r>
          </w:p>
        </w:tc>
      </w:tr>
    </w:tbl>
    <w:p>
      <w:pPr>
        <w:spacing w:after="0" w:line="171"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Registrant’s Telephone Number, Including Area Code: (212) 332-3241</w:t>
      </w:r>
    </w:p>
    <w:p>
      <w:pPr>
        <w:spacing w:after="0" w:line="352"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118745</wp:posOffset>
            </wp:positionV>
            <wp:extent cx="14230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28" w:lineRule="exact"/>
        <w:rPr>
          <w:sz w:val="24"/>
          <w:szCs w:val="24"/>
          <w:color w:val="auto"/>
        </w:rPr>
      </w:pPr>
    </w:p>
    <w:p>
      <w:pPr>
        <w:ind w:right="680"/>
        <w:spacing w:after="0" w:line="261"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17"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03"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03"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03"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5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117"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428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6"/>
              </w:rPr>
              <w:t>Title of each class</w:t>
            </w: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Arial" w:cs="Arial" w:eastAsia="Arial" w:hAnsi="Arial"/>
                <w:sz w:val="18"/>
                <w:szCs w:val="18"/>
                <w:b w:val="1"/>
                <w:bCs w:val="1"/>
                <w:color w:val="auto"/>
                <w:w w:val="93"/>
              </w:rPr>
              <w:t>Trading</w:t>
            </w:r>
          </w:p>
        </w:tc>
        <w:tc>
          <w:tcPr>
            <w:tcW w:w="120" w:type="dxa"/>
            <w:vAlign w:val="bottom"/>
          </w:tcPr>
          <w:p>
            <w:pPr>
              <w:spacing w:after="0"/>
              <w:rPr>
                <w:sz w:val="18"/>
                <w:szCs w:val="18"/>
                <w:color w:val="auto"/>
              </w:rPr>
            </w:pPr>
          </w:p>
        </w:tc>
        <w:tc>
          <w:tcPr>
            <w:tcW w:w="50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c>
          <w:tcPr>
            <w:tcW w:w="0" w:type="dxa"/>
            <w:vAlign w:val="bottom"/>
          </w:tcPr>
          <w:p>
            <w:pPr>
              <w:spacing w:after="0"/>
              <w:rPr>
                <w:sz w:val="1"/>
                <w:szCs w:val="1"/>
                <w:color w:val="auto"/>
              </w:rPr>
            </w:pPr>
          </w:p>
        </w:tc>
      </w:tr>
      <w:tr>
        <w:trPr>
          <w:trHeight w:val="203"/>
        </w:trPr>
        <w:tc>
          <w:tcPr>
            <w:tcW w:w="428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1680" w:type="dxa"/>
            <w:vAlign w:val="bottom"/>
            <w:tcBorders>
              <w:bottom w:val="single" w:sz="8" w:color="auto"/>
            </w:tcBorders>
          </w:tcPr>
          <w:p>
            <w:pPr>
              <w:jc w:val="center"/>
              <w:spacing w:after="0" w:line="202" w:lineRule="exact"/>
              <w:rPr>
                <w:sz w:val="20"/>
                <w:szCs w:val="20"/>
                <w:color w:val="auto"/>
              </w:rPr>
            </w:pPr>
            <w:r>
              <w:rPr>
                <w:rFonts w:ascii="Arial" w:cs="Arial" w:eastAsia="Arial" w:hAnsi="Arial"/>
                <w:sz w:val="18"/>
                <w:szCs w:val="18"/>
                <w:b w:val="1"/>
                <w:bCs w:val="1"/>
                <w:color w:val="auto"/>
                <w:w w:val="89"/>
              </w:rPr>
              <w:t>Symbol(s)</w:t>
            </w:r>
          </w:p>
        </w:tc>
        <w:tc>
          <w:tcPr>
            <w:tcW w:w="120" w:type="dxa"/>
            <w:vAlign w:val="bottom"/>
          </w:tcPr>
          <w:p>
            <w:pPr>
              <w:spacing w:after="0"/>
              <w:rPr>
                <w:sz w:val="17"/>
                <w:szCs w:val="17"/>
                <w:color w:val="auto"/>
              </w:rPr>
            </w:pPr>
          </w:p>
        </w:tc>
        <w:tc>
          <w:tcPr>
            <w:tcW w:w="50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4280" w:type="dxa"/>
            <w:vAlign w:val="bottom"/>
          </w:tcPr>
          <w:p>
            <w:pPr>
              <w:jc w:val="center"/>
              <w:spacing w:after="0"/>
              <w:rPr>
                <w:sz w:val="20"/>
                <w:szCs w:val="20"/>
                <w:color w:val="auto"/>
              </w:rPr>
            </w:pPr>
            <w:r>
              <w:rPr>
                <w:rFonts w:ascii="Arial" w:cs="Arial" w:eastAsia="Arial" w:hAnsi="Arial"/>
                <w:sz w:val="18"/>
                <w:szCs w:val="18"/>
                <w:color w:val="auto"/>
                <w:w w:val="89"/>
              </w:rPr>
              <w:t>Common Stock, Par Value $0.0001 Per Share</w:t>
            </w: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rPr>
              <w:t>AXSM</w:t>
            </w:r>
          </w:p>
        </w:tc>
        <w:tc>
          <w:tcPr>
            <w:tcW w:w="120" w:type="dxa"/>
            <w:vAlign w:val="bottom"/>
          </w:tcPr>
          <w:p>
            <w:pPr>
              <w:spacing w:after="0"/>
              <w:rPr>
                <w:sz w:val="19"/>
                <w:szCs w:val="19"/>
                <w:color w:val="auto"/>
              </w:rPr>
            </w:pPr>
          </w:p>
        </w:tc>
        <w:tc>
          <w:tcPr>
            <w:tcW w:w="5040" w:type="dxa"/>
            <w:vAlign w:val="bottom"/>
          </w:tcPr>
          <w:p>
            <w:pPr>
              <w:jc w:val="center"/>
              <w:spacing w:after="0"/>
              <w:rPr>
                <w:sz w:val="20"/>
                <w:szCs w:val="20"/>
                <w:color w:val="auto"/>
              </w:rPr>
            </w:pPr>
            <w:r>
              <w:rPr>
                <w:rFonts w:ascii="Arial" w:cs="Arial" w:eastAsia="Arial" w:hAnsi="Arial"/>
                <w:sz w:val="18"/>
                <w:szCs w:val="18"/>
                <w:color w:val="auto"/>
                <w:w w:val="95"/>
              </w:rPr>
              <w:t>NASDAQ Global Market</w:t>
            </w:r>
          </w:p>
        </w:tc>
        <w:tc>
          <w:tcPr>
            <w:tcW w:w="0" w:type="dxa"/>
            <w:vAlign w:val="bottom"/>
          </w:tcPr>
          <w:p>
            <w:pPr>
              <w:spacing w:after="0"/>
              <w:rPr>
                <w:sz w:val="1"/>
                <w:szCs w:val="1"/>
                <w:color w:val="auto"/>
              </w:rPr>
            </w:pPr>
          </w:p>
        </w:tc>
      </w:tr>
    </w:tbl>
    <w:p>
      <w:pPr>
        <w:spacing w:after="0" w:line="160" w:lineRule="exact"/>
        <w:rPr>
          <w:sz w:val="24"/>
          <w:szCs w:val="24"/>
          <w:color w:val="auto"/>
        </w:rPr>
      </w:pPr>
    </w:p>
    <w:p>
      <w:pPr>
        <w:ind w:right="480"/>
        <w:spacing w:after="0" w:line="261"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84"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90" w:lineRule="exact"/>
        <w:rPr>
          <w:sz w:val="24"/>
          <w:szCs w:val="24"/>
          <w:color w:val="auto"/>
        </w:rPr>
      </w:pPr>
    </w:p>
    <w:p>
      <w:pPr>
        <w:ind w:right="160"/>
        <w:spacing w:after="0" w:line="226"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-3175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189230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108"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On March 1, 2022, Axsome Therapeutics, Inc. (the “Company”) entered into a Sales Agreement (the “Agreement”) with SVB Securities LLC (“SVB Securities”) with respect to an at the market offering program, under which the Company may, from time to time in its sole discretion, issue and sell through SVB Securities, acting as sales agent, shares of the Company’s common stock, par value $0.0001 per share (the “Placement Shares”). The issuance and sale, if any, of up to $200.0 million of the Placement Shares by the Company under the Agreement will be made pursuant to a prospectus supplement to the Company’s registration statement on Form S-3 (File No. 333-235372), originally filed with the Securities and Exchange Commission (the “SEC”) on December 5, 2019, which became effective immediately upon filing. The Agreement supersedes the prior Sales Agreement, dated December 5, 2019, by and between the Company and SVB Leerink LLC.</w:t>
      </w:r>
    </w:p>
    <w:p>
      <w:pPr>
        <w:spacing w:after="0" w:line="177" w:lineRule="exact"/>
        <w:rPr>
          <w:sz w:val="20"/>
          <w:szCs w:val="20"/>
          <w:color w:val="auto"/>
        </w:rPr>
      </w:pPr>
    </w:p>
    <w:p>
      <w:pPr>
        <w:ind w:right="80"/>
        <w:spacing w:after="0" w:line="255" w:lineRule="auto"/>
        <w:rPr>
          <w:sz w:val="20"/>
          <w:szCs w:val="20"/>
          <w:color w:val="auto"/>
        </w:rPr>
      </w:pPr>
      <w:r>
        <w:rPr>
          <w:rFonts w:ascii="Arial" w:cs="Arial" w:eastAsia="Arial" w:hAnsi="Arial"/>
          <w:sz w:val="17"/>
          <w:szCs w:val="17"/>
          <w:color w:val="auto"/>
        </w:rPr>
        <w:t>Pursuant to the Agreement, SVB Securities may sell the Placement Shares by any method permitted by law deemed to be an “at the market” offering as defined in Rule 415 of the Securities Act of 1933, as amended (the “Securities Act”), including, without limitation, sales made directly on or through the Nasdaq Global Market, on or through any other existing trading market for the Company’s common stock or to or through a market maker. SVB Securities will use commercially reasonable efforts consistent with its normal trading and sales practices to sell the Placement Shares from time to time, based upon instructions from the Company (including any price or size limits or other customary parameters or conditions the Company may impose). SVB Securities will not purchase any Placement Shares on a principal basis pursuant to the Agreement unless the Company and SVB Securities enter into a separate written agreement setting forth the terms of such sale.</w:t>
      </w:r>
    </w:p>
    <w:p>
      <w:pPr>
        <w:spacing w:after="0" w:line="166"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The Company will pay SVB Securities a commission of 3.0% of the gross sales proceeds of any Placement Shares sold through SVB Securities, acting as sales agent, under the Agreement.</w:t>
      </w:r>
    </w:p>
    <w:p>
      <w:pPr>
        <w:spacing w:after="0" w:line="157" w:lineRule="exact"/>
        <w:rPr>
          <w:sz w:val="20"/>
          <w:szCs w:val="20"/>
          <w:color w:val="auto"/>
        </w:rPr>
      </w:pPr>
    </w:p>
    <w:p>
      <w:pPr>
        <w:ind w:right="200"/>
        <w:spacing w:after="0" w:line="248" w:lineRule="auto"/>
        <w:rPr>
          <w:sz w:val="20"/>
          <w:szCs w:val="20"/>
          <w:color w:val="auto"/>
        </w:rPr>
      </w:pPr>
      <w:r>
        <w:rPr>
          <w:rFonts w:ascii="Arial" w:cs="Arial" w:eastAsia="Arial" w:hAnsi="Arial"/>
          <w:sz w:val="18"/>
          <w:szCs w:val="18"/>
          <w:color w:val="auto"/>
        </w:rPr>
        <w:t>The Company is not obligated to make any sales of Placement Shares under the Agreement. The offering of Placement Shares pursuant to the Agreement will terminate upon the earlier to occur of (i) the issuance and sale, through SVB Securities, of all Placement Shares subject to the Agreement and (ii) termination of the Agreement in accordance with its terms.</w:t>
      </w:r>
    </w:p>
    <w:p>
      <w:pPr>
        <w:spacing w:after="0" w:line="168" w:lineRule="exact"/>
        <w:rPr>
          <w:sz w:val="20"/>
          <w:szCs w:val="20"/>
          <w:color w:val="auto"/>
        </w:rPr>
      </w:pPr>
    </w:p>
    <w:p>
      <w:pPr>
        <w:jc w:val="both"/>
        <w:ind w:right="100"/>
        <w:spacing w:after="0" w:line="248" w:lineRule="auto"/>
        <w:rPr>
          <w:sz w:val="20"/>
          <w:szCs w:val="20"/>
          <w:color w:val="auto"/>
        </w:rPr>
      </w:pPr>
      <w:r>
        <w:rPr>
          <w:rFonts w:ascii="Arial" w:cs="Arial" w:eastAsia="Arial" w:hAnsi="Arial"/>
          <w:sz w:val="18"/>
          <w:szCs w:val="18"/>
          <w:color w:val="auto"/>
        </w:rPr>
        <w:t>The Agreement contains representations, warranties and covenants that are customary for transactions of this type. In addition, the Company has agreed to indemnify SVB Securities against certain liabilities, including liabilities under the Securities Act of 1933, as amended, and the Securities Exchange Act of 1934, as amended.</w:t>
      </w:r>
    </w:p>
    <w:p>
      <w:pPr>
        <w:spacing w:after="0" w:line="168"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The foregoing description of the Agreement is not complete and is qualified in its entirety by reference to the full text of the Agreement, a copy of which is filed herewith as Exhibit 1.1 to this Current Report on Form 8-K and is incorporated herein by reference.</w:t>
      </w:r>
    </w:p>
    <w:p>
      <w:pPr>
        <w:spacing w:after="0" w:line="157" w:lineRule="exact"/>
        <w:rPr>
          <w:sz w:val="20"/>
          <w:szCs w:val="20"/>
          <w:color w:val="auto"/>
        </w:rPr>
      </w:pPr>
    </w:p>
    <w:p>
      <w:pPr>
        <w:ind w:right="160"/>
        <w:spacing w:after="0" w:line="248" w:lineRule="auto"/>
        <w:rPr>
          <w:sz w:val="20"/>
          <w:szCs w:val="20"/>
          <w:color w:val="auto"/>
        </w:rPr>
      </w:pPr>
      <w:r>
        <w:rPr>
          <w:rFonts w:ascii="Arial" w:cs="Arial" w:eastAsia="Arial" w:hAnsi="Arial"/>
          <w:sz w:val="18"/>
          <w:szCs w:val="18"/>
          <w:color w:val="auto"/>
        </w:rPr>
        <w:t>This Current Report on Form 8-K shall not constitute an offer to sell or the solicitation of an offer to buy the securities discussed herein, nor shall there be any offer, solicitation or sale of the securities in any jurisdiction in which such offer, solicitation or sale would be unlawful prior to registration or qualification under the securities laws of any such jurisdiction.</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Exhibits.</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40" w:type="dxa"/>
            <w:vAlign w:val="bottom"/>
          </w:tcPr>
          <w:p>
            <w:pPr>
              <w:spacing w:after="0"/>
              <w:rPr>
                <w:sz w:val="16"/>
                <w:szCs w:val="16"/>
                <w:color w:val="auto"/>
              </w:rPr>
            </w:pPr>
          </w:p>
        </w:tc>
        <w:tc>
          <w:tcPr>
            <w:tcW w:w="1120" w:type="dxa"/>
            <w:vAlign w:val="bottom"/>
          </w:tcPr>
          <w:p>
            <w:pPr>
              <w:spacing w:after="0"/>
              <w:rPr>
                <w:sz w:val="20"/>
                <w:szCs w:val="20"/>
                <w:color w:val="auto"/>
              </w:rPr>
            </w:pPr>
            <w:r>
              <w:rPr>
                <w:rFonts w:ascii="Arial" w:cs="Arial" w:eastAsia="Arial" w:hAnsi="Arial"/>
                <w:sz w:val="14"/>
                <w:szCs w:val="14"/>
                <w:b w:val="1"/>
                <w:bCs w:val="1"/>
                <w:color w:val="auto"/>
              </w:rPr>
              <w:t>Exhibit No.</w:t>
            </w:r>
          </w:p>
        </w:tc>
        <w:tc>
          <w:tcPr>
            <w:tcW w:w="34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6860" w:type="dxa"/>
            <w:vAlign w:val="bottom"/>
            <w:gridSpan w:val="3"/>
          </w:tcPr>
          <w:p>
            <w:pPr>
              <w:ind w:left="1860"/>
              <w:spacing w:after="0"/>
              <w:rPr>
                <w:sz w:val="20"/>
                <w:szCs w:val="20"/>
                <w:color w:val="auto"/>
              </w:rPr>
            </w:pPr>
            <w:r>
              <w:rPr>
                <w:rFonts w:ascii="Arial" w:cs="Arial" w:eastAsia="Arial" w:hAnsi="Arial"/>
                <w:sz w:val="14"/>
                <w:szCs w:val="14"/>
                <w:b w:val="1"/>
                <w:bCs w:val="1"/>
                <w:color w:val="auto"/>
              </w:rPr>
              <w:t>Description</w:t>
            </w:r>
          </w:p>
        </w:tc>
        <w:tc>
          <w:tcPr>
            <w:tcW w:w="140" w:type="dxa"/>
            <w:vAlign w:val="bottom"/>
          </w:tcPr>
          <w:p>
            <w:pPr>
              <w:spacing w:after="0"/>
              <w:rPr>
                <w:sz w:val="16"/>
                <w:szCs w:val="16"/>
                <w:color w:val="auto"/>
              </w:rPr>
            </w:pPr>
          </w:p>
        </w:tc>
      </w:tr>
      <w:tr>
        <w:trPr>
          <w:trHeight w:val="25"/>
        </w:trPr>
        <w:tc>
          <w:tcPr>
            <w:tcW w:w="34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35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r>
      <w:tr>
        <w:trPr>
          <w:trHeight w:val="385"/>
        </w:trPr>
        <w:tc>
          <w:tcPr>
            <w:tcW w:w="3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8"/>
                <w:szCs w:val="18"/>
                <w:color w:val="auto"/>
              </w:rPr>
              <w:t>1.1</w:t>
            </w:r>
          </w:p>
        </w:tc>
        <w:tc>
          <w:tcPr>
            <w:tcW w:w="340" w:type="dxa"/>
            <w:vAlign w:val="bottom"/>
          </w:tcPr>
          <w:p>
            <w:pPr>
              <w:spacing w:after="0"/>
              <w:rPr>
                <w:sz w:val="24"/>
                <w:szCs w:val="24"/>
                <w:color w:val="auto"/>
              </w:rPr>
            </w:pPr>
          </w:p>
        </w:tc>
        <w:tc>
          <w:tcPr>
            <w:tcW w:w="9300" w:type="dxa"/>
            <w:vAlign w:val="bottom"/>
            <w:gridSpan w:val="4"/>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Sales Agreement dated March 1, 2022, by and between Axsome Therapeutics, Inc. and SVB Securities LLC.</w:t>
              </w:r>
            </w:hyperlink>
          </w:p>
        </w:tc>
        <w:tc>
          <w:tcPr>
            <w:tcW w:w="140" w:type="dxa"/>
            <w:vAlign w:val="bottom"/>
          </w:tcPr>
          <w:p>
            <w:pPr>
              <w:spacing w:after="0"/>
              <w:rPr>
                <w:sz w:val="24"/>
                <w:szCs w:val="24"/>
                <w:color w:val="auto"/>
              </w:rPr>
            </w:pPr>
          </w:p>
        </w:tc>
      </w:tr>
      <w:tr>
        <w:trPr>
          <w:trHeight w:val="223"/>
        </w:trPr>
        <w:tc>
          <w:tcPr>
            <w:tcW w:w="340" w:type="dxa"/>
            <w:vAlign w:val="bottom"/>
          </w:tcPr>
          <w:p>
            <w:pPr>
              <w:spacing w:after="0"/>
              <w:rPr>
                <w:sz w:val="19"/>
                <w:szCs w:val="19"/>
                <w:color w:val="auto"/>
              </w:rPr>
            </w:pPr>
          </w:p>
        </w:tc>
        <w:tc>
          <w:tcPr>
            <w:tcW w:w="1120" w:type="dxa"/>
            <w:vAlign w:val="bottom"/>
          </w:tcPr>
          <w:p>
            <w:pPr>
              <w:spacing w:after="0"/>
              <w:rPr>
                <w:sz w:val="20"/>
                <w:szCs w:val="20"/>
                <w:color w:val="auto"/>
              </w:rPr>
            </w:pPr>
            <w:r>
              <w:rPr>
                <w:rFonts w:ascii="Arial" w:cs="Arial" w:eastAsia="Arial" w:hAnsi="Arial"/>
                <w:sz w:val="18"/>
                <w:szCs w:val="18"/>
                <w:color w:val="auto"/>
              </w:rPr>
              <w:t>5.1</w:t>
            </w:r>
          </w:p>
        </w:tc>
        <w:tc>
          <w:tcPr>
            <w:tcW w:w="340" w:type="dxa"/>
            <w:vAlign w:val="bottom"/>
          </w:tcPr>
          <w:p>
            <w:pPr>
              <w:spacing w:after="0"/>
              <w:rPr>
                <w:sz w:val="19"/>
                <w:szCs w:val="19"/>
                <w:color w:val="auto"/>
              </w:rPr>
            </w:pPr>
          </w:p>
        </w:tc>
        <w:tc>
          <w:tcPr>
            <w:tcW w:w="2440" w:type="dxa"/>
            <w:vAlign w:val="bottom"/>
            <w:tcBorders>
              <w:top w:val="single" w:sz="8" w:color="0000FF"/>
              <w:bottom w:val="single" w:sz="8" w:color="0000FF"/>
            </w:tcBorders>
          </w:tcPr>
          <w:p>
            <w:pPr>
              <w:spacing w:after="0"/>
              <w:rPr>
                <w:rFonts w:ascii="Arial" w:cs="Arial" w:eastAsia="Arial" w:hAnsi="Arial"/>
                <w:sz w:val="18"/>
                <w:szCs w:val="18"/>
                <w:color w:val="0000FF"/>
                <w:w w:val="95"/>
              </w:rPr>
            </w:pPr>
            <w:hyperlink w:anchor="page49">
              <w:r>
                <w:rPr>
                  <w:rFonts w:ascii="Arial" w:cs="Arial" w:eastAsia="Arial" w:hAnsi="Arial"/>
                  <w:sz w:val="18"/>
                  <w:szCs w:val="18"/>
                  <w:color w:val="0000FF"/>
                  <w:w w:val="95"/>
                </w:rPr>
                <w:t>Opinion of DLA Piper LLP (US).</w:t>
              </w:r>
            </w:hyperlink>
          </w:p>
        </w:tc>
        <w:tc>
          <w:tcPr>
            <w:tcW w:w="5400" w:type="dxa"/>
            <w:vAlign w:val="bottom"/>
            <w:tcBorders>
              <w:top w:val="single" w:sz="8" w:color="0000FF"/>
            </w:tcBorders>
            <w:gridSpan w:val="2"/>
          </w:tcPr>
          <w:p>
            <w:pPr>
              <w:spacing w:after="0"/>
              <w:rPr>
                <w:sz w:val="19"/>
                <w:szCs w:val="19"/>
                <w:color w:val="auto"/>
              </w:rPr>
            </w:pPr>
          </w:p>
        </w:tc>
        <w:tc>
          <w:tcPr>
            <w:tcW w:w="146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23"/>
        </w:trPr>
        <w:tc>
          <w:tcPr>
            <w:tcW w:w="340" w:type="dxa"/>
            <w:vAlign w:val="bottom"/>
          </w:tcPr>
          <w:p>
            <w:pPr>
              <w:spacing w:after="0"/>
              <w:rPr>
                <w:sz w:val="19"/>
                <w:szCs w:val="19"/>
                <w:color w:val="auto"/>
              </w:rPr>
            </w:pPr>
          </w:p>
        </w:tc>
        <w:tc>
          <w:tcPr>
            <w:tcW w:w="1120" w:type="dxa"/>
            <w:vAlign w:val="bottom"/>
          </w:tcPr>
          <w:p>
            <w:pPr>
              <w:spacing w:after="0"/>
              <w:rPr>
                <w:sz w:val="20"/>
                <w:szCs w:val="20"/>
                <w:color w:val="auto"/>
              </w:rPr>
            </w:pPr>
            <w:r>
              <w:rPr>
                <w:rFonts w:ascii="Arial" w:cs="Arial" w:eastAsia="Arial" w:hAnsi="Arial"/>
                <w:sz w:val="18"/>
                <w:szCs w:val="18"/>
                <w:color w:val="auto"/>
              </w:rPr>
              <w:t>23.1</w:t>
            </w:r>
          </w:p>
        </w:tc>
        <w:tc>
          <w:tcPr>
            <w:tcW w:w="340" w:type="dxa"/>
            <w:vAlign w:val="bottom"/>
          </w:tcPr>
          <w:p>
            <w:pPr>
              <w:spacing w:after="0"/>
              <w:rPr>
                <w:sz w:val="19"/>
                <w:szCs w:val="19"/>
                <w:color w:val="auto"/>
              </w:rPr>
            </w:pPr>
          </w:p>
        </w:tc>
        <w:tc>
          <w:tcPr>
            <w:tcW w:w="9300" w:type="dxa"/>
            <w:vAlign w:val="bottom"/>
            <w:gridSpan w:val="4"/>
          </w:tcPr>
          <w:p>
            <w:pPr>
              <w:spacing w:after="0"/>
              <w:rPr>
                <w:rFonts w:ascii="Arial" w:cs="Arial" w:eastAsia="Arial" w:hAnsi="Arial"/>
                <w:sz w:val="18"/>
                <w:szCs w:val="18"/>
                <w:color w:val="0000FF"/>
              </w:rPr>
            </w:pPr>
            <w:hyperlink w:anchor="page49">
              <w:r>
                <w:rPr>
                  <w:rFonts w:ascii="Arial" w:cs="Arial" w:eastAsia="Arial" w:hAnsi="Arial"/>
                  <w:sz w:val="18"/>
                  <w:szCs w:val="18"/>
                  <w:color w:val="0000FF"/>
                </w:rPr>
                <w:t>Consent of DLA Piper LLP (US) (contained in Exhibit 5.1).</w:t>
              </w:r>
            </w:hyperlink>
          </w:p>
        </w:tc>
        <w:tc>
          <w:tcPr>
            <w:tcW w:w="140" w:type="dxa"/>
            <w:vAlign w:val="bottom"/>
          </w:tcPr>
          <w:p>
            <w:pPr>
              <w:spacing w:after="0"/>
              <w:rPr>
                <w:sz w:val="19"/>
                <w:szCs w:val="19"/>
                <w:color w:val="auto"/>
              </w:rPr>
            </w:pPr>
          </w:p>
        </w:tc>
      </w:tr>
      <w:tr>
        <w:trPr>
          <w:trHeight w:val="20"/>
        </w:trPr>
        <w:tc>
          <w:tcPr>
            <w:tcW w:w="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40" w:type="dxa"/>
            <w:vAlign w:val="bottom"/>
            <w:tcBorders>
              <w:right w:val="single" w:sz="8" w:color="0000EE"/>
            </w:tcBorders>
          </w:tcPr>
          <w:p>
            <w:pPr>
              <w:spacing w:after="0" w:line="20" w:lineRule="exact"/>
              <w:rPr>
                <w:sz w:val="1"/>
                <w:szCs w:val="1"/>
                <w:color w:val="auto"/>
              </w:rPr>
            </w:pPr>
          </w:p>
        </w:tc>
        <w:tc>
          <w:tcPr>
            <w:tcW w:w="4340" w:type="dxa"/>
            <w:vAlign w:val="bottom"/>
            <w:tcBorders>
              <w:right w:val="single" w:sz="8" w:color="0000EE"/>
            </w:tcBorders>
            <w:gridSpan w:val="2"/>
            <w:shd w:val="clear" w:color="auto" w:fill="0000FF"/>
          </w:tcPr>
          <w:p>
            <w:pPr>
              <w:spacing w:after="0" w:line="20" w:lineRule="exact"/>
              <w:rPr>
                <w:sz w:val="1"/>
                <w:szCs w:val="1"/>
                <w:color w:val="auto"/>
              </w:rPr>
            </w:pPr>
          </w:p>
        </w:tc>
        <w:tc>
          <w:tcPr>
            <w:tcW w:w="49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64"/>
        </w:trPr>
        <w:tc>
          <w:tcPr>
            <w:tcW w:w="340" w:type="dxa"/>
            <w:vAlign w:val="bottom"/>
          </w:tcPr>
          <w:p>
            <w:pPr>
              <w:spacing w:after="0"/>
              <w:rPr>
                <w:sz w:val="22"/>
                <w:szCs w:val="22"/>
                <w:color w:val="auto"/>
              </w:rPr>
            </w:pPr>
          </w:p>
        </w:tc>
        <w:tc>
          <w:tcPr>
            <w:tcW w:w="1120" w:type="dxa"/>
            <w:vAlign w:val="bottom"/>
          </w:tcPr>
          <w:p>
            <w:pPr>
              <w:spacing w:after="0"/>
              <w:rPr>
                <w:sz w:val="20"/>
                <w:szCs w:val="20"/>
                <w:color w:val="auto"/>
              </w:rPr>
            </w:pPr>
            <w:r>
              <w:rPr>
                <w:rFonts w:ascii="Arial" w:cs="Arial" w:eastAsia="Arial" w:hAnsi="Arial"/>
                <w:sz w:val="18"/>
                <w:szCs w:val="18"/>
                <w:color w:val="auto"/>
              </w:rPr>
              <w:t>104</w:t>
            </w:r>
          </w:p>
        </w:tc>
        <w:tc>
          <w:tcPr>
            <w:tcW w:w="340" w:type="dxa"/>
            <w:vAlign w:val="bottom"/>
          </w:tcPr>
          <w:p>
            <w:pPr>
              <w:spacing w:after="0"/>
              <w:rPr>
                <w:sz w:val="22"/>
                <w:szCs w:val="22"/>
                <w:color w:val="auto"/>
              </w:rPr>
            </w:pPr>
          </w:p>
        </w:tc>
        <w:tc>
          <w:tcPr>
            <w:tcW w:w="9300" w:type="dxa"/>
            <w:vAlign w:val="bottom"/>
            <w:gridSpan w:val="4"/>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c>
          <w:tcPr>
            <w:tcW w:w="140" w:type="dxa"/>
            <w:vAlign w:val="bottom"/>
          </w:tcPr>
          <w:p>
            <w:pPr>
              <w:spacing w:after="0"/>
              <w:rPr>
                <w:sz w:val="22"/>
                <w:szCs w:val="22"/>
                <w:color w:val="auto"/>
              </w:rPr>
            </w:pPr>
          </w:p>
        </w:tc>
      </w:tr>
      <w:tr>
        <w:trPr>
          <w:trHeight w:val="533"/>
        </w:trPr>
        <w:tc>
          <w:tcPr>
            <w:tcW w:w="34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440" w:type="dxa"/>
            <w:vAlign w:val="bottom"/>
            <w:tcBorders>
              <w:bottom w:val="single" w:sz="8" w:color="9A9A9A"/>
            </w:tcBorders>
          </w:tcPr>
          <w:p>
            <w:pPr>
              <w:spacing w:after="0"/>
              <w:rPr>
                <w:sz w:val="24"/>
                <w:szCs w:val="24"/>
                <w:color w:val="auto"/>
              </w:rPr>
            </w:pPr>
          </w:p>
        </w:tc>
        <w:tc>
          <w:tcPr>
            <w:tcW w:w="1900" w:type="dxa"/>
            <w:vAlign w:val="bottom"/>
            <w:tcBorders>
              <w:bottom w:val="single" w:sz="8" w:color="9A9A9A"/>
            </w:tcBorders>
          </w:tcPr>
          <w:p>
            <w:pPr>
              <w:spacing w:after="0"/>
              <w:rPr>
                <w:sz w:val="24"/>
                <w:szCs w:val="24"/>
                <w:color w:val="auto"/>
              </w:rPr>
            </w:pPr>
          </w:p>
        </w:tc>
        <w:tc>
          <w:tcPr>
            <w:tcW w:w="350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162"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4820" w:type="dxa"/>
            <w:vAlign w:val="bottom"/>
          </w:tcPr>
          <w:p>
            <w:pPr>
              <w:ind w:left="20"/>
              <w:spacing w:after="0"/>
              <w:rPr>
                <w:sz w:val="20"/>
                <w:szCs w:val="20"/>
                <w:color w:val="auto"/>
              </w:rPr>
            </w:pPr>
            <w:r>
              <w:rPr>
                <w:rFonts w:ascii="Arial" w:cs="Arial" w:eastAsia="Arial" w:hAnsi="Arial"/>
                <w:sz w:val="18"/>
                <w:szCs w:val="18"/>
                <w:b w:val="1"/>
                <w:bCs w:val="1"/>
                <w:color w:val="auto"/>
              </w:rPr>
              <w:t>Axsome Therapeutics, Inc.</w:t>
            </w:r>
          </w:p>
        </w:tc>
      </w:tr>
      <w:tr>
        <w:trPr>
          <w:trHeight w:val="675"/>
        </w:trPr>
        <w:tc>
          <w:tcPr>
            <w:tcW w:w="560" w:type="dxa"/>
            <w:vAlign w:val="bottom"/>
          </w:tcPr>
          <w:p>
            <w:pPr>
              <w:ind w:left="20"/>
              <w:spacing w:after="0"/>
              <w:rPr>
                <w:sz w:val="20"/>
                <w:szCs w:val="20"/>
                <w:color w:val="auto"/>
              </w:rPr>
            </w:pPr>
            <w:r>
              <w:rPr>
                <w:rFonts w:ascii="Arial" w:cs="Arial" w:eastAsia="Arial" w:hAnsi="Arial"/>
                <w:sz w:val="18"/>
                <w:szCs w:val="18"/>
                <w:color w:val="auto"/>
              </w:rPr>
              <w:t>Date:</w:t>
            </w:r>
          </w:p>
        </w:tc>
        <w:tc>
          <w:tcPr>
            <w:tcW w:w="3140" w:type="dxa"/>
            <w:vAlign w:val="bottom"/>
          </w:tcPr>
          <w:p>
            <w:pPr>
              <w:ind w:left="140"/>
              <w:spacing w:after="0"/>
              <w:rPr>
                <w:sz w:val="20"/>
                <w:szCs w:val="20"/>
                <w:color w:val="auto"/>
              </w:rPr>
            </w:pPr>
            <w:r>
              <w:rPr>
                <w:rFonts w:ascii="Arial" w:cs="Arial" w:eastAsia="Arial" w:hAnsi="Arial"/>
                <w:sz w:val="18"/>
                <w:szCs w:val="18"/>
                <w:color w:val="auto"/>
              </w:rPr>
              <w:t>March 1, 2022</w:t>
            </w:r>
          </w:p>
        </w:tc>
        <w:tc>
          <w:tcPr>
            <w:tcW w:w="2720" w:type="dxa"/>
            <w:vAlign w:val="bottom"/>
          </w:tcPr>
          <w:p>
            <w:pPr>
              <w:ind w:left="1960"/>
              <w:spacing w:after="0"/>
              <w:rPr>
                <w:sz w:val="20"/>
                <w:szCs w:val="20"/>
                <w:color w:val="auto"/>
              </w:rPr>
            </w:pPr>
            <w:r>
              <w:rPr>
                <w:rFonts w:ascii="Arial" w:cs="Arial" w:eastAsia="Arial" w:hAnsi="Arial"/>
                <w:sz w:val="18"/>
                <w:szCs w:val="18"/>
                <w:color w:val="auto"/>
              </w:rPr>
              <w:t>By:</w:t>
            </w:r>
          </w:p>
        </w:tc>
        <w:tc>
          <w:tcPr>
            <w:tcW w:w="48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Herriot Tabuteau, M.D.</w:t>
            </w:r>
          </w:p>
        </w:tc>
      </w:tr>
      <w:tr>
        <w:trPr>
          <w:trHeight w:val="156"/>
        </w:trPr>
        <w:tc>
          <w:tcPr>
            <w:tcW w:w="560" w:type="dxa"/>
            <w:vAlign w:val="bottom"/>
          </w:tcPr>
          <w:p>
            <w:pPr>
              <w:spacing w:after="0"/>
              <w:rPr>
                <w:sz w:val="13"/>
                <w:szCs w:val="13"/>
                <w:color w:val="auto"/>
              </w:rPr>
            </w:pPr>
          </w:p>
        </w:tc>
        <w:tc>
          <w:tcPr>
            <w:tcW w:w="3140" w:type="dxa"/>
            <w:vAlign w:val="bottom"/>
          </w:tcPr>
          <w:p>
            <w:pPr>
              <w:spacing w:after="0"/>
              <w:rPr>
                <w:sz w:val="13"/>
                <w:szCs w:val="13"/>
                <w:color w:val="auto"/>
              </w:rPr>
            </w:pPr>
          </w:p>
        </w:tc>
        <w:tc>
          <w:tcPr>
            <w:tcW w:w="2720" w:type="dxa"/>
            <w:vAlign w:val="bottom"/>
          </w:tcPr>
          <w:p>
            <w:pPr>
              <w:ind w:left="1960"/>
              <w:spacing w:after="0" w:line="156" w:lineRule="exact"/>
              <w:rPr>
                <w:sz w:val="20"/>
                <w:szCs w:val="20"/>
                <w:color w:val="auto"/>
              </w:rPr>
            </w:pPr>
            <w:r>
              <w:rPr>
                <w:rFonts w:ascii="Arial" w:cs="Arial" w:eastAsia="Arial" w:hAnsi="Arial"/>
                <w:sz w:val="18"/>
                <w:szCs w:val="18"/>
                <w:color w:val="auto"/>
              </w:rPr>
              <w:t>Name:</w:t>
            </w:r>
          </w:p>
        </w:tc>
        <w:tc>
          <w:tcPr>
            <w:tcW w:w="4820" w:type="dxa"/>
            <w:vAlign w:val="bottom"/>
          </w:tcPr>
          <w:p>
            <w:pPr>
              <w:ind w:left="20"/>
              <w:spacing w:after="0" w:line="156" w:lineRule="exact"/>
              <w:rPr>
                <w:sz w:val="20"/>
                <w:szCs w:val="20"/>
                <w:color w:val="auto"/>
              </w:rPr>
            </w:pPr>
            <w:r>
              <w:rPr>
                <w:rFonts w:ascii="Arial" w:cs="Arial" w:eastAsia="Arial" w:hAnsi="Arial"/>
                <w:sz w:val="18"/>
                <w:szCs w:val="18"/>
                <w:color w:val="auto"/>
              </w:rPr>
              <w:t>Herriot Tabuteau, M.D.</w:t>
            </w:r>
          </w:p>
        </w:tc>
      </w:tr>
      <w:tr>
        <w:trPr>
          <w:trHeight w:val="230"/>
        </w:trPr>
        <w:tc>
          <w:tcPr>
            <w:tcW w:w="56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2720" w:type="dxa"/>
            <w:vAlign w:val="bottom"/>
          </w:tcPr>
          <w:p>
            <w:pPr>
              <w:ind w:left="1960"/>
              <w:spacing w:after="0"/>
              <w:rPr>
                <w:sz w:val="20"/>
                <w:szCs w:val="20"/>
                <w:color w:val="auto"/>
              </w:rPr>
            </w:pPr>
            <w:r>
              <w:rPr>
                <w:rFonts w:ascii="Arial" w:cs="Arial" w:eastAsia="Arial" w:hAnsi="Arial"/>
                <w:sz w:val="18"/>
                <w:szCs w:val="18"/>
                <w:color w:val="auto"/>
              </w:rPr>
              <w:t>Title:</w:t>
            </w:r>
          </w:p>
        </w:tc>
        <w:tc>
          <w:tcPr>
            <w:tcW w:w="4820" w:type="dxa"/>
            <w:vAlign w:val="bottom"/>
          </w:tcPr>
          <w:p>
            <w:pPr>
              <w:ind w:left="20"/>
              <w:spacing w:after="0"/>
              <w:rPr>
                <w:sz w:val="20"/>
                <w:szCs w:val="20"/>
                <w:color w:val="auto"/>
              </w:rPr>
            </w:pPr>
            <w:r>
              <w:rPr>
                <w:rFonts w:ascii="Arial" w:cs="Arial" w:eastAsia="Arial" w:hAnsi="Arial"/>
                <w:sz w:val="18"/>
                <w:szCs w:val="18"/>
                <w:color w:val="auto"/>
              </w:rPr>
              <w:t>President and Chief Executive Officer</w:t>
            </w:r>
          </w:p>
        </w:tc>
      </w:tr>
      <w:tr>
        <w:trPr>
          <w:trHeight w:val="465"/>
        </w:trPr>
        <w:tc>
          <w:tcPr>
            <w:tcW w:w="560" w:type="dxa"/>
            <w:vAlign w:val="bottom"/>
            <w:tcBorders>
              <w:bottom w:val="single" w:sz="8" w:color="9A9A9A"/>
            </w:tcBorders>
          </w:tcPr>
          <w:p>
            <w:pPr>
              <w:spacing w:after="0"/>
              <w:rPr>
                <w:sz w:val="24"/>
                <w:szCs w:val="24"/>
                <w:color w:val="auto"/>
              </w:rPr>
            </w:pPr>
          </w:p>
        </w:tc>
        <w:tc>
          <w:tcPr>
            <w:tcW w:w="3140" w:type="dxa"/>
            <w:vAlign w:val="bottom"/>
            <w:tcBorders>
              <w:bottom w:val="single" w:sz="8" w:color="9A9A9A"/>
            </w:tcBorders>
          </w:tcPr>
          <w:p>
            <w:pPr>
              <w:spacing w:after="0"/>
              <w:rPr>
                <w:sz w:val="24"/>
                <w:szCs w:val="24"/>
                <w:color w:val="auto"/>
              </w:rPr>
            </w:pPr>
          </w:p>
        </w:tc>
        <w:tc>
          <w:tcPr>
            <w:tcW w:w="2720" w:type="dxa"/>
            <w:vAlign w:val="bottom"/>
            <w:tcBorders>
              <w:bottom w:val="single" w:sz="8" w:color="9A9A9A"/>
            </w:tcBorders>
          </w:tcPr>
          <w:p>
            <w:pPr>
              <w:spacing w:after="0"/>
              <w:rPr>
                <w:sz w:val="24"/>
                <w:szCs w:val="24"/>
                <w:color w:val="auto"/>
              </w:rPr>
            </w:pPr>
          </w:p>
        </w:tc>
        <w:tc>
          <w:tcPr>
            <w:tcW w:w="48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20"/>
          <w:szCs w:val="20"/>
          <w:b w:val="1"/>
          <w:bCs w:val="1"/>
          <w:color w:val="auto"/>
        </w:rPr>
        <w:t>Axsome Therapeutics,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($0.0001 par value per share)</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SALES AGREEMENT</w:t>
      </w:r>
    </w:p>
    <w:p>
      <w:pPr>
        <w:spacing w:after="0" w:line="200" w:lineRule="exact"/>
        <w:rPr>
          <w:sz w:val="20"/>
          <w:szCs w:val="20"/>
          <w:color w:val="auto"/>
        </w:rPr>
      </w:pPr>
    </w:p>
    <w:p>
      <w:pPr>
        <w:spacing w:after="0" w:line="224" w:lineRule="exact"/>
        <w:rPr>
          <w:sz w:val="20"/>
          <w:szCs w:val="20"/>
          <w:color w:val="auto"/>
        </w:rPr>
      </w:pPr>
    </w:p>
    <w:p>
      <w:pPr>
        <w:jc w:val="right"/>
        <w:spacing w:after="0"/>
        <w:rPr>
          <w:sz w:val="20"/>
          <w:szCs w:val="20"/>
          <w:color w:val="auto"/>
        </w:rPr>
      </w:pPr>
      <w:r>
        <w:rPr>
          <w:rFonts w:ascii="Arial" w:cs="Arial" w:eastAsia="Arial" w:hAnsi="Arial"/>
          <w:sz w:val="20"/>
          <w:szCs w:val="20"/>
          <w:color w:val="auto"/>
        </w:rPr>
        <w:t>March 1, 2022</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color w:val="auto"/>
        </w:rPr>
        <w:t>SVB SECURITIES LLC</w:t>
      </w:r>
    </w:p>
    <w:p>
      <w:pPr>
        <w:spacing w:after="0" w:line="227" w:lineRule="auto"/>
        <w:rPr>
          <w:sz w:val="20"/>
          <w:szCs w:val="20"/>
          <w:color w:val="auto"/>
        </w:rPr>
      </w:pPr>
      <w:r>
        <w:rPr>
          <w:rFonts w:ascii="Arial" w:cs="Arial" w:eastAsia="Arial" w:hAnsi="Arial"/>
          <w:sz w:val="20"/>
          <w:szCs w:val="20"/>
          <w:color w:val="auto"/>
        </w:rPr>
        <w:t>1301 Avenue of the Americas, 12th Floor</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New York, NY 10019</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auto"/>
        </w:rPr>
        <w:t>Ladies and Gentlemen:</w:t>
      </w:r>
    </w:p>
    <w:p>
      <w:pPr>
        <w:spacing w:after="0" w:line="196" w:lineRule="exact"/>
        <w:rPr>
          <w:sz w:val="20"/>
          <w:szCs w:val="20"/>
          <w:color w:val="auto"/>
        </w:rPr>
      </w:pPr>
    </w:p>
    <w:p>
      <w:pPr>
        <w:ind w:right="40"/>
        <w:spacing w:after="0" w:line="252" w:lineRule="auto"/>
        <w:rPr>
          <w:sz w:val="20"/>
          <w:szCs w:val="20"/>
          <w:color w:val="auto"/>
        </w:rPr>
      </w:pPr>
      <w:r>
        <w:rPr>
          <w:rFonts w:ascii="Arial" w:cs="Arial" w:eastAsia="Arial" w:hAnsi="Arial"/>
          <w:sz w:val="20"/>
          <w:szCs w:val="20"/>
          <w:color w:val="auto"/>
        </w:rPr>
        <w:t>Axsome Therapeutics, Inc., a Delaware corporation (the “</w:t>
      </w:r>
      <w:r>
        <w:rPr>
          <w:rFonts w:ascii="Arial" w:cs="Arial" w:eastAsia="Arial" w:hAnsi="Arial"/>
          <w:sz w:val="20"/>
          <w:szCs w:val="20"/>
          <w:b w:val="1"/>
          <w:bCs w:val="1"/>
          <w:u w:val="single" w:color="auto"/>
          <w:color w:val="auto"/>
        </w:rPr>
        <w:t>Company</w:t>
      </w:r>
      <w:r>
        <w:rPr>
          <w:rFonts w:ascii="Arial" w:cs="Arial" w:eastAsia="Arial" w:hAnsi="Arial"/>
          <w:sz w:val="20"/>
          <w:szCs w:val="20"/>
          <w:color w:val="auto"/>
        </w:rPr>
        <w:t>”), confirms its agreement (this “</w:t>
      </w:r>
      <w:r>
        <w:rPr>
          <w:rFonts w:ascii="Arial" w:cs="Arial" w:eastAsia="Arial" w:hAnsi="Arial"/>
          <w:sz w:val="20"/>
          <w:szCs w:val="20"/>
          <w:b w:val="1"/>
          <w:bCs w:val="1"/>
          <w:u w:val="single" w:color="auto"/>
          <w:color w:val="auto"/>
        </w:rPr>
        <w:t>Agreement</w:t>
      </w:r>
      <w:r>
        <w:rPr>
          <w:rFonts w:ascii="Arial" w:cs="Arial" w:eastAsia="Arial" w:hAnsi="Arial"/>
          <w:sz w:val="20"/>
          <w:szCs w:val="20"/>
          <w:color w:val="auto"/>
        </w:rPr>
        <w:t>”) with SVB Securities LLC (the “</w:t>
      </w:r>
      <w:r>
        <w:rPr>
          <w:rFonts w:ascii="Arial" w:cs="Arial" w:eastAsia="Arial" w:hAnsi="Arial"/>
          <w:sz w:val="20"/>
          <w:szCs w:val="20"/>
          <w:b w:val="1"/>
          <w:bCs w:val="1"/>
          <w:u w:val="single" w:color="auto"/>
          <w:color w:val="auto"/>
        </w:rPr>
        <w:t>Agent</w:t>
      </w:r>
      <w:r>
        <w:rPr>
          <w:rFonts w:ascii="Arial" w:cs="Arial" w:eastAsia="Arial" w:hAnsi="Arial"/>
          <w:sz w:val="20"/>
          <w:szCs w:val="20"/>
          <w:color w:val="auto"/>
        </w:rPr>
        <w:t>”), as follows:</w:t>
      </w:r>
    </w:p>
    <w:p>
      <w:pPr>
        <w:spacing w:after="0" w:line="171" w:lineRule="exact"/>
        <w:rPr>
          <w:sz w:val="20"/>
          <w:szCs w:val="20"/>
          <w:color w:val="auto"/>
        </w:rPr>
      </w:pPr>
    </w:p>
    <w:p>
      <w:pPr>
        <w:ind w:firstLine="757"/>
        <w:spacing w:after="0" w:line="244" w:lineRule="auto"/>
        <w:tabs>
          <w:tab w:leader="none" w:pos="1498" w:val="left"/>
        </w:tabs>
        <w:numPr>
          <w:ilvl w:val="0"/>
          <w:numId w:val="2"/>
        </w:numPr>
        <w:rPr>
          <w:rFonts w:ascii="Arial" w:cs="Arial" w:eastAsia="Arial" w:hAnsi="Arial"/>
          <w:sz w:val="19"/>
          <w:szCs w:val="19"/>
          <w:color w:val="auto"/>
        </w:rPr>
      </w:pPr>
      <w:r>
        <w:rPr>
          <w:rFonts w:ascii="Arial" w:cs="Arial" w:eastAsia="Arial" w:hAnsi="Arial"/>
          <w:sz w:val="19"/>
          <w:szCs w:val="19"/>
          <w:u w:val="single" w:color="auto"/>
          <w:color w:val="auto"/>
        </w:rPr>
        <w:t>Issuance and Sale of Shares</w:t>
      </w:r>
      <w:r>
        <w:rPr>
          <w:rFonts w:ascii="Arial" w:cs="Arial" w:eastAsia="Arial" w:hAnsi="Arial"/>
          <w:sz w:val="19"/>
          <w:szCs w:val="19"/>
          <w:color w:val="auto"/>
        </w:rPr>
        <w:t>. The Company agrees that, from time to time during the term of this Agreement, on the terms and subject to the conditions set forth herein, it may issue and sell through the Agent shares of common stock, $0.0001 par value per share, of the Company (the “</w:t>
      </w:r>
      <w:r>
        <w:rPr>
          <w:rFonts w:ascii="Arial" w:cs="Arial" w:eastAsia="Arial" w:hAnsi="Arial"/>
          <w:sz w:val="19"/>
          <w:szCs w:val="19"/>
          <w:b w:val="1"/>
          <w:bCs w:val="1"/>
          <w:u w:val="single" w:color="auto"/>
          <w:color w:val="auto"/>
        </w:rPr>
        <w:t>Shares</w:t>
      </w:r>
      <w:r>
        <w:rPr>
          <w:rFonts w:ascii="Arial" w:cs="Arial" w:eastAsia="Arial" w:hAnsi="Arial"/>
          <w:sz w:val="19"/>
          <w:szCs w:val="19"/>
          <w:color w:val="auto"/>
        </w:rPr>
        <w:t>”), subject to the limitations set forth in Section 5(c) (the “</w:t>
      </w:r>
      <w:r>
        <w:rPr>
          <w:rFonts w:ascii="Arial" w:cs="Arial" w:eastAsia="Arial" w:hAnsi="Arial"/>
          <w:sz w:val="19"/>
          <w:szCs w:val="19"/>
          <w:b w:val="1"/>
          <w:bCs w:val="1"/>
          <w:u w:val="single" w:color="auto"/>
          <w:color w:val="auto"/>
        </w:rPr>
        <w:t>Placement Shares</w:t>
      </w:r>
      <w:r>
        <w:rPr>
          <w:rFonts w:ascii="Arial" w:cs="Arial" w:eastAsia="Arial" w:hAnsi="Arial"/>
          <w:sz w:val="19"/>
          <w:szCs w:val="19"/>
          <w:color w:val="auto"/>
        </w:rPr>
        <w:t>”). The issuance and sale of Placement Shares through the Agent will be effected pursuant to the Registration Statement (as defined below) to which the offering relates, filed or to be filed by the Company with the Securities and Exchange Commission (the “</w:t>
      </w:r>
      <w:r>
        <w:rPr>
          <w:rFonts w:ascii="Arial" w:cs="Arial" w:eastAsia="Arial" w:hAnsi="Arial"/>
          <w:sz w:val="19"/>
          <w:szCs w:val="19"/>
          <w:b w:val="1"/>
          <w:bCs w:val="1"/>
          <w:u w:val="single" w:color="auto"/>
          <w:color w:val="auto"/>
        </w:rPr>
        <w:t>Commission</w:t>
      </w:r>
      <w:r>
        <w:rPr>
          <w:rFonts w:ascii="Arial" w:cs="Arial" w:eastAsia="Arial" w:hAnsi="Arial"/>
          <w:sz w:val="19"/>
          <w:szCs w:val="19"/>
          <w:color w:val="auto"/>
        </w:rPr>
        <w:t>”), although nothing in this Agreement shall be construed as requiring the Company to issue any Placement Shares.</w:t>
      </w:r>
    </w:p>
    <w:p>
      <w:pPr>
        <w:spacing w:after="0" w:line="179"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The Company has prepared and filed, in accordance with the provisions of the Securities Act of 1933, as amended, and the rules and regulations thereunder (collectively, the “</w:t>
      </w:r>
      <w:r>
        <w:rPr>
          <w:rFonts w:ascii="Arial" w:cs="Arial" w:eastAsia="Arial" w:hAnsi="Arial"/>
          <w:sz w:val="18"/>
          <w:szCs w:val="18"/>
          <w:b w:val="1"/>
          <w:bCs w:val="1"/>
          <w:u w:val="single" w:color="auto"/>
          <w:color w:val="auto"/>
        </w:rPr>
        <w:t>Securities Act</w:t>
      </w:r>
      <w:r>
        <w:rPr>
          <w:rFonts w:ascii="Arial" w:cs="Arial" w:eastAsia="Arial" w:hAnsi="Arial"/>
          <w:sz w:val="18"/>
          <w:szCs w:val="18"/>
          <w:color w:val="auto"/>
        </w:rPr>
        <w:t>”), with the Commission an automatic shelf registration statement on Form S-3ASR (File No. 333-235372), including a base prospectus, relating to certain securities, including the Shares, to be issued from time to time by the Company, and which incorporates by reference documents that the Company has filed or will file in accordance with the provisions of the Securities Exchange Act of 1934, as amended, and the rules and regulations thereunder (collectively, the “</w:t>
      </w:r>
      <w:r>
        <w:rPr>
          <w:rFonts w:ascii="Arial" w:cs="Arial" w:eastAsia="Arial" w:hAnsi="Arial"/>
          <w:sz w:val="18"/>
          <w:szCs w:val="18"/>
          <w:b w:val="1"/>
          <w:bCs w:val="1"/>
          <w:u w:val="single" w:color="auto"/>
          <w:color w:val="auto"/>
        </w:rPr>
        <w:t>Exchange Act</w:t>
      </w:r>
      <w:r>
        <w:rPr>
          <w:rFonts w:ascii="Arial" w:cs="Arial" w:eastAsia="Arial" w:hAnsi="Arial"/>
          <w:sz w:val="18"/>
          <w:szCs w:val="18"/>
          <w:color w:val="auto"/>
        </w:rPr>
        <w:t>”). The Company has prepared a prospectus supplement to the base prospectus included as part of such registration statement at the time the registration statement became effective, which prospectus supplement specifically relates to the Placement Shares to be issued from time to time pursuant to this Agreement (the “</w:t>
      </w:r>
      <w:r>
        <w:rPr>
          <w:rFonts w:ascii="Arial" w:cs="Arial" w:eastAsia="Arial" w:hAnsi="Arial"/>
          <w:sz w:val="18"/>
          <w:szCs w:val="18"/>
          <w:b w:val="1"/>
          <w:bCs w:val="1"/>
          <w:u w:val="single" w:color="auto"/>
          <w:color w:val="auto"/>
        </w:rPr>
        <w:t>Prospectus Supplement</w:t>
      </w:r>
      <w:r>
        <w:rPr>
          <w:rFonts w:ascii="Arial" w:cs="Arial" w:eastAsia="Arial" w:hAnsi="Arial"/>
          <w:sz w:val="18"/>
          <w:szCs w:val="18"/>
          <w:color w:val="auto"/>
        </w:rPr>
        <w:t>”). The Company may file one or more additional registration statements from time to time that will contain a base prospectus and related prospectus or prospectus supplement, if applicable (which shall be a Prospectus Supplement), with respect to the Placement Shares. The Company will furnish to the Agent, for use by the Agent, copies of the base prospectus included as part of any such registration statement at the time it became effective, as supplemented by the Prospectus Supplement. Except where the context otherwise requires, any such registration statement, including all documents filed as part thereof or incorporated by reference therein, and including any information contained in a Prospectus (as defined below) subsequently filed with the Commission pursuant to Rule 424(b) under the Securities Act or deemed to be a part of such registration statement pursuant to Rule 430B or Rule 462(b) under the Securities Act, is herein called the “</w:t>
      </w:r>
      <w:r>
        <w:rPr>
          <w:rFonts w:ascii="Arial" w:cs="Arial" w:eastAsia="Arial" w:hAnsi="Arial"/>
          <w:sz w:val="18"/>
          <w:szCs w:val="18"/>
          <w:b w:val="1"/>
          <w:bCs w:val="1"/>
          <w:u w:val="single" w:color="auto"/>
          <w:color w:val="auto"/>
        </w:rPr>
        <w:t>Registration Statement</w:t>
      </w:r>
      <w:r>
        <w:rPr>
          <w:rFonts w:ascii="Arial" w:cs="Arial" w:eastAsia="Arial" w:hAnsi="Arial"/>
          <w:sz w:val="18"/>
          <w:szCs w:val="18"/>
          <w:color w:val="auto"/>
        </w:rPr>
        <w:t>.” The base prospectus, including all documents incorporated therein by reference, included in the Registration Statement, as it may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198755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4" w:name="page5"/>
    <w:bookmarkEnd w:id="4"/>
    <w:p>
      <w:pPr>
        <w:spacing w:after="0" w:line="231" w:lineRule="auto"/>
        <w:rPr>
          <w:sz w:val="20"/>
          <w:szCs w:val="20"/>
          <w:color w:val="auto"/>
        </w:rPr>
      </w:pPr>
      <w:r>
        <w:rPr>
          <w:rFonts w:ascii="Arial" w:cs="Arial" w:eastAsia="Arial" w:hAnsi="Arial"/>
          <w:sz w:val="20"/>
          <w:szCs w:val="20"/>
          <w:color w:val="auto"/>
        </w:rPr>
        <w:t>supplemented by the Prospectus Supplement, in the form in which such prospectus and/or Prospectus Supplement have most recently been filed by the Company with the Commission pursuant to Rule 424(b) under the Securities Act, together with any “issuer free writing prospectus” (as used herein, as defined in Rule 433 under the Securities Act (“</w:t>
      </w:r>
      <w:r>
        <w:rPr>
          <w:rFonts w:ascii="Arial" w:cs="Arial" w:eastAsia="Arial" w:hAnsi="Arial"/>
          <w:sz w:val="20"/>
          <w:szCs w:val="20"/>
          <w:b w:val="1"/>
          <w:bCs w:val="1"/>
          <w:u w:val="single" w:color="auto"/>
          <w:color w:val="auto"/>
        </w:rPr>
        <w:t>Rule 433</w:t>
      </w:r>
      <w:r>
        <w:rPr>
          <w:rFonts w:ascii="Arial" w:cs="Arial" w:eastAsia="Arial" w:hAnsi="Arial"/>
          <w:sz w:val="20"/>
          <w:szCs w:val="20"/>
          <w:color w:val="auto"/>
        </w:rPr>
        <w:t>”)), relating to the Placement Shares that (i) is required to be filed with the Commission by the Company or (ii) is exempt from filing pursuant to Rule 433(d)(5)(i), in each case, in the form filed or required to be filed with the Commission or, if not required to be filed, in the form retained in the Company’s records pursuant to Rule 433(g), is herein called the “</w:t>
      </w:r>
      <w:r>
        <w:rPr>
          <w:rFonts w:ascii="Arial" w:cs="Arial" w:eastAsia="Arial" w:hAnsi="Arial"/>
          <w:sz w:val="20"/>
          <w:szCs w:val="20"/>
          <w:b w:val="1"/>
          <w:bCs w:val="1"/>
          <w:u w:val="single" w:color="auto"/>
          <w:color w:val="auto"/>
        </w:rPr>
        <w:t>Prospectus</w:t>
      </w:r>
      <w:r>
        <w:rPr>
          <w:rFonts w:ascii="Arial" w:cs="Arial" w:eastAsia="Arial" w:hAnsi="Arial"/>
          <w:sz w:val="20"/>
          <w:szCs w:val="20"/>
          <w:color w:val="auto"/>
        </w:rPr>
        <w:t>.”</w:t>
      </w:r>
    </w:p>
    <w:p>
      <w:pPr>
        <w:spacing w:after="0" w:line="185"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Any reference herein to the Registration Statement, the Prospectus Supplement, the Prospectus or any issuer free writing prospectus shall be deemed to refer to and include the documents, if any, that are or are deemed to be incorporated by reference therein (the “</w:t>
      </w:r>
      <w:r>
        <w:rPr>
          <w:rFonts w:ascii="Arial" w:cs="Arial" w:eastAsia="Arial" w:hAnsi="Arial"/>
          <w:sz w:val="18"/>
          <w:szCs w:val="18"/>
          <w:b w:val="1"/>
          <w:bCs w:val="1"/>
          <w:u w:val="single" w:color="auto"/>
          <w:color w:val="auto"/>
        </w:rPr>
        <w:t>Incorporated</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Documents</w:t>
      </w:r>
      <w:r>
        <w:rPr>
          <w:rFonts w:ascii="Arial" w:cs="Arial" w:eastAsia="Arial" w:hAnsi="Arial"/>
          <w:sz w:val="18"/>
          <w:szCs w:val="18"/>
          <w:color w:val="auto"/>
        </w:rPr>
        <w:t>”), including, unless the context otherwise requires, the documents, if any, filed as exhibits to such Incorporated Documents. Any</w:t>
      </w:r>
      <w:r>
        <w:rPr>
          <w:rFonts w:ascii="Arial" w:cs="Arial" w:eastAsia="Arial" w:hAnsi="Arial"/>
          <w:sz w:val="18"/>
          <w:szCs w:val="18"/>
          <w:b w:val="1"/>
          <w:bCs w:val="1"/>
          <w:color w:val="auto"/>
        </w:rPr>
        <w:t xml:space="preserve"> </w:t>
      </w:r>
      <w:r>
        <w:rPr>
          <w:rFonts w:ascii="Arial" w:cs="Arial" w:eastAsia="Arial" w:hAnsi="Arial"/>
          <w:sz w:val="18"/>
          <w:szCs w:val="18"/>
          <w:color w:val="auto"/>
        </w:rPr>
        <w:t>reference herein to the terms “amend,” “amendment” or “supplement” with respect to the Registration Statement, the Prospectus Supplement, the Prospectus or any issuer free writing prospectus shall be deemed to refer to and include the filing of any document under the Exchange Act on or after the most-recent effective date of the Registration Statement, or the respective dates of the Prospectus Supplement, Prospectus or such issuer free writing prospectus, as the case may be, and incorporated therein by reference. For purposes of this Agreement, all references to the Registration Statement, the Prospectus or any amendment or supplement thereto shall be deemed to include the most recent copy filed with the Commission pursuant to its Electronic Data Gathering Analysis and Retrieval System or, if applicable, the Interactive Data Electronic Application system when used by the Commission (collectively, “</w:t>
      </w:r>
      <w:r>
        <w:rPr>
          <w:rFonts w:ascii="Arial" w:cs="Arial" w:eastAsia="Arial" w:hAnsi="Arial"/>
          <w:sz w:val="18"/>
          <w:szCs w:val="18"/>
          <w:b w:val="1"/>
          <w:bCs w:val="1"/>
          <w:u w:val="single" w:color="auto"/>
          <w:color w:val="auto"/>
        </w:rPr>
        <w:t>EDGAR</w:t>
      </w:r>
      <w:r>
        <w:rPr>
          <w:rFonts w:ascii="Arial" w:cs="Arial" w:eastAsia="Arial" w:hAnsi="Arial"/>
          <w:sz w:val="18"/>
          <w:szCs w:val="18"/>
          <w:color w:val="auto"/>
        </w:rPr>
        <w:t>”).</w:t>
      </w:r>
    </w:p>
    <w:p>
      <w:pPr>
        <w:spacing w:after="0" w:line="168" w:lineRule="exact"/>
        <w:rPr>
          <w:sz w:val="20"/>
          <w:szCs w:val="20"/>
          <w:color w:val="auto"/>
        </w:rPr>
      </w:pPr>
    </w:p>
    <w:p>
      <w:pPr>
        <w:ind w:firstLine="757"/>
        <w:spacing w:after="0" w:line="285" w:lineRule="auto"/>
        <w:tabs>
          <w:tab w:leader="none" w:pos="1498" w:val="left"/>
        </w:tabs>
        <w:numPr>
          <w:ilvl w:val="1"/>
          <w:numId w:val="3"/>
        </w:numPr>
        <w:rPr>
          <w:rFonts w:ascii="Arial" w:cs="Arial" w:eastAsia="Arial" w:hAnsi="Arial"/>
          <w:sz w:val="16"/>
          <w:szCs w:val="16"/>
          <w:color w:val="auto"/>
        </w:rPr>
      </w:pPr>
      <w:r>
        <w:rPr>
          <w:rFonts w:ascii="Arial" w:cs="Arial" w:eastAsia="Arial" w:hAnsi="Arial"/>
          <w:sz w:val="16"/>
          <w:szCs w:val="16"/>
          <w:u w:val="single" w:color="auto"/>
          <w:color w:val="auto"/>
        </w:rPr>
        <w:t>Placements</w:t>
      </w:r>
      <w:r>
        <w:rPr>
          <w:rFonts w:ascii="Arial" w:cs="Arial" w:eastAsia="Arial" w:hAnsi="Arial"/>
          <w:sz w:val="16"/>
          <w:szCs w:val="16"/>
          <w:color w:val="auto"/>
        </w:rPr>
        <w:t>. Each time that the Company wishes to issue and sell any Placement Shares through the Agent hereunder (each, a “</w:t>
      </w:r>
      <w:r>
        <w:rPr>
          <w:rFonts w:ascii="Arial" w:cs="Arial" w:eastAsia="Arial" w:hAnsi="Arial"/>
          <w:sz w:val="16"/>
          <w:szCs w:val="16"/>
          <w:b w:val="1"/>
          <w:bCs w:val="1"/>
          <w:u w:val="single" w:color="auto"/>
          <w:color w:val="auto"/>
        </w:rPr>
        <w:t>Placement</w:t>
      </w:r>
      <w:r>
        <w:rPr>
          <w:rFonts w:ascii="Arial" w:cs="Arial" w:eastAsia="Arial" w:hAnsi="Arial"/>
          <w:sz w:val="16"/>
          <w:szCs w:val="16"/>
          <w:color w:val="auto"/>
        </w:rPr>
        <w:t>”), it will notify the Agent by email notice (or other method mutually agreed to in writing by the parties) (each such notice, a “</w:t>
      </w:r>
      <w:r>
        <w:rPr>
          <w:rFonts w:ascii="Arial" w:cs="Arial" w:eastAsia="Arial" w:hAnsi="Arial"/>
          <w:sz w:val="16"/>
          <w:szCs w:val="16"/>
          <w:b w:val="1"/>
          <w:bCs w:val="1"/>
          <w:u w:val="single" w:color="auto"/>
          <w:color w:val="auto"/>
        </w:rPr>
        <w:t>Placement Notice</w:t>
      </w:r>
      <w:r>
        <w:rPr>
          <w:rFonts w:ascii="Arial" w:cs="Arial" w:eastAsia="Arial" w:hAnsi="Arial"/>
          <w:sz w:val="16"/>
          <w:szCs w:val="16"/>
          <w:color w:val="auto"/>
        </w:rPr>
        <w:t xml:space="preserve">”) containing the parameters in accordance with which it desires such Placement Shares to be sold, which at a minimum shall include the maximum number or amount of Placement Shares to be sold, the time period during which sales are requested to be made, any limitation on the number or amount of Placement Shares that may be sold in any one Trading Day (as defined in Section 3) and any minimum price below which sales may not be made, a form of which containing such minimum sales parameters is attached hereto as </w:t>
      </w:r>
      <w:r>
        <w:rPr>
          <w:rFonts w:ascii="Arial" w:cs="Arial" w:eastAsia="Arial" w:hAnsi="Arial"/>
          <w:sz w:val="16"/>
          <w:szCs w:val="16"/>
          <w:b w:val="1"/>
          <w:bCs w:val="1"/>
          <w:u w:val="single" w:color="auto"/>
          <w:color w:val="auto"/>
        </w:rPr>
        <w:t>Schedule 1</w:t>
      </w:r>
      <w:r>
        <w:rPr>
          <w:rFonts w:ascii="Arial" w:cs="Arial" w:eastAsia="Arial" w:hAnsi="Arial"/>
          <w:sz w:val="16"/>
          <w:szCs w:val="16"/>
          <w:color w:val="auto"/>
        </w:rPr>
        <w:t>. The Placement Notice must originate from one of the individuals authorized to act on behalf of the Company and set forth on</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Schedule 2</w:t>
      </w:r>
      <w:r>
        <w:rPr>
          <w:rFonts w:ascii="Arial" w:cs="Arial" w:eastAsia="Arial" w:hAnsi="Arial"/>
          <w:sz w:val="16"/>
          <w:szCs w:val="16"/>
          <w:b w:val="1"/>
          <w:bCs w:val="1"/>
          <w:color w:val="auto"/>
        </w:rPr>
        <w:t xml:space="preserve"> </w:t>
      </w:r>
      <w:r>
        <w:rPr>
          <w:rFonts w:ascii="Arial" w:cs="Arial" w:eastAsia="Arial" w:hAnsi="Arial"/>
          <w:sz w:val="16"/>
          <w:szCs w:val="16"/>
          <w:color w:val="auto"/>
        </w:rPr>
        <w:t>(with a copy to each of the other individuals from the Company listed on such</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Schedule 2</w:t>
      </w:r>
      <w:r>
        <w:rPr>
          <w:rFonts w:ascii="Arial" w:cs="Arial" w:eastAsia="Arial" w:hAnsi="Arial"/>
          <w:sz w:val="16"/>
          <w:szCs w:val="16"/>
          <w:color w:val="auto"/>
        </w:rPr>
        <w:t>), and shall be addressed to each of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individuals from the Agent set forth on </w:t>
      </w:r>
      <w:r>
        <w:rPr>
          <w:rFonts w:ascii="Arial" w:cs="Arial" w:eastAsia="Arial" w:hAnsi="Arial"/>
          <w:sz w:val="16"/>
          <w:szCs w:val="16"/>
          <w:b w:val="1"/>
          <w:bCs w:val="1"/>
          <w:u w:val="single" w:color="auto"/>
          <w:color w:val="auto"/>
        </w:rPr>
        <w:t>Schedule 2</w:t>
      </w:r>
      <w:r>
        <w:rPr>
          <w:rFonts w:ascii="Arial" w:cs="Arial" w:eastAsia="Arial" w:hAnsi="Arial"/>
          <w:sz w:val="16"/>
          <w:szCs w:val="16"/>
          <w:color w:val="auto"/>
        </w:rPr>
        <w:t xml:space="preserve">, as such </w:t>
      </w:r>
      <w:r>
        <w:rPr>
          <w:rFonts w:ascii="Arial" w:cs="Arial" w:eastAsia="Arial" w:hAnsi="Arial"/>
          <w:sz w:val="16"/>
          <w:szCs w:val="16"/>
          <w:b w:val="1"/>
          <w:bCs w:val="1"/>
          <w:u w:val="single" w:color="auto"/>
          <w:color w:val="auto"/>
        </w:rPr>
        <w:t>Schedule 2</w:t>
      </w:r>
      <w:r>
        <w:rPr>
          <w:rFonts w:ascii="Arial" w:cs="Arial" w:eastAsia="Arial" w:hAnsi="Arial"/>
          <w:sz w:val="16"/>
          <w:szCs w:val="16"/>
          <w:color w:val="auto"/>
        </w:rPr>
        <w:t xml:space="preserve"> may be updated by either party from time to time by sending a written notice containing a revised </w:t>
      </w:r>
      <w:r>
        <w:rPr>
          <w:rFonts w:ascii="Arial" w:cs="Arial" w:eastAsia="Arial" w:hAnsi="Arial"/>
          <w:sz w:val="16"/>
          <w:szCs w:val="16"/>
          <w:b w:val="1"/>
          <w:bCs w:val="1"/>
          <w:u w:val="single" w:color="auto"/>
          <w:color w:val="auto"/>
        </w:rPr>
        <w:t>Schedule 2</w:t>
      </w:r>
      <w:r>
        <w:rPr>
          <w:rFonts w:ascii="Arial" w:cs="Arial" w:eastAsia="Arial" w:hAnsi="Arial"/>
          <w:sz w:val="16"/>
          <w:szCs w:val="16"/>
          <w:color w:val="auto"/>
        </w:rPr>
        <w:t xml:space="preserve"> to the other party in the manner provided in Section 12 (including by email correspondence to each of the individuals of the Company set forth on </w:t>
      </w:r>
      <w:r>
        <w:rPr>
          <w:rFonts w:ascii="Arial" w:cs="Arial" w:eastAsia="Arial" w:hAnsi="Arial"/>
          <w:sz w:val="16"/>
          <w:szCs w:val="16"/>
          <w:b w:val="1"/>
          <w:bCs w:val="1"/>
          <w:u w:val="single" w:color="auto"/>
          <w:color w:val="auto"/>
        </w:rPr>
        <w:t>Schedule 2</w:t>
      </w:r>
      <w:r>
        <w:rPr>
          <w:rFonts w:ascii="Arial" w:cs="Arial" w:eastAsia="Arial" w:hAnsi="Arial"/>
          <w:sz w:val="16"/>
          <w:szCs w:val="16"/>
          <w:color w:val="auto"/>
        </w:rPr>
        <w:t>, if receipt of such correspondence is actually acknowledged by any of the individuals to whom the notice is sent, other than via auto-reply). The Placement Notice shall be effective upon receipt by the Agent unless and until (i) in accordance with the notice requirements set forth in Section 4, the Agent declines to accept the terms contained therein for any reason, in its sole discretion, within two Trading Days of the date the Agent receives the Placement Notice, (ii) in accordance with the notice requirements set forth in Section 4, the Agent suspends sales under the Placement Notice for any reason in its sole discretion, (iii) the entire amount of the Placement Shares has been sold pursuant to this Agreement, (iv) in accordance with the notice requirements set forth in Section 4, the Company suspends sales under or terminates the Placement Notice for any reason in its sole discretion, (v) the Company issues a subsequent Placement Notice and explicitly indicates that its parameters supersede those contained in the earlier dated Placement Notice or</w:t>
      </w:r>
    </w:p>
    <w:p>
      <w:pPr>
        <w:spacing w:after="0" w:line="189" w:lineRule="exact"/>
        <w:rPr>
          <w:rFonts w:ascii="Arial" w:cs="Arial" w:eastAsia="Arial" w:hAnsi="Arial"/>
          <w:sz w:val="16"/>
          <w:szCs w:val="16"/>
          <w:color w:val="auto"/>
        </w:rPr>
      </w:pPr>
    </w:p>
    <w:p>
      <w:pPr>
        <w:ind w:right="200" w:firstLine="8"/>
        <w:spacing w:after="0" w:line="225" w:lineRule="auto"/>
        <w:tabs>
          <w:tab w:leader="none" w:pos="335" w:val="left"/>
        </w:tabs>
        <w:numPr>
          <w:ilvl w:val="0"/>
          <w:numId w:val="4"/>
        </w:numPr>
        <w:rPr>
          <w:rFonts w:ascii="Arial" w:cs="Arial" w:eastAsia="Arial" w:hAnsi="Arial"/>
          <w:sz w:val="20"/>
          <w:szCs w:val="20"/>
          <w:color w:val="auto"/>
        </w:rPr>
      </w:pPr>
      <w:r>
        <w:rPr>
          <w:rFonts w:ascii="Arial" w:cs="Arial" w:eastAsia="Arial" w:hAnsi="Arial"/>
          <w:sz w:val="20"/>
          <w:szCs w:val="20"/>
          <w:color w:val="auto"/>
        </w:rPr>
        <w:t xml:space="preserve">this Agreement has been terminated pursuant to the provisions of Section 11. The amount of any discount, commission or other compensation to be paid by the Company to the Agent in connection with the sale of the Placement Shares effected through the Agent shall be calculated in accordance with the terms set forth in </w:t>
      </w:r>
      <w:r>
        <w:rPr>
          <w:rFonts w:ascii="Arial" w:cs="Arial" w:eastAsia="Arial" w:hAnsi="Arial"/>
          <w:sz w:val="20"/>
          <w:szCs w:val="20"/>
          <w:b w:val="1"/>
          <w:bCs w:val="1"/>
          <w:u w:val="single" w:color="auto"/>
          <w:color w:val="auto"/>
        </w:rPr>
        <w:t>Schedule 3</w:t>
      </w:r>
      <w:r>
        <w:rPr>
          <w:rFonts w:ascii="Arial" w:cs="Arial" w:eastAsia="Arial" w:hAnsi="Arial"/>
          <w:sz w:val="20"/>
          <w:szCs w:val="20"/>
          <w:color w:val="auto"/>
        </w:rPr>
        <w:t>. It is expressly acknowledged and agreed that neither the Company nor the</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 w:name="page6"/>
    <w:bookmarkEnd w:id="5"/>
    <w:p>
      <w:pPr>
        <w:ind w:right="340"/>
        <w:spacing w:after="0" w:line="249" w:lineRule="auto"/>
        <w:rPr>
          <w:sz w:val="20"/>
          <w:szCs w:val="20"/>
          <w:color w:val="auto"/>
        </w:rPr>
      </w:pPr>
      <w:r>
        <w:rPr>
          <w:rFonts w:ascii="Arial" w:cs="Arial" w:eastAsia="Arial" w:hAnsi="Arial"/>
          <w:sz w:val="19"/>
          <w:szCs w:val="19"/>
          <w:color w:val="auto"/>
        </w:rPr>
        <w:t>Agent will have any obligation whatsoever with respect to a Placement or any Placement Shares unless and until the Company delivers a Placement Notice to the Agent and the Agent does not decline such Placement Notice pursuant to the terms set forth above, and then only upon the terms specified therein and herein. In the event of a conflict between the terms of this Agreement and the terms of a Placement Notice, the terms of the Placement Notice will control with respect to the matters covered thereby.</w:t>
      </w:r>
    </w:p>
    <w:p>
      <w:pPr>
        <w:spacing w:after="0" w:line="174" w:lineRule="exact"/>
        <w:rPr>
          <w:sz w:val="20"/>
          <w:szCs w:val="20"/>
          <w:color w:val="auto"/>
        </w:rPr>
      </w:pPr>
    </w:p>
    <w:p>
      <w:pPr>
        <w:ind w:right="20" w:firstLine="757"/>
        <w:spacing w:after="0" w:line="252" w:lineRule="auto"/>
        <w:tabs>
          <w:tab w:leader="none" w:pos="1498"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Sale of Placement Shares by the Agent</w:t>
      </w:r>
      <w:r>
        <w:rPr>
          <w:rFonts w:ascii="Arial" w:cs="Arial" w:eastAsia="Arial" w:hAnsi="Arial"/>
          <w:sz w:val="18"/>
          <w:szCs w:val="18"/>
          <w:color w:val="auto"/>
        </w:rPr>
        <w:t>. On the basis of the representations and warranties herein contained and subject to the terms and conditions herein set forth, including, without limitation, Section 5(c), upon the Agent’s acceptance of the terms of a Placement Notice as provided in Section 2, and unless the sale of the Placement Shares described therein has been declined, suspended or otherwise terminated in accordance with the terms of this Agreement, the Agent, for the period specified in the Placement Notice, will use its commercially reasonable efforts consistent with its normal trading and sales practices and applicable state and federal laws, rules and regulations and the rules of the Nasdaq Global Market (“</w:t>
      </w:r>
      <w:r>
        <w:rPr>
          <w:rFonts w:ascii="Arial" w:cs="Arial" w:eastAsia="Arial" w:hAnsi="Arial"/>
          <w:sz w:val="18"/>
          <w:szCs w:val="18"/>
          <w:b w:val="1"/>
          <w:bCs w:val="1"/>
          <w:u w:val="single" w:color="auto"/>
          <w:color w:val="auto"/>
        </w:rPr>
        <w:t>Nasdaq</w:t>
      </w:r>
      <w:r>
        <w:rPr>
          <w:rFonts w:ascii="Arial" w:cs="Arial" w:eastAsia="Arial" w:hAnsi="Arial"/>
          <w:sz w:val="18"/>
          <w:szCs w:val="18"/>
          <w:color w:val="auto"/>
        </w:rPr>
        <w:t xml:space="preserve">”) to sell such Placement Shares up to the number or amount specified in, and otherwise in accordance with the terms of, such Placement Notice. The Agent will provide written confirmation to the Company (including by email correspondence to each of the individuals of the Company set forth on </w:t>
      </w:r>
      <w:r>
        <w:rPr>
          <w:rFonts w:ascii="Arial" w:cs="Arial" w:eastAsia="Arial" w:hAnsi="Arial"/>
          <w:sz w:val="18"/>
          <w:szCs w:val="18"/>
          <w:b w:val="1"/>
          <w:bCs w:val="1"/>
          <w:u w:val="single" w:color="auto"/>
          <w:color w:val="auto"/>
        </w:rPr>
        <w:t>Schedule 2</w:t>
      </w:r>
      <w:r>
        <w:rPr>
          <w:rFonts w:ascii="Arial" w:cs="Arial" w:eastAsia="Arial" w:hAnsi="Arial"/>
          <w:sz w:val="18"/>
          <w:szCs w:val="18"/>
          <w:color w:val="auto"/>
        </w:rPr>
        <w:t>, if receipt of such correspondence is actually acknowledged by any of the individuals to whom the notice is sent, other than via auto-reply) no later than the opening of the Trading Day (as defined below) immediately following the Trading Day on which it has made sales of Placement Shares hereunder setting forth the number or amount of Placement Shares sold on such Trading Day, the volume-weighted average price of the Placement Shares sold and the Net Proceeds (as defined below) payable to the Company. Unless otherwise specified by the Company in a Placement Notice, the Agent may sell Placement Shares by any method permitted by law deemed to be an “at the market offering” as defined in Rule 415 of the Securities Act, including, without limitation, sales made directly on or through Nasdaq, on or through any other existing trading market for the Shares or to or through a market maker. If expressly authorized by the Company (including in a Placement Notice), the Agent may also sell Placement Shares in negotiated transactions. Notwithstanding the provisions of Section 6(tt), except as may be otherwise agreed by the Company and the Agent, the Agent shall not purchase Placement Shares on a principal basis pursuant to this Agreement unless the Company and the Agent enter into a separate written agreement setting forth the terms of such sale. The Company acknowledges and agrees that (i) there can be no assurance that the Agent will be successful in selling Placement Shares, (ii) the Agent will incur no liability or obligation to the Company or any other person or entity if it does not sell Placement Shares for any reason other than a failure by the Agent to use its commercially reasonable efforts consistent with its normal trading and sales practices and applicable state and federal laws, rules and regulations and the rules of Nasdaq to sell such Placement Shares as required under this Agreement and (iii) the Agent shall be under no obligation to purchase Placement Shares on a principal basis pursuant to this Agreement unless the Company and the Agent enter into a separate written agreement setting forth the terms of such sale. For the purposes hereof, “</w:t>
      </w:r>
      <w:r>
        <w:rPr>
          <w:rFonts w:ascii="Arial" w:cs="Arial" w:eastAsia="Arial" w:hAnsi="Arial"/>
          <w:sz w:val="18"/>
          <w:szCs w:val="18"/>
          <w:b w:val="1"/>
          <w:bCs w:val="1"/>
          <w:u w:val="single" w:color="auto"/>
          <w:color w:val="auto"/>
        </w:rPr>
        <w:t>Trading Day</w:t>
      </w:r>
      <w:r>
        <w:rPr>
          <w:rFonts w:ascii="Arial" w:cs="Arial" w:eastAsia="Arial" w:hAnsi="Arial"/>
          <w:sz w:val="18"/>
          <w:szCs w:val="18"/>
          <w:color w:val="auto"/>
        </w:rPr>
        <w:t>” means any day on which Shares are purchased and sold on Nasdaq.</w:t>
      </w:r>
    </w:p>
    <w:p>
      <w:pPr>
        <w:spacing w:after="0" w:line="182" w:lineRule="exact"/>
        <w:rPr>
          <w:rFonts w:ascii="Arial" w:cs="Arial" w:eastAsia="Arial" w:hAnsi="Arial"/>
          <w:sz w:val="18"/>
          <w:szCs w:val="18"/>
          <w:color w:val="auto"/>
        </w:rPr>
      </w:pPr>
    </w:p>
    <w:p>
      <w:pPr>
        <w:ind w:left="1500" w:hanging="743"/>
        <w:spacing w:after="0"/>
        <w:tabs>
          <w:tab w:leader="none" w:pos="1500" w:val="left"/>
        </w:tabs>
        <w:numPr>
          <w:ilvl w:val="0"/>
          <w:numId w:val="5"/>
        </w:numPr>
        <w:rPr>
          <w:rFonts w:ascii="Arial" w:cs="Arial" w:eastAsia="Arial" w:hAnsi="Arial"/>
          <w:sz w:val="20"/>
          <w:szCs w:val="20"/>
          <w:color w:val="auto"/>
        </w:rPr>
      </w:pPr>
      <w:r>
        <w:rPr>
          <w:rFonts w:ascii="Arial" w:cs="Arial" w:eastAsia="Arial" w:hAnsi="Arial"/>
          <w:sz w:val="20"/>
          <w:szCs w:val="20"/>
          <w:u w:val="single" w:color="auto"/>
          <w:color w:val="auto"/>
        </w:rPr>
        <w:t>Suspension of Sales</w:t>
      </w:r>
      <w:r>
        <w:rPr>
          <w:rFonts w:ascii="Arial" w:cs="Arial" w:eastAsia="Arial" w:hAnsi="Arial"/>
          <w:sz w:val="20"/>
          <w:szCs w:val="20"/>
          <w:color w:val="auto"/>
        </w:rPr>
        <w:t>.</w:t>
      </w:r>
    </w:p>
    <w:p>
      <w:pPr>
        <w:spacing w:after="0" w:line="202" w:lineRule="exact"/>
        <w:rPr>
          <w:rFonts w:ascii="Arial" w:cs="Arial" w:eastAsia="Arial" w:hAnsi="Arial"/>
          <w:sz w:val="20"/>
          <w:szCs w:val="20"/>
          <w:color w:val="auto"/>
        </w:rPr>
      </w:pPr>
    </w:p>
    <w:p>
      <w:pPr>
        <w:ind w:left="760" w:firstLine="840"/>
        <w:spacing w:after="0" w:line="258" w:lineRule="auto"/>
        <w:tabs>
          <w:tab w:leader="none" w:pos="1999" w:val="left"/>
        </w:tabs>
        <w:numPr>
          <w:ilvl w:val="1"/>
          <w:numId w:val="5"/>
        </w:numPr>
        <w:rPr>
          <w:rFonts w:ascii="Arial" w:cs="Arial" w:eastAsia="Arial" w:hAnsi="Arial"/>
          <w:sz w:val="18"/>
          <w:szCs w:val="18"/>
          <w:color w:val="auto"/>
        </w:rPr>
      </w:pPr>
      <w:r>
        <w:rPr>
          <w:rFonts w:ascii="Arial" w:cs="Arial" w:eastAsia="Arial" w:hAnsi="Arial"/>
          <w:sz w:val="18"/>
          <w:szCs w:val="18"/>
          <w:color w:val="auto"/>
        </w:rPr>
        <w:t xml:space="preserve">The Company or the Agent may, upon notice to the other party in writing (including by email correspondence to each of the individuals of the other party set forth on </w:t>
      </w:r>
      <w:r>
        <w:rPr>
          <w:rFonts w:ascii="Arial" w:cs="Arial" w:eastAsia="Arial" w:hAnsi="Arial"/>
          <w:sz w:val="18"/>
          <w:szCs w:val="18"/>
          <w:b w:val="1"/>
          <w:bCs w:val="1"/>
          <w:u w:val="single" w:color="auto"/>
          <w:color w:val="auto"/>
        </w:rPr>
        <w:t>Schedule 2</w:t>
      </w:r>
      <w:r>
        <w:rPr>
          <w:rFonts w:ascii="Arial" w:cs="Arial" w:eastAsia="Arial" w:hAnsi="Arial"/>
          <w:sz w:val="18"/>
          <w:szCs w:val="18"/>
          <w:color w:val="auto"/>
        </w:rPr>
        <w:t xml:space="preserve">, if receipt of such correspondence is actually acknowledged by any of the individuals to whom the notice is sent, other than via auto-reply) or by telephone (confirmed immediately by verifiable facsimile transmission or email correspondence to each of the individuals of the other party set forth on </w:t>
      </w:r>
      <w:r>
        <w:rPr>
          <w:rFonts w:ascii="Arial" w:cs="Arial" w:eastAsia="Arial" w:hAnsi="Arial"/>
          <w:sz w:val="18"/>
          <w:szCs w:val="18"/>
          <w:b w:val="1"/>
          <w:bCs w:val="1"/>
          <w:u w:val="single" w:color="auto"/>
          <w:color w:val="auto"/>
        </w:rPr>
        <w:t>Schedule 2</w:t>
      </w:r>
      <w:r>
        <w:rPr>
          <w:rFonts w:ascii="Arial" w:cs="Arial" w:eastAsia="Arial" w:hAnsi="Arial"/>
          <w:sz w:val="18"/>
          <w:szCs w:val="18"/>
          <w:color w:val="auto"/>
        </w:rPr>
        <w:t xml:space="preserve">), suspend any sale of Placement Shares;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such suspension shall not affect or impair either party’s obligations with respect to any Placement Shares sold hereunder prior to the receipt of such notice. Each of the parties agrees that no such notice under this Section 4 shall be effective against the other party unless notice is sent by one of</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332105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ind w:left="3" w:right="420"/>
        <w:spacing w:after="0" w:line="239" w:lineRule="auto"/>
        <w:rPr>
          <w:sz w:val="20"/>
          <w:szCs w:val="20"/>
          <w:color w:val="auto"/>
        </w:rPr>
      </w:pPr>
      <w:r>
        <w:rPr>
          <w:rFonts w:ascii="Arial" w:cs="Arial" w:eastAsia="Arial" w:hAnsi="Arial"/>
          <w:sz w:val="20"/>
          <w:szCs w:val="20"/>
          <w:color w:val="auto"/>
        </w:rPr>
        <w:t xml:space="preserve">the individuals named on </w:t>
      </w:r>
      <w:r>
        <w:rPr>
          <w:rFonts w:ascii="Arial" w:cs="Arial" w:eastAsia="Arial" w:hAnsi="Arial"/>
          <w:sz w:val="20"/>
          <w:szCs w:val="20"/>
          <w:b w:val="1"/>
          <w:bCs w:val="1"/>
          <w:u w:val="single" w:color="auto"/>
          <w:color w:val="auto"/>
        </w:rPr>
        <w:t>Schedule 2</w:t>
      </w:r>
      <w:r>
        <w:rPr>
          <w:rFonts w:ascii="Arial" w:cs="Arial" w:eastAsia="Arial" w:hAnsi="Arial"/>
          <w:sz w:val="20"/>
          <w:szCs w:val="20"/>
          <w:color w:val="auto"/>
        </w:rPr>
        <w:t xml:space="preserve"> hereto to the other party in writing (including by email correspondence to each of the individuals of the other party set forth on </w:t>
      </w:r>
      <w:r>
        <w:rPr>
          <w:rFonts w:ascii="Arial" w:cs="Arial" w:eastAsia="Arial" w:hAnsi="Arial"/>
          <w:sz w:val="20"/>
          <w:szCs w:val="20"/>
          <w:b w:val="1"/>
          <w:bCs w:val="1"/>
          <w:u w:val="single" w:color="auto"/>
          <w:color w:val="auto"/>
        </w:rPr>
        <w:t>Schedule 2</w:t>
      </w:r>
      <w:r>
        <w:rPr>
          <w:rFonts w:ascii="Arial" w:cs="Arial" w:eastAsia="Arial" w:hAnsi="Arial"/>
          <w:sz w:val="20"/>
          <w:szCs w:val="20"/>
          <w:color w:val="auto"/>
        </w:rPr>
        <w:t>, if receipt of such correspondence is actually acknowledged by any of the individuals to whom the notice is sent, other than via auto-reply).</w:t>
      </w:r>
    </w:p>
    <w:p>
      <w:pPr>
        <w:spacing w:after="0" w:line="182" w:lineRule="exact"/>
        <w:rPr>
          <w:sz w:val="20"/>
          <w:szCs w:val="20"/>
          <w:color w:val="auto"/>
        </w:rPr>
      </w:pPr>
    </w:p>
    <w:p>
      <w:pPr>
        <w:ind w:left="3" w:right="40" w:firstLine="840"/>
        <w:spacing w:after="0" w:line="232" w:lineRule="auto"/>
        <w:tabs>
          <w:tab w:leader="none" w:pos="1242" w:val="left"/>
        </w:tabs>
        <w:numPr>
          <w:ilvl w:val="1"/>
          <w:numId w:val="6"/>
        </w:numPr>
        <w:rPr>
          <w:rFonts w:ascii="Arial" w:cs="Arial" w:eastAsia="Arial" w:hAnsi="Arial"/>
          <w:sz w:val="20"/>
          <w:szCs w:val="20"/>
          <w:color w:val="auto"/>
        </w:rPr>
      </w:pPr>
      <w:r>
        <w:rPr>
          <w:rFonts w:ascii="Arial" w:cs="Arial" w:eastAsia="Arial" w:hAnsi="Arial"/>
          <w:sz w:val="20"/>
          <w:szCs w:val="20"/>
          <w:color w:val="auto"/>
        </w:rPr>
        <w:t>Notwithstanding any other provision of this Agreement, during any period in which the Company is, or could be deemed to be, in possession of material non-public information, the Company and the Agent agree that (i) no sale of Placement Shares will take place, (ii) the Company shall not request the sale of any Placement Shares and shall cancel any effective Placement Notices instructing the Agent to make any sales and (iii) the Agent shall not be obligated to sell or offer to sell any Placement Shares.</w:t>
      </w:r>
    </w:p>
    <w:p>
      <w:pPr>
        <w:spacing w:after="0" w:line="184" w:lineRule="exact"/>
        <w:rPr>
          <w:rFonts w:ascii="Arial" w:cs="Arial" w:eastAsia="Arial" w:hAnsi="Arial"/>
          <w:sz w:val="20"/>
          <w:szCs w:val="20"/>
          <w:color w:val="auto"/>
        </w:rPr>
      </w:pPr>
    </w:p>
    <w:p>
      <w:pPr>
        <w:ind w:left="743" w:hanging="743"/>
        <w:spacing w:after="0"/>
        <w:tabs>
          <w:tab w:leader="none" w:pos="743" w:val="left"/>
        </w:tabs>
        <w:numPr>
          <w:ilvl w:val="0"/>
          <w:numId w:val="7"/>
        </w:numPr>
        <w:rPr>
          <w:rFonts w:ascii="Arial" w:cs="Arial" w:eastAsia="Arial" w:hAnsi="Arial"/>
          <w:sz w:val="20"/>
          <w:szCs w:val="20"/>
          <w:color w:val="auto"/>
        </w:rPr>
      </w:pPr>
      <w:r>
        <w:rPr>
          <w:rFonts w:ascii="Arial" w:cs="Arial" w:eastAsia="Arial" w:hAnsi="Arial"/>
          <w:sz w:val="20"/>
          <w:szCs w:val="20"/>
          <w:u w:val="single" w:color="auto"/>
          <w:color w:val="auto"/>
        </w:rPr>
        <w:t>Settlement and Delivery of the Placement Shares</w:t>
      </w:r>
      <w:r>
        <w:rPr>
          <w:rFonts w:ascii="Arial" w:cs="Arial" w:eastAsia="Arial" w:hAnsi="Arial"/>
          <w:sz w:val="20"/>
          <w:szCs w:val="20"/>
          <w:color w:val="auto"/>
        </w:rPr>
        <w:t>.</w:t>
      </w:r>
    </w:p>
    <w:p>
      <w:pPr>
        <w:spacing w:after="0" w:line="202" w:lineRule="exact"/>
        <w:rPr>
          <w:rFonts w:ascii="Arial" w:cs="Arial" w:eastAsia="Arial" w:hAnsi="Arial"/>
          <w:sz w:val="20"/>
          <w:szCs w:val="20"/>
          <w:color w:val="auto"/>
        </w:rPr>
      </w:pPr>
    </w:p>
    <w:p>
      <w:pPr>
        <w:ind w:left="3" w:firstLine="840"/>
        <w:spacing w:after="0" w:line="257" w:lineRule="auto"/>
        <w:tabs>
          <w:tab w:leader="none" w:pos="1242" w:val="left"/>
        </w:tabs>
        <w:numPr>
          <w:ilvl w:val="1"/>
          <w:numId w:val="7"/>
        </w:numPr>
        <w:rPr>
          <w:rFonts w:ascii="Arial" w:cs="Arial" w:eastAsia="Arial" w:hAnsi="Arial"/>
          <w:sz w:val="18"/>
          <w:szCs w:val="18"/>
          <w:color w:val="auto"/>
        </w:rPr>
      </w:pPr>
      <w:r>
        <w:rPr>
          <w:rFonts w:ascii="Arial" w:cs="Arial" w:eastAsia="Arial" w:hAnsi="Arial"/>
          <w:sz w:val="18"/>
          <w:szCs w:val="18"/>
          <w:u w:val="single" w:color="auto"/>
          <w:color w:val="auto"/>
        </w:rPr>
        <w:t>Settlement of Placement Shares</w:t>
      </w:r>
      <w:r>
        <w:rPr>
          <w:rFonts w:ascii="Arial" w:cs="Arial" w:eastAsia="Arial" w:hAnsi="Arial"/>
          <w:sz w:val="18"/>
          <w:szCs w:val="18"/>
          <w:color w:val="auto"/>
        </w:rPr>
        <w:t>. Unless otherwise specified in the applicable Placement Notice, settlement for sales of Placement Shares will occur on the second Trading Day (or such earlier day as is industry practice or as is required for regular-way trading) following the date on which such sales are made (each, a “</w:t>
      </w:r>
      <w:r>
        <w:rPr>
          <w:rFonts w:ascii="Arial" w:cs="Arial" w:eastAsia="Arial" w:hAnsi="Arial"/>
          <w:sz w:val="18"/>
          <w:szCs w:val="18"/>
          <w:b w:val="1"/>
          <w:bCs w:val="1"/>
          <w:u w:val="single" w:color="auto"/>
          <w:color w:val="auto"/>
        </w:rPr>
        <w:t>Settlement Date</w:t>
      </w:r>
      <w:r>
        <w:rPr>
          <w:rFonts w:ascii="Arial" w:cs="Arial" w:eastAsia="Arial" w:hAnsi="Arial"/>
          <w:sz w:val="18"/>
          <w:szCs w:val="18"/>
          <w:color w:val="auto"/>
        </w:rPr>
        <w:t>”). The amount of proceeds to be delivered to the Company on a Settlement Date against receipt of the Placement Shares sold (the “</w:t>
      </w:r>
      <w:r>
        <w:rPr>
          <w:rFonts w:ascii="Arial" w:cs="Arial" w:eastAsia="Arial" w:hAnsi="Arial"/>
          <w:sz w:val="18"/>
          <w:szCs w:val="18"/>
          <w:b w:val="1"/>
          <w:bCs w:val="1"/>
          <w:u w:val="single" w:color="auto"/>
          <w:color w:val="auto"/>
        </w:rPr>
        <w:t>Net Proceeds</w:t>
      </w:r>
      <w:r>
        <w:rPr>
          <w:rFonts w:ascii="Arial" w:cs="Arial" w:eastAsia="Arial" w:hAnsi="Arial"/>
          <w:sz w:val="18"/>
          <w:szCs w:val="18"/>
          <w:color w:val="auto"/>
        </w:rPr>
        <w:t>”) will be equal to the aggregate gross sales price received by the Agent at which such Placement Shares were sold, after deduction of (i) the Agent’s commission, discount or other compensation for such sales payable by the Company pursuant to Section 2 hereof, (ii) any other amounts due and payable by the Company to the Agent hereunder pursuant to Section 7(g) hereof and (iii) any transaction fees imposed by any governmental or self-regulatory organization in respect of such sales.</w:t>
      </w:r>
    </w:p>
    <w:p>
      <w:pPr>
        <w:spacing w:after="0" w:line="170" w:lineRule="exact"/>
        <w:rPr>
          <w:rFonts w:ascii="Arial" w:cs="Arial" w:eastAsia="Arial" w:hAnsi="Arial"/>
          <w:sz w:val="18"/>
          <w:szCs w:val="18"/>
          <w:color w:val="auto"/>
        </w:rPr>
      </w:pPr>
    </w:p>
    <w:p>
      <w:pPr>
        <w:ind w:left="3" w:firstLine="840"/>
        <w:spacing w:after="0" w:line="253" w:lineRule="auto"/>
        <w:tabs>
          <w:tab w:leader="none" w:pos="1242" w:val="left"/>
        </w:tabs>
        <w:numPr>
          <w:ilvl w:val="1"/>
          <w:numId w:val="7"/>
        </w:numPr>
        <w:rPr>
          <w:rFonts w:ascii="Arial" w:cs="Arial" w:eastAsia="Arial" w:hAnsi="Arial"/>
          <w:sz w:val="18"/>
          <w:szCs w:val="18"/>
          <w:color w:val="auto"/>
        </w:rPr>
      </w:pPr>
      <w:r>
        <w:rPr>
          <w:rFonts w:ascii="Arial" w:cs="Arial" w:eastAsia="Arial" w:hAnsi="Arial"/>
          <w:sz w:val="18"/>
          <w:szCs w:val="18"/>
          <w:u w:val="single" w:color="auto"/>
          <w:color w:val="auto"/>
        </w:rPr>
        <w:t>Delivery of Placement Shares</w:t>
      </w:r>
      <w:r>
        <w:rPr>
          <w:rFonts w:ascii="Arial" w:cs="Arial" w:eastAsia="Arial" w:hAnsi="Arial"/>
          <w:sz w:val="18"/>
          <w:szCs w:val="18"/>
          <w:color w:val="auto"/>
        </w:rPr>
        <w:t>. On or before each Settlement Date, the Company will issue the Placement Shares being sold on such date and will, or will cause its transfer agent to, electronically transfer such Placement Shares by crediting the Agent’s or its designee’s account (provided the Agent shall have given the Company written notice of such designee prior to the Settlement Date) at The Depository Trust Company through its Deposit and Withdrawal at Custodian System (“</w:t>
      </w:r>
      <w:r>
        <w:rPr>
          <w:rFonts w:ascii="Arial" w:cs="Arial" w:eastAsia="Arial" w:hAnsi="Arial"/>
          <w:sz w:val="18"/>
          <w:szCs w:val="18"/>
          <w:b w:val="1"/>
          <w:bCs w:val="1"/>
          <w:u w:val="single" w:color="auto"/>
          <w:color w:val="auto"/>
        </w:rPr>
        <w:t>DWAC</w:t>
      </w:r>
      <w:r>
        <w:rPr>
          <w:rFonts w:ascii="Arial" w:cs="Arial" w:eastAsia="Arial" w:hAnsi="Arial"/>
          <w:sz w:val="18"/>
          <w:szCs w:val="18"/>
          <w:color w:val="auto"/>
        </w:rPr>
        <w:t>”) or by such other means of delivery as may be mutually agreed upon by the parties hereto, which in all cases shall be duly authorized, freely tradeable, transferable, registered Shares in good deliverable form. On each Settlement Date, the Agent will deliver the related Net Proceeds in same day funds to an account designated by the Company on or prior to the Settlement Date. The Agent shall be responsible for providing DWAC instructions or other instructions for delivery by other means with regard to the transfer of the Placement Shares being sold. In addition to and in no way limiting the rights and obligations set forth in Section 9(a) hereto, the Company agrees that if the Company or its transfer agent (if applicable), defaults in its obligation to deliver duly authorized, freely tradeable, transferable, registered Placement Shares in good deliverable form by 2:30 P.M., New York City time, on a Settlement Date (other than as a result of a failure by the Agent to provide instructions for delivery), the Company will (i) take all necessary action to cause the full amount of any Net Proceeds that were delivered to the Company’s account with respect to such settlement, together with any costs incurred by the Agent and/or its clearing firm in connection with recovering such Net Proceeds, to be immediately returned to the Agent or its clearing firm no later than 5:00 P.M., New York City time, on such Settlement Date, by wire transfer of immediately available funds to an account designated by the Agent or its clearing firm, (ii) indemnify and hold the Agent and its clearing firm harmless against any loss, claim, damage, or expense (including reasonable legal fees and expenses), as incurred, arising out of or in connection with such default by the Company or its transfer agent (if applicable) and (iii) pay to the Agent any commission, discount or other</w:t>
      </w:r>
    </w:p>
    <w:p>
      <w:pPr>
        <w:spacing w:after="0" w:line="174" w:lineRule="exact"/>
        <w:rPr>
          <w:sz w:val="20"/>
          <w:szCs w:val="20"/>
          <w:color w:val="auto"/>
        </w:rPr>
      </w:pPr>
    </w:p>
    <w:p>
      <w:pPr>
        <w:ind w:left="4823"/>
        <w:spacing w:after="0"/>
        <w:rPr>
          <w:sz w:val="20"/>
          <w:szCs w:val="20"/>
          <w:color w:val="auto"/>
        </w:rPr>
      </w:pPr>
      <w:r>
        <w:rPr>
          <w:rFonts w:ascii="Arial" w:cs="Arial" w:eastAsia="Arial" w:hAnsi="Arial"/>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332105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118" w:right="339" w:bottom="1440" w:gutter="0" w:footer="0" w:header="0"/>
        </w:sectPr>
      </w:pPr>
    </w:p>
    <w:bookmarkStart w:id="7" w:name="page8"/>
    <w:bookmarkEnd w:id="7"/>
    <w:p>
      <w:pPr>
        <w:ind w:left="720"/>
        <w:spacing w:after="0" w:line="232" w:lineRule="auto"/>
        <w:rPr>
          <w:sz w:val="20"/>
          <w:szCs w:val="20"/>
          <w:color w:val="auto"/>
        </w:rPr>
      </w:pPr>
      <w:r>
        <w:rPr>
          <w:rFonts w:ascii="Arial" w:cs="Arial" w:eastAsia="Arial" w:hAnsi="Arial"/>
          <w:sz w:val="20"/>
          <w:szCs w:val="20"/>
          <w:color w:val="auto"/>
        </w:rPr>
        <w:t>compensation to which it would otherwise have been entitled absent such default. Certificates for the Placement Shares, if any, shall be in such denominations and registered in such names as the Agent may request in writing one Business Day (as defined below) before the applicable Settlement Date. Certificates for the Placement Shares, if any, will be made available by the Company for examination and packaging by the Agent in New York City not later than 12:00 P.M., New York City time, on the Business Day prior to the applicable Settlement Date.</w:t>
      </w:r>
    </w:p>
    <w:p>
      <w:pPr>
        <w:spacing w:after="0" w:line="186" w:lineRule="exact"/>
        <w:rPr>
          <w:sz w:val="20"/>
          <w:szCs w:val="20"/>
          <w:color w:val="auto"/>
        </w:rPr>
      </w:pPr>
    </w:p>
    <w:p>
      <w:pPr>
        <w:ind w:left="720" w:right="40" w:firstLine="840"/>
        <w:spacing w:after="0" w:line="253" w:lineRule="auto"/>
        <w:tabs>
          <w:tab w:leader="none" w:pos="1959" w:val="left"/>
        </w:tabs>
        <w:numPr>
          <w:ilvl w:val="1"/>
          <w:numId w:val="8"/>
        </w:numPr>
        <w:rPr>
          <w:rFonts w:ascii="Arial" w:cs="Arial" w:eastAsia="Arial" w:hAnsi="Arial"/>
          <w:sz w:val="18"/>
          <w:szCs w:val="18"/>
          <w:color w:val="auto"/>
        </w:rPr>
      </w:pPr>
      <w:r>
        <w:rPr>
          <w:rFonts w:ascii="Arial" w:cs="Arial" w:eastAsia="Arial" w:hAnsi="Arial"/>
          <w:sz w:val="18"/>
          <w:szCs w:val="18"/>
          <w:u w:val="single" w:color="auto"/>
          <w:color w:val="auto"/>
        </w:rPr>
        <w:t>Limitations on Offering Size</w:t>
      </w:r>
      <w:r>
        <w:rPr>
          <w:rFonts w:ascii="Arial" w:cs="Arial" w:eastAsia="Arial" w:hAnsi="Arial"/>
          <w:sz w:val="18"/>
          <w:szCs w:val="18"/>
          <w:color w:val="auto"/>
        </w:rPr>
        <w:t>. Under no circumstances shall the Company cause or request the offer or sale of any Placement Shares if, after giving effect to the sale of such Placement Shares, the aggregate number or gross sales proceeds of Placement Shares sold pursuant to this Agreement would exceed the lesser of: (i) the number or dollar amount of Shares registered pursuant to, and available for offer and sale under, the Registration Statement pursuant to which the offering of Placement Shares is being made, (ii) the number of authorized but unissued Shares of the Company (less Shares issuable upon exercise, conversion or exchange of any outstanding securities of the Company or otherwise reserved from the Company’s authorized capital stock), (iii) the number or dollar amount of Shares permitted to be offered and sold by the Company under Form S-3 (including General Instruction I.B.6. thereof, if such instruction is applicable), (iv) the number or dollar amount of Shares the Company’s board of directors or a duly authorized committee thereof is authorized to issue and sell from time to time, and notified to the Agent in writing, or (v) the dollar amount of Shares for which the Company has filed the Prospectus Supplement. Under no circumstances shall the Company cause or request the offer or sale of any Placement Shares pursuant to this Agreement at a price lower than the minimum price authorized from time to time by the Company’s board of directors or a duly authorized committee thereof, and notified to the Agent in writing. Notwithstanding anything to the contrary contained herein, the parties hereto acknowledge and agree that compliance with the limitations set forth in this Section 5(c) on the number or dollar amount of Placement Shares that may be issued and sold under this Agreement from time to time shall be the sole responsibility of the Company, and that the Agent shall have no obligation in connection with such compliance.</w:t>
      </w:r>
    </w:p>
    <w:p>
      <w:pPr>
        <w:spacing w:after="0" w:line="180" w:lineRule="exact"/>
        <w:rPr>
          <w:rFonts w:ascii="Arial" w:cs="Arial" w:eastAsia="Arial" w:hAnsi="Arial"/>
          <w:sz w:val="18"/>
          <w:szCs w:val="18"/>
          <w:color w:val="auto"/>
        </w:rPr>
      </w:pPr>
    </w:p>
    <w:p>
      <w:pPr>
        <w:jc w:val="both"/>
        <w:ind w:left="-40" w:firstLine="757"/>
        <w:spacing w:after="0" w:line="234" w:lineRule="auto"/>
        <w:tabs>
          <w:tab w:leader="none" w:pos="1105" w:val="left"/>
        </w:tabs>
        <w:numPr>
          <w:ilvl w:val="0"/>
          <w:numId w:val="9"/>
        </w:numPr>
        <w:rPr>
          <w:rFonts w:ascii="Arial" w:cs="Arial" w:eastAsia="Arial" w:hAnsi="Arial"/>
          <w:sz w:val="20"/>
          <w:szCs w:val="20"/>
          <w:color w:val="auto"/>
        </w:rPr>
      </w:pPr>
      <w:r>
        <w:rPr>
          <w:rFonts w:ascii="Arial" w:cs="Arial" w:eastAsia="Arial" w:hAnsi="Arial"/>
          <w:sz w:val="20"/>
          <w:szCs w:val="20"/>
          <w:u w:val="single" w:color="auto"/>
          <w:color w:val="auto"/>
        </w:rPr>
        <w:t>Representations and Warranties of the Company</w:t>
      </w:r>
      <w:r>
        <w:rPr>
          <w:rFonts w:ascii="Arial" w:cs="Arial" w:eastAsia="Arial" w:hAnsi="Arial"/>
          <w:sz w:val="20"/>
          <w:szCs w:val="20"/>
          <w:color w:val="auto"/>
        </w:rPr>
        <w:t>. The Company represents and warrants to, and agrees with, the Agent that as of the date of this Agreement, and as of (i) each Representation Date (as defined in Section 7(m)), (ii) each date on which a Placement Notice is given, (iii) the date and time of each sale of any Placement Shares pursuant to this Agreement and (iv) each Settlement Date (each such time or date referred to in clauses (i) through (iv), an “</w:t>
      </w:r>
      <w:r>
        <w:rPr>
          <w:rFonts w:ascii="Arial" w:cs="Arial" w:eastAsia="Arial" w:hAnsi="Arial"/>
          <w:sz w:val="20"/>
          <w:szCs w:val="20"/>
          <w:b w:val="1"/>
          <w:bCs w:val="1"/>
          <w:u w:val="single" w:color="auto"/>
          <w:color w:val="auto"/>
        </w:rPr>
        <w:t>Applicable Time</w:t>
      </w:r>
      <w:r>
        <w:rPr>
          <w:rFonts w:ascii="Arial" w:cs="Arial" w:eastAsia="Arial" w:hAnsi="Arial"/>
          <w:sz w:val="20"/>
          <w:szCs w:val="20"/>
          <w:color w:val="auto"/>
        </w:rPr>
        <w:t>”):</w:t>
      </w:r>
    </w:p>
    <w:p>
      <w:pPr>
        <w:spacing w:after="0" w:line="183" w:lineRule="exact"/>
        <w:rPr>
          <w:rFonts w:ascii="Arial" w:cs="Arial" w:eastAsia="Arial" w:hAnsi="Arial"/>
          <w:sz w:val="20"/>
          <w:szCs w:val="20"/>
          <w:color w:val="auto"/>
        </w:rPr>
      </w:pPr>
    </w:p>
    <w:p>
      <w:pPr>
        <w:ind w:left="720" w:right="40" w:firstLine="840"/>
        <w:spacing w:after="0" w:line="255" w:lineRule="auto"/>
        <w:tabs>
          <w:tab w:leader="none" w:pos="1959" w:val="left"/>
        </w:tabs>
        <w:numPr>
          <w:ilvl w:val="1"/>
          <w:numId w:val="9"/>
        </w:numPr>
        <w:rPr>
          <w:rFonts w:ascii="Arial" w:cs="Arial" w:eastAsia="Arial" w:hAnsi="Arial"/>
          <w:sz w:val="18"/>
          <w:szCs w:val="18"/>
          <w:color w:val="auto"/>
        </w:rPr>
      </w:pPr>
      <w:r>
        <w:rPr>
          <w:rFonts w:ascii="Arial" w:cs="Arial" w:eastAsia="Arial" w:hAnsi="Arial"/>
          <w:sz w:val="18"/>
          <w:szCs w:val="18"/>
          <w:color w:val="auto"/>
        </w:rPr>
        <w:t>The Company and the transactions contemplated by this Agreement meet the requirements for and comply with the conditions for the use of Form S-3 (including General Instructions I.A and I.B.1.) under the Securities Act. Prior to the delivery of any Placement Notice by the Company, the Registration Statement will have been filed with the Commission and will have become automatically effective under the Securities Act. At the time the Registration Statement originally became effective and at the time the Company’s most recent Annual Report on Form 10-K was filed with the Commission, the Company met the then-applicable requirements for use of Form S-3 (including General Instructions I.A and I.B.1.) under the Securities Act. The Registration Statement meets, and the offering and sale of Placement Shares as contemplated hereby comply with, the requirements of Rule 415(a)(1)(x) under the Securities Act. The Agent is named as the agent engaged by the Company in the section entitled “Plan of Distribution” in the Prospectus Supplement. The Company has not received, and has no notice from the Commission of, any notice pursuant to Rule 401(g)(1) under the Securities Act objecting to the use of the shelf registration statement form. No stop order of the Commission preventing or suspending the use of the base prospectus, the Prospectus Supplement or the Prospectus, or the effectiveness of the Registration Statement, has been issued, and no</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332105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60" w:top="121" w:right="359" w:bottom="1440" w:gutter="0" w:footer="0" w:header="0"/>
        </w:sectPr>
      </w:pPr>
    </w:p>
    <w:bookmarkStart w:id="8" w:name="page9"/>
    <w:bookmarkEnd w:id="8"/>
    <w:p>
      <w:pPr>
        <w:ind w:left="760"/>
        <w:spacing w:after="0" w:line="244" w:lineRule="auto"/>
        <w:rPr>
          <w:sz w:val="20"/>
          <w:szCs w:val="20"/>
          <w:color w:val="auto"/>
        </w:rPr>
      </w:pPr>
      <w:r>
        <w:rPr>
          <w:rFonts w:ascii="Arial" w:cs="Arial" w:eastAsia="Arial" w:hAnsi="Arial"/>
          <w:sz w:val="19"/>
          <w:szCs w:val="19"/>
          <w:color w:val="auto"/>
        </w:rPr>
        <w:t>proceedings for such purpose are pending before or, to the knowledge of the Company, threatened by the Commission. At the time of the initial filing of the Registration Statement, the Company paid the required Commission filing fees relating to the securities covered by the Registration Statement, including the Shares that may be sold pursuant to this Agreement, in accordance with Rule 457(o) under the Securities Act. Copies of the Registration Statement, the Prospectus, any such amendments or supplements to any of the foregoing and all Incorporated Documents that were filed with the Commission on or prior to the date of this Agreement have been delivered, or are available through EDGAR, to the Agent and its counsel.</w:t>
      </w:r>
    </w:p>
    <w:p>
      <w:pPr>
        <w:spacing w:after="0" w:line="180" w:lineRule="exact"/>
        <w:rPr>
          <w:sz w:val="20"/>
          <w:szCs w:val="20"/>
          <w:color w:val="auto"/>
        </w:rPr>
      </w:pPr>
    </w:p>
    <w:p>
      <w:pPr>
        <w:ind w:right="20" w:firstLine="757"/>
        <w:spacing w:after="0" w:line="252" w:lineRule="auto"/>
        <w:tabs>
          <w:tab w:leader="none" w:pos="1145" w:val="left"/>
        </w:tabs>
        <w:numPr>
          <w:ilvl w:val="1"/>
          <w:numId w:val="10"/>
        </w:numPr>
        <w:rPr>
          <w:rFonts w:ascii="Arial" w:cs="Arial" w:eastAsia="Arial" w:hAnsi="Arial"/>
          <w:sz w:val="18"/>
          <w:szCs w:val="18"/>
          <w:color w:val="auto"/>
        </w:rPr>
      </w:pPr>
      <w:r>
        <w:rPr>
          <w:rFonts w:ascii="Arial" w:cs="Arial" w:eastAsia="Arial" w:hAnsi="Arial"/>
          <w:sz w:val="18"/>
          <w:szCs w:val="18"/>
          <w:color w:val="auto"/>
        </w:rPr>
        <w:t>Each of the Registration Statement and any post-effective amendment thereto, at the time it became or becomes effective, at each deemed effective date with respect to the Agent pursuant to Rule 430B(f)(2) under the Securities Act and as of each Applicable Time, complied, complies and will comply in all material respects with the requirements of the Securities Act and did not, does not and will not contain any untrue statement of a material fact or omit to state a material fact required to be stated therein or necessary to make the statements therein not misleading, except that the representations and warranties set forth in this sentence do not apply to Agent’s Information (as defined below). The Prospectus and any amendment or supplement thereto, when so filed with the Commission under Rule 424(b) under the Securities Act, complied, complies and as of each Applicable Time will comply in all material respects with the requirements of the Securities Act, and each Prospectus Supplement, Prospectus or issuer free writing prospectus (or any amendments or supplements to any of the foregoing) furnished to the Agent for use in connection with the offering of the Placement Shares was identical to the electronically transmitted copies thereof filed with the Commission pursuant to EDGAR, except to the extent permitted by Regulation S-T. Neither the Prospectus nor any amendment or supplement thereto, as of its date and as of each Applicable Time, included, includes or will include an untrue statement of a material fact or omitted, omits or will omit to state a material fact necessary in order to make the statements therein, in the light of the circumstances under which they were made, not misleading, except that the representations and warranties set forth in this sentence do not apply to Agent’s Information. Each Incorporated Document heretofore filed, when it was filed (or, if any amendment with respect to any such document was filed, when such amendment was filed), conformed in all material respects with the requirements of the Exchange Act and were filed on a timely basis with the Commission, and any further Incorporated Documents so filed and incorporated after the date of this Agreement will be filed on a timely basis and, when so filed, will conform in all material respects with the requirements of the Exchange Act; no such Incorporated Document when it was filed (or, if an amendment with respect to any such document was filed, when such amendment was filed), contained an untrue statement of a material fact or omitted to state a material fact required to be stated therein or necessary in order to make the statements therein, in the light of the circumstances under which they were made, not misleading; and no such Incorporated Document, when it is filed, will contain an untrue statement of a material fact or will omit to state a material fact required to be stated therein or necessary in order to make the statements therein, in light of the circumstances under which they were made, not misleading.</w:t>
      </w:r>
    </w:p>
    <w:p>
      <w:pPr>
        <w:spacing w:after="0" w:line="185" w:lineRule="exact"/>
        <w:rPr>
          <w:rFonts w:ascii="Arial" w:cs="Arial" w:eastAsia="Arial" w:hAnsi="Arial"/>
          <w:sz w:val="18"/>
          <w:szCs w:val="18"/>
          <w:color w:val="auto"/>
        </w:rPr>
      </w:pPr>
    </w:p>
    <w:p>
      <w:pPr>
        <w:jc w:val="both"/>
        <w:ind w:right="40" w:firstLine="757"/>
        <w:spacing w:after="0" w:line="234" w:lineRule="auto"/>
        <w:tabs>
          <w:tab w:leader="none" w:pos="1145" w:val="left"/>
        </w:tabs>
        <w:numPr>
          <w:ilvl w:val="1"/>
          <w:numId w:val="10"/>
        </w:numPr>
        <w:rPr>
          <w:rFonts w:ascii="Arial" w:cs="Arial" w:eastAsia="Arial" w:hAnsi="Arial"/>
          <w:sz w:val="20"/>
          <w:szCs w:val="20"/>
          <w:color w:val="auto"/>
        </w:rPr>
      </w:pPr>
      <w:r>
        <w:rPr>
          <w:rFonts w:ascii="Arial" w:cs="Arial" w:eastAsia="Arial" w:hAnsi="Arial"/>
          <w:sz w:val="20"/>
          <w:szCs w:val="20"/>
          <w:color w:val="auto"/>
        </w:rPr>
        <w:t>(i) At the time of filing the Registration Statement and (ii) at the time of the execution of this Agreement (with such date being used as the determination date for purposes of this clause (ii)), the Company was not and is not an “ineligible issuer” (as defined in Rule 405 under the Securities Act), without taking account of any determination by the Commission pursuant to Rule 405 under the Securities Act that it is not necessary that the Company be considered an ineligible issuer.</w:t>
      </w:r>
    </w:p>
    <w:p>
      <w:pPr>
        <w:spacing w:after="0" w:line="183" w:lineRule="exact"/>
        <w:rPr>
          <w:rFonts w:ascii="Arial" w:cs="Arial" w:eastAsia="Arial" w:hAnsi="Arial"/>
          <w:sz w:val="20"/>
          <w:szCs w:val="20"/>
          <w:color w:val="auto"/>
        </w:rPr>
      </w:pPr>
    </w:p>
    <w:p>
      <w:pPr>
        <w:ind w:left="1160" w:hanging="403"/>
        <w:spacing w:after="0"/>
        <w:tabs>
          <w:tab w:leader="none" w:pos="1160" w:val="left"/>
        </w:tabs>
        <w:numPr>
          <w:ilvl w:val="1"/>
          <w:numId w:val="10"/>
        </w:numPr>
        <w:rPr>
          <w:rFonts w:ascii="Arial" w:cs="Arial" w:eastAsia="Arial" w:hAnsi="Arial"/>
          <w:sz w:val="20"/>
          <w:szCs w:val="20"/>
          <w:color w:val="auto"/>
        </w:rPr>
      </w:pPr>
      <w:r>
        <w:rPr>
          <w:rFonts w:ascii="Arial" w:cs="Arial" w:eastAsia="Arial" w:hAnsi="Arial"/>
          <w:sz w:val="20"/>
          <w:szCs w:val="20"/>
          <w:color w:val="auto"/>
        </w:rPr>
        <w:t>[Reserved.]</w:t>
      </w:r>
    </w:p>
    <w:p>
      <w:pPr>
        <w:spacing w:after="0" w:line="202" w:lineRule="exact"/>
        <w:rPr>
          <w:rFonts w:ascii="Arial" w:cs="Arial" w:eastAsia="Arial" w:hAnsi="Arial"/>
          <w:sz w:val="20"/>
          <w:szCs w:val="20"/>
          <w:color w:val="auto"/>
        </w:rPr>
      </w:pPr>
    </w:p>
    <w:p>
      <w:pPr>
        <w:ind w:right="160" w:firstLine="757"/>
        <w:spacing w:after="0" w:line="292" w:lineRule="auto"/>
        <w:tabs>
          <w:tab w:leader="none" w:pos="1145" w:val="left"/>
        </w:tabs>
        <w:numPr>
          <w:ilvl w:val="1"/>
          <w:numId w:val="10"/>
        </w:numPr>
        <w:rPr>
          <w:rFonts w:ascii="Arial" w:cs="Arial" w:eastAsia="Arial" w:hAnsi="Arial"/>
          <w:sz w:val="16"/>
          <w:szCs w:val="16"/>
          <w:color w:val="auto"/>
        </w:rPr>
      </w:pPr>
      <w:r>
        <w:rPr>
          <w:rFonts w:ascii="Arial" w:cs="Arial" w:eastAsia="Arial" w:hAnsi="Arial"/>
          <w:sz w:val="16"/>
          <w:szCs w:val="16"/>
          <w:color w:val="auto"/>
        </w:rPr>
        <w:t>Each issuer free writing prospectus, as of its issue date and as of each Applicable Time, did not, does not and will not include any information that conflicted, conflicts or will conflict with the information contained in the Registration Statement or the Prospectus,</w:t>
      </w:r>
    </w:p>
    <w:p>
      <w:pPr>
        <w:spacing w:after="0" w:line="225" w:lineRule="auto"/>
        <w:rPr>
          <w:sz w:val="20"/>
          <w:szCs w:val="20"/>
          <w:color w:val="auto"/>
        </w:rPr>
      </w:pPr>
      <w:r>
        <w:rPr>
          <w:rFonts w:ascii="Arial" w:cs="Arial" w:eastAsia="Arial" w:hAnsi="Arial"/>
          <w:sz w:val="20"/>
          <w:szCs w:val="20"/>
          <w:color w:val="auto"/>
        </w:rPr>
        <w:t>including any Incorporated</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 w:name="page10"/>
    <w:bookmarkEnd w:id="9"/>
    <w:p>
      <w:pPr>
        <w:ind w:right="160"/>
        <w:spacing w:after="0" w:line="237" w:lineRule="auto"/>
        <w:rPr>
          <w:sz w:val="20"/>
          <w:szCs w:val="20"/>
          <w:color w:val="auto"/>
        </w:rPr>
      </w:pPr>
      <w:r>
        <w:rPr>
          <w:rFonts w:ascii="Arial" w:cs="Arial" w:eastAsia="Arial" w:hAnsi="Arial"/>
          <w:sz w:val="20"/>
          <w:szCs w:val="20"/>
          <w:color w:val="auto"/>
        </w:rPr>
        <w:t>Document deemed to be a part thereof that has not been superseded or modified. Each issuer free writing prospectus that the Company has filed, or is required to file, pursuant to Rule 433 or that was prepared by or on behalf of or used by the Company complies or will comply in all material respects with the requirements of the Securities Act.</w:t>
      </w:r>
    </w:p>
    <w:p>
      <w:pPr>
        <w:spacing w:after="0" w:line="184" w:lineRule="exact"/>
        <w:rPr>
          <w:sz w:val="20"/>
          <w:szCs w:val="20"/>
          <w:color w:val="auto"/>
        </w:rPr>
      </w:pPr>
    </w:p>
    <w:p>
      <w:pPr>
        <w:ind w:right="180" w:firstLine="757"/>
        <w:spacing w:after="0" w:line="325" w:lineRule="auto"/>
        <w:tabs>
          <w:tab w:leader="none" w:pos="1145"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Company has not distributed and, prior to the later to occur of each Settlement Date and completion of the Agent’s distribution of the Placement Shares under this Agreement, will not distribute any offering material in connection with the offering and sale of the Placement Shares other than the Registration Statement, the Prospectus or any Permitted Free Writing Prospectus (as defined below).</w:t>
      </w:r>
    </w:p>
    <w:p>
      <w:pPr>
        <w:spacing w:after="0" w:line="116" w:lineRule="exact"/>
        <w:rPr>
          <w:rFonts w:ascii="Arial" w:cs="Arial" w:eastAsia="Arial" w:hAnsi="Arial"/>
          <w:sz w:val="16"/>
          <w:szCs w:val="16"/>
          <w:color w:val="auto"/>
        </w:rPr>
      </w:pPr>
    </w:p>
    <w:p>
      <w:pPr>
        <w:ind w:right="180" w:firstLine="757"/>
        <w:spacing w:after="0" w:line="237" w:lineRule="auto"/>
        <w:tabs>
          <w:tab w:leader="none" w:pos="1145" w:val="left"/>
        </w:tabs>
        <w:numPr>
          <w:ilvl w:val="0"/>
          <w:numId w:val="11"/>
        </w:numPr>
        <w:rPr>
          <w:rFonts w:ascii="Arial" w:cs="Arial" w:eastAsia="Arial" w:hAnsi="Arial"/>
          <w:sz w:val="20"/>
          <w:szCs w:val="20"/>
          <w:color w:val="auto"/>
        </w:rPr>
      </w:pPr>
      <w:r>
        <w:rPr>
          <w:rFonts w:ascii="Arial" w:cs="Arial" w:eastAsia="Arial" w:hAnsi="Arial"/>
          <w:sz w:val="20"/>
          <w:szCs w:val="20"/>
          <w:color w:val="auto"/>
        </w:rPr>
        <w:t>The interactive data in eXtensible Business Reporting Language included or incorporated by reference in the Registration Statement and the Prospectus fairly presents the information called for in all material respects and has been prepared in accordance with the Commission’s rules and guidelines applicable thereto.</w:t>
      </w:r>
    </w:p>
    <w:p>
      <w:pPr>
        <w:spacing w:after="0" w:line="182" w:lineRule="exact"/>
        <w:rPr>
          <w:rFonts w:ascii="Arial" w:cs="Arial" w:eastAsia="Arial" w:hAnsi="Arial"/>
          <w:sz w:val="20"/>
          <w:szCs w:val="20"/>
          <w:color w:val="auto"/>
        </w:rPr>
      </w:pPr>
    </w:p>
    <w:p>
      <w:pPr>
        <w:ind w:right="120" w:firstLine="757"/>
        <w:spacing w:after="0" w:line="260" w:lineRule="auto"/>
        <w:tabs>
          <w:tab w:leader="none" w:pos="1145"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Company is subject to and in compliance in all material respects with the reporting requirements of Section 13 or Section 15(d) of the Exchange Act. The Shares are registered pursuant to Section 12(b) of the Exchange Act and are listed on Nasdaq, and the Company has taken no action designed to, or reasonably likely to have the effect of, terminating the registration of the Shares under the Exchange Act or delisting the Shares from Nasdaq, nor has the Company received any notification that the Commission or Nasdaq is contemplating terminating such registration or listing. The Company is in compliance with the current listing standards of Nasdaq. The Company has filed a Notification of Listing of Additional Shares with Nasdaq with respect to the Placement Shares.</w:t>
      </w:r>
    </w:p>
    <w:p>
      <w:pPr>
        <w:spacing w:after="0" w:line="166" w:lineRule="exact"/>
        <w:rPr>
          <w:rFonts w:ascii="Arial" w:cs="Arial" w:eastAsia="Arial" w:hAnsi="Arial"/>
          <w:sz w:val="18"/>
          <w:szCs w:val="18"/>
          <w:color w:val="auto"/>
        </w:rPr>
      </w:pPr>
    </w:p>
    <w:p>
      <w:pPr>
        <w:jc w:val="both"/>
        <w:ind w:firstLine="757"/>
        <w:spacing w:after="0" w:line="288" w:lineRule="auto"/>
        <w:tabs>
          <w:tab w:leader="none" w:pos="1145" w:val="left"/>
        </w:tabs>
        <w:numPr>
          <w:ilvl w:val="0"/>
          <w:numId w:val="11"/>
        </w:numPr>
        <w:rPr>
          <w:rFonts w:ascii="Arial" w:cs="Arial" w:eastAsia="Arial" w:hAnsi="Arial"/>
          <w:sz w:val="16"/>
          <w:szCs w:val="16"/>
          <w:color w:val="auto"/>
        </w:rPr>
      </w:pPr>
      <w:r>
        <w:rPr>
          <w:rFonts w:ascii="Arial" w:cs="Arial" w:eastAsia="Arial" w:hAnsi="Arial"/>
          <w:sz w:val="16"/>
          <w:szCs w:val="16"/>
          <w:color w:val="auto"/>
        </w:rPr>
        <w:t>No person (as such term is defined in Rule 1-02 of Regulation S-X promulgated under the Securities Act) has the right to act as an underwriter or as a financial advisor to the Company in connection with the offer and sale of the Placement Shares hereunder, whether as a result of the filing or effectiveness of the Registration Statement or the sale of the Placement Shares as contemplated hereby or otherwise.</w:t>
      </w:r>
    </w:p>
    <w:p>
      <w:pPr>
        <w:spacing w:after="0" w:line="1" w:lineRule="exact"/>
        <w:rPr>
          <w:rFonts w:ascii="Arial" w:cs="Arial" w:eastAsia="Arial" w:hAnsi="Arial"/>
          <w:sz w:val="16"/>
          <w:szCs w:val="16"/>
          <w:color w:val="auto"/>
        </w:rPr>
      </w:pPr>
    </w:p>
    <w:p>
      <w:pPr>
        <w:ind w:right="460"/>
        <w:spacing w:after="0" w:line="347" w:lineRule="auto"/>
        <w:rPr>
          <w:rFonts w:ascii="Arial" w:cs="Arial" w:eastAsia="Arial" w:hAnsi="Arial"/>
          <w:sz w:val="16"/>
          <w:szCs w:val="16"/>
          <w:color w:val="auto"/>
        </w:rPr>
      </w:pPr>
      <w:r>
        <w:rPr>
          <w:rFonts w:ascii="Arial" w:cs="Arial" w:eastAsia="Arial" w:hAnsi="Arial"/>
          <w:sz w:val="16"/>
          <w:szCs w:val="16"/>
          <w:color w:val="auto"/>
        </w:rPr>
        <w:t>Except for the Agent, there is no broker, finder or other party that is entitled to receive from the Company or any of its Subsidiaries (as defined below) any brokerage or finder’s fee or other fee or commission as a result of any transactions contemplated by this Agreement.</w:t>
      </w:r>
    </w:p>
    <w:p>
      <w:pPr>
        <w:spacing w:after="0" w:line="99" w:lineRule="exact"/>
        <w:rPr>
          <w:rFonts w:ascii="Arial" w:cs="Arial" w:eastAsia="Arial" w:hAnsi="Arial"/>
          <w:sz w:val="16"/>
          <w:szCs w:val="16"/>
          <w:color w:val="auto"/>
        </w:rPr>
      </w:pPr>
    </w:p>
    <w:p>
      <w:pPr>
        <w:ind w:right="20" w:firstLine="757"/>
        <w:spacing w:after="0" w:line="256" w:lineRule="auto"/>
        <w:tabs>
          <w:tab w:leader="none" w:pos="1145"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Company has been duly organized and is validly existing as a corporation in good standing under the laws of the State of Delaware, with full corporate power and authority to acquire, own, lease and operate its properties, and to lease the same to others, and to conduct its business as described in the Registration Statement and the Prospectus and to enter into and perform its obligations under this Agreement. The Company is duly qualified to transact business as a foreign corporation and is in good standing in the State of New York and under the laws of each other jurisdiction that requires such qualification, whether by reason of the ownership or leasing of property or the conduct of business, except to the extent that the failure to be so qualified or in good standing could not reasonably be expected, individually or in the aggregate, to have a material adverse effect on the condition (financial or otherwise), earnings, results of operations, business, properties, operations, assets, liabilities or prospects of the Company and its Subsidiaries, taken as a whole, whether or not arising from transactions in the ordinary course of business (a “</w:t>
      </w:r>
      <w:r>
        <w:rPr>
          <w:rFonts w:ascii="Arial" w:cs="Arial" w:eastAsia="Arial" w:hAnsi="Arial"/>
          <w:sz w:val="18"/>
          <w:szCs w:val="18"/>
          <w:b w:val="1"/>
          <w:bCs w:val="1"/>
          <w:u w:val="single" w:color="auto"/>
          <w:color w:val="auto"/>
        </w:rPr>
        <w:t>Material Adverse Effect</w:t>
      </w:r>
      <w:r>
        <w:rPr>
          <w:rFonts w:ascii="Arial" w:cs="Arial" w:eastAsia="Arial" w:hAnsi="Arial"/>
          <w:sz w:val="18"/>
          <w:szCs w:val="18"/>
          <w:color w:val="auto"/>
        </w:rPr>
        <w:t>”).</w:t>
      </w:r>
    </w:p>
    <w:p>
      <w:pPr>
        <w:spacing w:after="0" w:line="172" w:lineRule="exact"/>
        <w:rPr>
          <w:rFonts w:ascii="Arial" w:cs="Arial" w:eastAsia="Arial" w:hAnsi="Arial"/>
          <w:sz w:val="18"/>
          <w:szCs w:val="18"/>
          <w:color w:val="auto"/>
        </w:rPr>
      </w:pPr>
    </w:p>
    <w:p>
      <w:pPr>
        <w:ind w:right="80" w:firstLine="757"/>
        <w:spacing w:after="0" w:line="259" w:lineRule="auto"/>
        <w:tabs>
          <w:tab w:leader="none" w:pos="1145" w:val="left"/>
        </w:tabs>
        <w:numPr>
          <w:ilvl w:val="0"/>
          <w:numId w:val="11"/>
        </w:numPr>
        <w:rPr>
          <w:rFonts w:ascii="Arial" w:cs="Arial" w:eastAsia="Arial" w:hAnsi="Arial"/>
          <w:sz w:val="18"/>
          <w:szCs w:val="18"/>
          <w:color w:val="auto"/>
        </w:rPr>
      </w:pPr>
      <w:r>
        <w:rPr>
          <w:rFonts w:ascii="Arial" w:cs="Arial" w:eastAsia="Arial" w:hAnsi="Arial"/>
          <w:sz w:val="18"/>
          <w:szCs w:val="18"/>
          <w:color w:val="auto"/>
        </w:rPr>
        <w:t>Each of the Company’s “subsidiaries” (for purposes of this Agreement, as defined in Rule 405 under the Securities Act) (each, a “</w:t>
      </w:r>
      <w:r>
        <w:rPr>
          <w:rFonts w:ascii="Arial" w:cs="Arial" w:eastAsia="Arial" w:hAnsi="Arial"/>
          <w:sz w:val="18"/>
          <w:szCs w:val="18"/>
          <w:b w:val="1"/>
          <w:bCs w:val="1"/>
          <w:u w:val="single" w:color="auto"/>
          <w:color w:val="auto"/>
        </w:rPr>
        <w:t>Subsidiary</w:t>
      </w:r>
      <w:r>
        <w:rPr>
          <w:rFonts w:ascii="Arial" w:cs="Arial" w:eastAsia="Arial" w:hAnsi="Arial"/>
          <w:sz w:val="18"/>
          <w:szCs w:val="18"/>
          <w:color w:val="auto"/>
        </w:rPr>
        <w:t>” and collectively, the “</w:t>
      </w:r>
      <w:r>
        <w:rPr>
          <w:rFonts w:ascii="Arial" w:cs="Arial" w:eastAsia="Arial" w:hAnsi="Arial"/>
          <w:sz w:val="18"/>
          <w:szCs w:val="18"/>
          <w:b w:val="1"/>
          <w:bCs w:val="1"/>
          <w:u w:val="single" w:color="auto"/>
          <w:color w:val="auto"/>
        </w:rPr>
        <w:t>Subsidiaries</w:t>
      </w:r>
      <w:r>
        <w:rPr>
          <w:rFonts w:ascii="Arial" w:cs="Arial" w:eastAsia="Arial" w:hAnsi="Arial"/>
          <w:sz w:val="18"/>
          <w:szCs w:val="18"/>
          <w:color w:val="auto"/>
        </w:rPr>
        <w:t>”) has been duly organized and is validly existing in good standing (where such concept</w:t>
      </w:r>
    </w:p>
    <w:p>
      <w:pPr>
        <w:spacing w:after="0" w:line="1" w:lineRule="exact"/>
        <w:rPr>
          <w:sz w:val="20"/>
          <w:szCs w:val="20"/>
          <w:color w:val="auto"/>
        </w:rPr>
      </w:pPr>
    </w:p>
    <w:p>
      <w:pPr>
        <w:ind w:right="100"/>
        <w:spacing w:after="0" w:line="225" w:lineRule="auto"/>
        <w:rPr>
          <w:sz w:val="20"/>
          <w:szCs w:val="20"/>
          <w:color w:val="auto"/>
        </w:rPr>
      </w:pPr>
      <w:r>
        <w:rPr>
          <w:rFonts w:ascii="Arial" w:cs="Arial" w:eastAsia="Arial" w:hAnsi="Arial"/>
          <w:sz w:val="20"/>
          <w:szCs w:val="20"/>
          <w:color w:val="auto"/>
        </w:rPr>
        <w:t>exists) under the laws of the jurisdiction of its organization and has full power and authority to acquire, own, lease and operate its properties, and to conduct its business as described in the Registration Statement and the Prospectus. Each Subsidiary is duly qualified to transact business and is in good standing (where such concept exists)</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ind w:right="20"/>
        <w:spacing w:after="0" w:line="255" w:lineRule="auto"/>
        <w:rPr>
          <w:sz w:val="20"/>
          <w:szCs w:val="20"/>
          <w:color w:val="auto"/>
        </w:rPr>
      </w:pPr>
      <w:r>
        <w:rPr>
          <w:rFonts w:ascii="Arial" w:cs="Arial" w:eastAsia="Arial" w:hAnsi="Arial"/>
          <w:sz w:val="18"/>
          <w:szCs w:val="18"/>
          <w:color w:val="auto"/>
        </w:rPr>
        <w:t>under the laws of each jurisdiction that requires such qualification, whether by reason of the ownership or leasing of property or the conduct of business, except to the extent that the failure to be so qualified or in good standing could not reasonably be expected, individually or in the aggregate, to have a Material Adverse Effect. All of the issued and outstanding share capital or other equity or ownership interests of each Subsidiary has been duly authorized and validly issued, is fully paid and nonassessable, has been issued in compliance with federal state and securities laws and is owned by the Company, directly or through other wholly-owned Subsidiaries, free and clear of any security interest, mortgage, pledge, lien, encumbrance or adverse claim. The Company does not own or control, directly or indirectly, any corporation, association or other entity, other than the Subsidiaries listed on Exhibit 21.1 to the Company’s most recent Annual Report on Form 10-K filed with the Commission. No Subsidiary is prohibited or restricted, directly or indirectly, from paying dividends to the Company, from making any other distribution with respect to such Subsidiary’s equity securities, from repaying to the Company or any other Subsidiary any amounts that may from time to time become due under any loans or advances to such Subsidiary from the Company or from transferring any property or assets to the Company or to any other Subsidiary.</w:t>
      </w:r>
    </w:p>
    <w:p>
      <w:pPr>
        <w:spacing w:after="0" w:line="174" w:lineRule="exact"/>
        <w:rPr>
          <w:sz w:val="20"/>
          <w:szCs w:val="20"/>
          <w:color w:val="auto"/>
        </w:rPr>
      </w:pPr>
    </w:p>
    <w:p>
      <w:pPr>
        <w:ind w:right="60" w:firstLine="757"/>
        <w:spacing w:after="0" w:line="253" w:lineRule="auto"/>
        <w:tabs>
          <w:tab w:leader="none" w:pos="1145"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Company has the authorized and outstanding capitalization as set forth in the Company’s quarterly report on Form 10-Q for the most recent fiscal quarter, as of the dates referred to therein (subject, in each case, to the issuance of Placement Shares under this Agreement, the issuance of Shares upon exercise of share options and warrants disclosed as outstanding as of the date hereof in the Registration Statement and the Prospectus and the grant of options under existing share option plans described in the Registration Statement and the Prospectus). The Shares conform in all material respects to the description thereof contained in the Registration Statement and the Prospectus, including under the heading “Description of Capital Stock.” All of the issued and outstanding share capital or other equity or ownership interest of the Company (including the Shares) has been duly authorized and validly issued and is fully paid and nonassessable, has been issued in compliance with all federal, state and local securities laws and is free and clear of any security interest, mortgage, pledge, lien, encumbrance or adverse claim. None of the outstanding Shares were issued in violation of any preemptive rights, rights of first refusal or other similar rights to subscribe for or purchase securities of the Company. There are no authorized or outstanding options, warrants, preemptive rights, rights of first refusal or other rights to purchase or subscribe for, or equity or debt securities convertible into or exchangeable or exercisable for, any share capital of the Company or any of its Subsidiaries or to which the Company or any of its Subsidiaries is a party or by which any of them may be bound. The descriptions of the Company’s equity incentive plan, stock option plans and other stock plans or arrangements described in the Prospectus and in effect as of the date hereof (collectively, the “</w:t>
      </w:r>
      <w:r>
        <w:rPr>
          <w:rFonts w:ascii="Arial" w:cs="Arial" w:eastAsia="Arial" w:hAnsi="Arial"/>
          <w:sz w:val="18"/>
          <w:szCs w:val="18"/>
          <w:b w:val="1"/>
          <w:bCs w:val="1"/>
          <w:u w:val="single" w:color="auto"/>
          <w:color w:val="auto"/>
        </w:rPr>
        <w:t>Stock Plans</w:t>
      </w:r>
      <w:r>
        <w:rPr>
          <w:rFonts w:ascii="Arial" w:cs="Arial" w:eastAsia="Arial" w:hAnsi="Arial"/>
          <w:sz w:val="18"/>
          <w:szCs w:val="18"/>
          <w:color w:val="auto"/>
        </w:rPr>
        <w:t>”) and the options or other rights granted thereunder, set forth in the Registration Statement and the Prospectus accurately and fairly present the information required to be shown with respect to such Stock Plans and the options or other rights granted thereunder.</w:t>
      </w:r>
    </w:p>
    <w:p>
      <w:pPr>
        <w:spacing w:after="0" w:line="180" w:lineRule="exact"/>
        <w:rPr>
          <w:rFonts w:ascii="Arial" w:cs="Arial" w:eastAsia="Arial" w:hAnsi="Arial"/>
          <w:sz w:val="18"/>
          <w:szCs w:val="18"/>
          <w:color w:val="auto"/>
        </w:rPr>
      </w:pPr>
    </w:p>
    <w:p>
      <w:pPr>
        <w:ind w:firstLine="757"/>
        <w:spacing w:after="0" w:line="252" w:lineRule="auto"/>
        <w:tabs>
          <w:tab w:leader="none" w:pos="1145"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Placement Shares have been duly authorized for issuance and sale pursuant to this Agreement and, when issued and delivered by the Company against payment therefor pursuant to this Agreement, will be validly issued, fully paid and nonassessable and will conform in all material respects to the description thereof contained in the Prospectus. The issuance and sale of the Placement Shares as contemplated hereby shall not be subject to any preemptive rights, rights of first refusal or other similar rights to subscribe for or purchase the Placement Shares. When issued and delivered by the Company against payment therefor pursuant to this Agreement, the purchasers of the Placement Shares issued and sold hereunder will acquire good, marketable and valid title to such Placement Shares, free and clear of all pledges, liens, security interests, charges, claims or encumbrances. The issuance and sale of the Placement Shares as contemplated hereby will not cause any holder of any share capital, securities convertible into or exchangeable or exercisable for share capital or options, warrants or other rights to purchase share capital or any other securities of the Company to have any right to acquire any preferred shares of the</w:t>
      </w:r>
    </w:p>
    <w:p>
      <w:pPr>
        <w:spacing w:after="0" w:line="4" w:lineRule="exact"/>
        <w:rPr>
          <w:sz w:val="20"/>
          <w:szCs w:val="20"/>
          <w:color w:val="auto"/>
        </w:rPr>
      </w:pPr>
    </w:p>
    <w:p>
      <w:pPr>
        <w:ind w:left="5580" w:right="4360" w:hanging="5565"/>
        <w:spacing w:after="0" w:line="234" w:lineRule="auto"/>
        <w:rPr>
          <w:sz w:val="20"/>
          <w:szCs w:val="20"/>
          <w:color w:val="auto"/>
        </w:rPr>
      </w:pPr>
      <w:r>
        <w:rPr>
          <w:rFonts w:ascii="Arial" w:cs="Arial" w:eastAsia="Arial" w:hAnsi="Arial"/>
          <w:sz w:val="20"/>
          <w:szCs w:val="20"/>
          <w:color w:val="auto"/>
        </w:rPr>
        <w:t>Company. There are no restrictions upon the voting or transfer of the Shares under the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320040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1" w:name="page12"/>
    <w:bookmarkEnd w:id="11"/>
    <w:p>
      <w:pPr>
        <w:ind w:right="60"/>
        <w:spacing w:after="0" w:line="247" w:lineRule="auto"/>
        <w:rPr>
          <w:sz w:val="20"/>
          <w:szCs w:val="20"/>
          <w:color w:val="auto"/>
        </w:rPr>
      </w:pPr>
      <w:r>
        <w:rPr>
          <w:rFonts w:ascii="Arial" w:cs="Arial" w:eastAsia="Arial" w:hAnsi="Arial"/>
          <w:sz w:val="20"/>
          <w:szCs w:val="20"/>
          <w:color w:val="auto"/>
        </w:rPr>
        <w:t>Company’s amended and restated certificate of incorporation or amended and restated bylaws or any agreement or other instrument to which the Company is a party or otherwise filed as an exhibit to the Registration Statement.</w:t>
      </w:r>
    </w:p>
    <w:p>
      <w:pPr>
        <w:spacing w:after="0" w:line="176" w:lineRule="exact"/>
        <w:rPr>
          <w:sz w:val="20"/>
          <w:szCs w:val="20"/>
          <w:color w:val="auto"/>
        </w:rPr>
      </w:pPr>
    </w:p>
    <w:p>
      <w:pPr>
        <w:ind w:right="20" w:firstLine="757"/>
        <w:spacing w:after="0" w:line="254" w:lineRule="auto"/>
        <w:tabs>
          <w:tab w:leader="none" w:pos="1145"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There is no statute, regulation, contract, agreement or other document required to be described in the Registration Statement, Prospectus or in any Incorporated Document, or to be filed as an exhibit to the Registration Statement or any Incorporated Document which is not described or filed as required. The statements set forth or incorporated by reference in the Prospectus, insofar as they purport to constitute summaries of the terms of the statutes, regulations, contracts, agreements or other documents described and filed, constitute accurate summaries of the terms thereof in all material respects. The statements set forth or incorporated by reference in the Prospectus under the headings “Risk Factors,” “Business—Intellectual Property,” “Business—Material License Agreements,” “Business—Government Regulation and Product Approval,” “Business—Legal Proceedings,” and “Description of Capital Stock,” insofar as such statements summarize legal matters, agreements, documents or proceedings discussed therein, are accurate and fair summaries of such legal matters, agreements, documents or proceedings. Neither the Company nor any of its Subsidiaries has sent or received any communication regarding termination of, or intent not to renew or render performance under, any of the contracts or agreements referred to or described in the Prospectus or any free writing prospectus, or referred to or described in, or filed as an exhibit to, the Registration Statement, or any Incorporated Document, and no such termination or non-renewal has been threatened by the Company or any of its Subsidiaries or, to the Company’s knowledge, any other party to any such contract or agreement, which threat of termination or non-renewal has not been rescinded as of the date hereof.</w:t>
      </w:r>
    </w:p>
    <w:p>
      <w:pPr>
        <w:spacing w:after="0" w:line="173" w:lineRule="exact"/>
        <w:rPr>
          <w:rFonts w:ascii="Arial" w:cs="Arial" w:eastAsia="Arial" w:hAnsi="Arial"/>
          <w:sz w:val="18"/>
          <w:szCs w:val="18"/>
          <w:color w:val="auto"/>
        </w:rPr>
      </w:pPr>
    </w:p>
    <w:p>
      <w:pPr>
        <w:ind w:right="40" w:firstLine="757"/>
        <w:spacing w:after="0" w:line="246" w:lineRule="auto"/>
        <w:tabs>
          <w:tab w:leader="none" w:pos="1145" w:val="left"/>
        </w:tabs>
        <w:numPr>
          <w:ilvl w:val="0"/>
          <w:numId w:val="13"/>
        </w:numPr>
        <w:rPr>
          <w:rFonts w:ascii="Arial" w:cs="Arial" w:eastAsia="Arial" w:hAnsi="Arial"/>
          <w:sz w:val="19"/>
          <w:szCs w:val="19"/>
          <w:color w:val="auto"/>
        </w:rPr>
      </w:pPr>
      <w:r>
        <w:rPr>
          <w:rFonts w:ascii="Arial" w:cs="Arial" w:eastAsia="Arial" w:hAnsi="Arial"/>
          <w:sz w:val="19"/>
          <w:szCs w:val="19"/>
          <w:color w:val="auto"/>
        </w:rPr>
        <w:t>This Agreement has been duly and validly authorized, executed and delivered by the Company and constitutes a valid and legally binding obligation of the Company, enforceable against the Company in accordance with its terms, except as enforceability, including rights of indemnification, may be limited by bankruptcy, insolvency, fraudulent conveyance, reorganization, moratorium and other similar laws relating to or affecting creditors’ rights generally and by general principles of equity. This Agreement conforms in all material respects to the descriptions thereof in the Registration Statement and the Prospectus.</w:t>
      </w:r>
    </w:p>
    <w:p>
      <w:pPr>
        <w:spacing w:after="0" w:line="176" w:lineRule="exact"/>
        <w:rPr>
          <w:rFonts w:ascii="Arial" w:cs="Arial" w:eastAsia="Arial" w:hAnsi="Arial"/>
          <w:sz w:val="19"/>
          <w:szCs w:val="19"/>
          <w:color w:val="auto"/>
        </w:rPr>
      </w:pPr>
    </w:p>
    <w:p>
      <w:pPr>
        <w:ind w:right="60" w:firstLine="757"/>
        <w:spacing w:after="0" w:line="237" w:lineRule="auto"/>
        <w:tabs>
          <w:tab w:leader="none" w:pos="1145" w:val="left"/>
        </w:tabs>
        <w:numPr>
          <w:ilvl w:val="0"/>
          <w:numId w:val="13"/>
        </w:numPr>
        <w:rPr>
          <w:rFonts w:ascii="Arial" w:cs="Arial" w:eastAsia="Arial" w:hAnsi="Arial"/>
          <w:sz w:val="20"/>
          <w:szCs w:val="20"/>
          <w:color w:val="auto"/>
        </w:rPr>
      </w:pPr>
      <w:r>
        <w:rPr>
          <w:rFonts w:ascii="Arial" w:cs="Arial" w:eastAsia="Arial" w:hAnsi="Arial"/>
          <w:sz w:val="20"/>
          <w:szCs w:val="20"/>
          <w:color w:val="auto"/>
        </w:rPr>
        <w:t>The Company is not and, after giving effect to the offering and sale of the Placement Shares and the application of the proceeds thereof as described in the Prospectus, will not be an “investment company” as defined in the Investment Company Act of 1940, as amended.</w:t>
      </w:r>
    </w:p>
    <w:p>
      <w:pPr>
        <w:spacing w:after="0" w:line="182" w:lineRule="exact"/>
        <w:rPr>
          <w:rFonts w:ascii="Arial" w:cs="Arial" w:eastAsia="Arial" w:hAnsi="Arial"/>
          <w:sz w:val="20"/>
          <w:szCs w:val="20"/>
          <w:color w:val="auto"/>
        </w:rPr>
      </w:pPr>
    </w:p>
    <w:p>
      <w:pPr>
        <w:ind w:right="60" w:firstLine="757"/>
        <w:spacing w:after="0" w:line="231" w:lineRule="auto"/>
        <w:tabs>
          <w:tab w:leader="none" w:pos="1145" w:val="left"/>
        </w:tabs>
        <w:numPr>
          <w:ilvl w:val="0"/>
          <w:numId w:val="13"/>
        </w:numPr>
        <w:rPr>
          <w:rFonts w:ascii="Arial" w:cs="Arial" w:eastAsia="Arial" w:hAnsi="Arial"/>
          <w:sz w:val="20"/>
          <w:szCs w:val="20"/>
          <w:color w:val="auto"/>
        </w:rPr>
      </w:pPr>
      <w:r>
        <w:rPr>
          <w:rFonts w:ascii="Arial" w:cs="Arial" w:eastAsia="Arial" w:hAnsi="Arial"/>
          <w:sz w:val="20"/>
          <w:szCs w:val="20"/>
          <w:color w:val="auto"/>
        </w:rPr>
        <w:t>No consent, approval, license, permit, qualification, authorization or other order or decree of, or registration or filing with, any court or other governmental, taxing or regulatory authority or agency, is required for the Company’s execution, delivery and performance of this Agreement or consummation of the transactions contemplated hereby or by the Registration Statement and the Prospectus (including the issuance and sale of the Placement Shares hereunder), except such as have been already obtained or made or as may be required under the Securities Act, applicable state securities or Blue Sky laws, applicable rules of Nasdaq, or Rule 5110 of the Financial Industry Regulatory Authority, Inc. (“</w:t>
      </w:r>
      <w:r>
        <w:rPr>
          <w:rFonts w:ascii="Arial" w:cs="Arial" w:eastAsia="Arial" w:hAnsi="Arial"/>
          <w:sz w:val="20"/>
          <w:szCs w:val="20"/>
          <w:b w:val="1"/>
          <w:bCs w:val="1"/>
          <w:u w:val="single" w:color="auto"/>
          <w:color w:val="auto"/>
        </w:rPr>
        <w:t>FINRA</w:t>
      </w:r>
      <w:r>
        <w:rPr>
          <w:rFonts w:ascii="Arial" w:cs="Arial" w:eastAsia="Arial" w:hAnsi="Arial"/>
          <w:sz w:val="20"/>
          <w:szCs w:val="20"/>
          <w:color w:val="auto"/>
        </w:rPr>
        <w:t>”).</w:t>
      </w:r>
    </w:p>
    <w:p>
      <w:pPr>
        <w:spacing w:after="0" w:line="183" w:lineRule="exact"/>
        <w:rPr>
          <w:rFonts w:ascii="Arial" w:cs="Arial" w:eastAsia="Arial" w:hAnsi="Arial"/>
          <w:sz w:val="20"/>
          <w:szCs w:val="20"/>
          <w:color w:val="auto"/>
        </w:rPr>
      </w:pPr>
    </w:p>
    <w:p>
      <w:pPr>
        <w:ind w:right="400" w:firstLine="757"/>
        <w:spacing w:after="0" w:line="256" w:lineRule="auto"/>
        <w:tabs>
          <w:tab w:leader="none" w:pos="1145" w:val="left"/>
        </w:tabs>
        <w:numPr>
          <w:ilvl w:val="0"/>
          <w:numId w:val="13"/>
        </w:numPr>
        <w:rPr>
          <w:rFonts w:ascii="Arial" w:cs="Arial" w:eastAsia="Arial" w:hAnsi="Arial"/>
          <w:sz w:val="18"/>
          <w:szCs w:val="18"/>
          <w:color w:val="auto"/>
        </w:rPr>
      </w:pPr>
      <w:r>
        <w:rPr>
          <w:rFonts w:ascii="Arial" w:cs="Arial" w:eastAsia="Arial" w:hAnsi="Arial"/>
          <w:sz w:val="18"/>
          <w:szCs w:val="18"/>
          <w:color w:val="auto"/>
        </w:rPr>
        <w:t>Neither the execution and delivery by the Company of, nor the performance of the Company of its obligations under, this Agreement will conflict with, result in a breach or violation of, or result in the creation or imposition of any lien, charge or encumbrance upon any property or assets of the Company or any of its Subsidiaries pursuant to: (i) the certificate or articles of incorporation, charter,</w:t>
      </w:r>
    </w:p>
    <w:p>
      <w:pPr>
        <w:spacing w:after="0" w:line="2"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bylaws, articles of association, limited liability company agreement, certificate or agreement of limited or general partnership or other similar organizational documents, as the case may be, of such entity, (ii) the terms of any indenture, contract, license, lease, mortgage, deed of trust, note agreement, agreement or other instrument, obligation, condition, covenant or instrument to which it is a party or bound or to which</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12" w:name="page13"/>
    <w:bookmarkEnd w:id="12"/>
    <w:p>
      <w:pPr>
        <w:jc w:val="both"/>
        <w:ind w:right="260"/>
        <w:spacing w:after="0" w:line="311" w:lineRule="auto"/>
        <w:rPr>
          <w:sz w:val="20"/>
          <w:szCs w:val="20"/>
          <w:color w:val="auto"/>
        </w:rPr>
      </w:pPr>
      <w:r>
        <w:rPr>
          <w:rFonts w:ascii="Arial" w:cs="Arial" w:eastAsia="Arial" w:hAnsi="Arial"/>
          <w:sz w:val="16"/>
          <w:szCs w:val="16"/>
          <w:color w:val="auto"/>
        </w:rPr>
        <w:t>its property or assets is subject or (iii) any statute, law, rule, regulation, judgment, order or decree applicable to the Company or any of its Subsidiaries of any court, regulatory body, administrative agency, governmental body, arbitrator or other authority having jurisdiction over the Company, any of its Subsidiaries or any of their respective properties or assets, as applicable, except, in the case of clauses (ii) and (iii) above, for any such conflict, breach, violation or default that would not, individually or in the aggregate, have a Material Adverse Effect.</w:t>
      </w:r>
    </w:p>
    <w:p>
      <w:pPr>
        <w:spacing w:after="0" w:line="128" w:lineRule="exact"/>
        <w:rPr>
          <w:sz w:val="20"/>
          <w:szCs w:val="20"/>
          <w:color w:val="auto"/>
        </w:rPr>
      </w:pPr>
    </w:p>
    <w:p>
      <w:pPr>
        <w:ind w:firstLine="757"/>
        <w:spacing w:after="0" w:line="254" w:lineRule="auto"/>
        <w:tabs>
          <w:tab w:leader="none" w:pos="1145" w:val="left"/>
        </w:tabs>
        <w:numPr>
          <w:ilvl w:val="0"/>
          <w:numId w:val="14"/>
        </w:numPr>
        <w:rPr>
          <w:rFonts w:ascii="Arial" w:cs="Arial" w:eastAsia="Arial" w:hAnsi="Arial"/>
          <w:sz w:val="18"/>
          <w:szCs w:val="18"/>
          <w:color w:val="auto"/>
        </w:rPr>
      </w:pPr>
      <w:r>
        <w:rPr>
          <w:rFonts w:ascii="Arial" w:cs="Arial" w:eastAsia="Arial" w:hAnsi="Arial"/>
          <w:sz w:val="18"/>
          <w:szCs w:val="18"/>
          <w:color w:val="auto"/>
        </w:rPr>
        <w:t>Subsequent to the respective dates as of which information is given in the Registration Statement and the Prospectus: (i) there has been no material adverse change, or any development that could reasonably be expected to result in a material adverse change, in the condition (financial or otherwise), earnings, results of operations, business, properties, operations, assets, liabilities or prospects of the Company and its Subsidiaries, taken as a whole, whether or not arising from transactions in the ordinary course of business; (ii) neither the Company nor its Subsidiaries has (A) incurred any material liability or obligation, indirect, direct or contingent, including without limitation any losses or interference with its business from fire, explosion, flood, earthquakes, accident or other calamity, whether or not covered by insurance, or from any strike, labor dispute or court or governmental action, order or decree, that are material, individually or in the aggregate, to the Company and its Subsidiaries, considered as one entity, (B) entered into any material transactions not in the ordinary course of business or (C) issued or granted any Shares or securities convertible into or exchangeable or exercisable for or that represent the right to receive Shares other than under the Stock Plans; and (iii) there has not been any material decrease in the share capital or any material increase in any short-term or long-term indebtedness of the Company or any of its Subsidiaries and there has been no dividend or distribution of any kind declared, paid or made by the Company or, except for dividends paid to the Company or another Subsidiary, by any Subsidiary on any class of shares, or any repurchase or redemption by the Company or any of its Subsidiaries of any class of shares.</w:t>
      </w:r>
    </w:p>
    <w:p>
      <w:pPr>
        <w:spacing w:after="0" w:line="176" w:lineRule="exact"/>
        <w:rPr>
          <w:rFonts w:ascii="Arial" w:cs="Arial" w:eastAsia="Arial" w:hAnsi="Arial"/>
          <w:sz w:val="18"/>
          <w:szCs w:val="18"/>
          <w:color w:val="auto"/>
        </w:rPr>
      </w:pPr>
    </w:p>
    <w:p>
      <w:pPr>
        <w:ind w:firstLine="757"/>
        <w:spacing w:after="0" w:line="234" w:lineRule="auto"/>
        <w:tabs>
          <w:tab w:leader="none" w:pos="1145" w:val="left"/>
        </w:tabs>
        <w:numPr>
          <w:ilvl w:val="0"/>
          <w:numId w:val="14"/>
        </w:numPr>
        <w:rPr>
          <w:rFonts w:ascii="Arial" w:cs="Arial" w:eastAsia="Arial" w:hAnsi="Arial"/>
          <w:sz w:val="20"/>
          <w:szCs w:val="20"/>
          <w:color w:val="auto"/>
        </w:rPr>
      </w:pPr>
      <w:r>
        <w:rPr>
          <w:rFonts w:ascii="Arial" w:cs="Arial" w:eastAsia="Arial" w:hAnsi="Arial"/>
          <w:sz w:val="20"/>
          <w:szCs w:val="20"/>
          <w:color w:val="auto"/>
        </w:rPr>
        <w:t>There are no persons (as such term is defined in Rule 1-02 of Regulation S-X promulgated under the Securities Act) with registration or other similar rights to have any equity or debt securities of the Company registered for sale under the Registration Statement or included in the offering contemplated by this Agreement, except for such rights as have been duly waived in a writing previously furnished to the Agent.</w:t>
      </w:r>
    </w:p>
    <w:p>
      <w:pPr>
        <w:spacing w:after="0" w:line="183" w:lineRule="exact"/>
        <w:rPr>
          <w:rFonts w:ascii="Arial" w:cs="Arial" w:eastAsia="Arial" w:hAnsi="Arial"/>
          <w:sz w:val="20"/>
          <w:szCs w:val="20"/>
          <w:color w:val="auto"/>
        </w:rPr>
      </w:pPr>
    </w:p>
    <w:p>
      <w:pPr>
        <w:ind w:firstLine="757"/>
        <w:spacing w:after="0" w:line="288" w:lineRule="auto"/>
        <w:tabs>
          <w:tab w:leader="none" w:pos="1145"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financial statements included or incorporated by reference in the Registration Statement and the Prospectus, together with the related notes and schedules, present fairly the consolidated financial position of the Company and the Subsidiaries as of the dates indicated and the consolidated results of operations, cash flows and changes in stockholders’ equity of the Company and the Subsidiaries for the periods specified and have been prepared in compliance with the requirements of the Securities Act and Exchange Act and in conformity with United States generally accepted accounting principles (“</w:t>
      </w:r>
      <w:r>
        <w:rPr>
          <w:rFonts w:ascii="Arial" w:cs="Arial" w:eastAsia="Arial" w:hAnsi="Arial"/>
          <w:sz w:val="16"/>
          <w:szCs w:val="16"/>
          <w:b w:val="1"/>
          <w:bCs w:val="1"/>
          <w:u w:val="single" w:color="auto"/>
          <w:color w:val="auto"/>
        </w:rPr>
        <w:t>GAAP</w:t>
      </w:r>
      <w:r>
        <w:rPr>
          <w:rFonts w:ascii="Arial" w:cs="Arial" w:eastAsia="Arial" w:hAnsi="Arial"/>
          <w:sz w:val="16"/>
          <w:szCs w:val="16"/>
          <w:color w:val="auto"/>
        </w:rPr>
        <w:t>”) applied on a consistent basis during the periods involved. To the extent applicable, any pro forma financial statements, information or data included or incorporated by reference in the Registration Statement and the Prospectus comply with the requirements of Regulation S-X of the Securities Act, including, without limitation, Article 11 thereof, fairly present the information set forth herein, and the assumptions used in the preparation of such pro forma financial statements and data are reasonable, the pro forma adjustments used therein are appropriate to give effect to the circumstances referred to therein and the pro forma adjustments have been properly applied to the historical amounts in the compilation of those statements and data. The other financial data set forth or incorporated by reference in the Registration Statement and the Prospectus is accurately and fairly presented and prepared on a basis</w:t>
      </w:r>
    </w:p>
    <w:p>
      <w:pPr>
        <w:spacing w:after="0" w:line="184" w:lineRule="exact"/>
        <w:rPr>
          <w:sz w:val="20"/>
          <w:szCs w:val="20"/>
          <w:color w:val="auto"/>
        </w:rPr>
      </w:pPr>
    </w:p>
    <w:p>
      <w:pPr>
        <w:ind w:right="60"/>
        <w:spacing w:after="0" w:line="250" w:lineRule="auto"/>
        <w:rPr>
          <w:sz w:val="20"/>
          <w:szCs w:val="20"/>
          <w:color w:val="auto"/>
        </w:rPr>
      </w:pPr>
      <w:r>
        <w:rPr>
          <w:rFonts w:ascii="Arial" w:cs="Arial" w:eastAsia="Arial" w:hAnsi="Arial"/>
          <w:sz w:val="18"/>
          <w:szCs w:val="18"/>
          <w:color w:val="auto"/>
        </w:rPr>
        <w:t>consistent with the financial statements and books and records of the Company. There are no financial statements (historical or pro forma) that are required to be included or incorporated by reference in the Registration Statement or the Prospectus that are no included or incorporated by reference therein as required. The Company and the Subsidiaries do not have any material liabilities or obligations, direct or</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3" w:name="page14"/>
    <w:bookmarkEnd w:id="13"/>
    <w:p>
      <w:pPr>
        <w:spacing w:after="0"/>
        <w:rPr>
          <w:sz w:val="20"/>
          <w:szCs w:val="20"/>
          <w:color w:val="auto"/>
        </w:rPr>
      </w:pPr>
      <w:r>
        <w:rPr>
          <w:rFonts w:ascii="Arial" w:cs="Arial" w:eastAsia="Arial" w:hAnsi="Arial"/>
          <w:sz w:val="19"/>
          <w:szCs w:val="19"/>
          <w:color w:val="auto"/>
        </w:rPr>
        <w:t>contingent (including any off-balance sheet obligations or any “variable interest entities” as that term is used in Accounting Standards Codification Paragraph 810-10-25-20), not disclosed in the Registration Statement and the Prospectus. All disclosures contained in the Registration Statement or the Prospectus that contain “non-GAAP financial measures” (as such term is defined by the rules and regulations of the Commission) comply, in all material respects, with Regulation G under the Exchange Act and Item 10 of Regulation S-K under the Securities Act, to the extent applicable. The statistical, industry-related and market-related data included or incorporated by reference in the Registration Statement and the Prospectus were obtained or derived from sources which the Company reasonably and in good faith believes are reliable and accurate, such data agree with the sources from which they are derived, and the Company has obtained the written consent to the use of such data from such sources to the extent required. To the Company’s knowledge, no person who has been suspended or barred from being associated with a registered public accounting firm, or who has failed to comply with any sanction pursuant to Rule 5300 promulgated by the Public Company Accounting Oversight Board (“</w:t>
      </w:r>
      <w:r>
        <w:rPr>
          <w:rFonts w:ascii="Arial" w:cs="Arial" w:eastAsia="Arial" w:hAnsi="Arial"/>
          <w:sz w:val="19"/>
          <w:szCs w:val="19"/>
          <w:b w:val="1"/>
          <w:bCs w:val="1"/>
          <w:u w:val="single" w:color="auto"/>
          <w:color w:val="auto"/>
        </w:rPr>
        <w:t>PCAOB</w:t>
      </w:r>
      <w:r>
        <w:rPr>
          <w:rFonts w:ascii="Arial" w:cs="Arial" w:eastAsia="Arial" w:hAnsi="Arial"/>
          <w:sz w:val="19"/>
          <w:szCs w:val="19"/>
          <w:color w:val="auto"/>
        </w:rPr>
        <w:t>”), has participated in or otherwise aided the preparation of, or audited, the financial statements, supporting schedules or other financial data filed with the Commission as a part of the Registration Statement and the Prospectus.</w:t>
      </w:r>
    </w:p>
    <w:p>
      <w:pPr>
        <w:spacing w:after="0" w:line="187" w:lineRule="exact"/>
        <w:rPr>
          <w:sz w:val="20"/>
          <w:szCs w:val="20"/>
          <w:color w:val="auto"/>
        </w:rPr>
      </w:pPr>
    </w:p>
    <w:p>
      <w:pPr>
        <w:ind w:right="20" w:firstLine="757"/>
        <w:spacing w:after="0" w:line="255" w:lineRule="auto"/>
        <w:tabs>
          <w:tab w:leader="none" w:pos="1145"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There are no actions, suits, claims, investigations or proceedings pending or, to the Company’s knowledge, threatened to which the Company or any of the Subsidiaries is or would be a party, or of which any of the respective properties or assets of the Company and the Subsidiaries is or would be subject, at law or in equity, before any court or arbitral body or by or before any federal, state, local or foreign governmental or regulatory commission, board, body, authority or agency, that (i) are required to be described in the Registration Statement or the Prospectus and are not so described, (ii) could reasonably be expected to have a material adverse effect on the ability of the Company to perform its obligations under this Agreement or on the consummation of any of the transactions contemplated hereby or (iii) could reasonably be expected to have a Material Adverse Effect. The aggregate of all pending legal or governmental proceedings to which the Company or any of its Subsidiaries is a party or of which any of their respective properties or assets is the subject which are not described in the Prospectus, including ordinary routine litigation incidental to the Company’s business, could not reasonably be expected to (A) result in a Material Adverse Effect or (B) have a material adverse effect on the ability of the Company to perform its obligations under this Agreement or the consummation of any of the transactions contemplated hereby.</w:t>
      </w:r>
    </w:p>
    <w:p>
      <w:pPr>
        <w:spacing w:after="0" w:line="172" w:lineRule="exact"/>
        <w:rPr>
          <w:rFonts w:ascii="Arial" w:cs="Arial" w:eastAsia="Arial" w:hAnsi="Arial"/>
          <w:sz w:val="18"/>
          <w:szCs w:val="18"/>
          <w:color w:val="auto"/>
        </w:rPr>
      </w:pPr>
    </w:p>
    <w:p>
      <w:pPr>
        <w:ind w:right="40" w:firstLine="757"/>
        <w:spacing w:after="0" w:line="246" w:lineRule="auto"/>
        <w:tabs>
          <w:tab w:leader="none" w:pos="1145" w:val="left"/>
        </w:tabs>
        <w:numPr>
          <w:ilvl w:val="0"/>
          <w:numId w:val="15"/>
        </w:numPr>
        <w:rPr>
          <w:rFonts w:ascii="Arial" w:cs="Arial" w:eastAsia="Arial" w:hAnsi="Arial"/>
          <w:sz w:val="20"/>
          <w:szCs w:val="20"/>
          <w:color w:val="auto"/>
        </w:rPr>
      </w:pPr>
      <w:r>
        <w:rPr>
          <w:rFonts w:ascii="Arial" w:cs="Arial" w:eastAsia="Arial" w:hAnsi="Arial"/>
          <w:sz w:val="20"/>
          <w:szCs w:val="20"/>
          <w:color w:val="auto"/>
        </w:rPr>
        <w:t>The Company owns or leases all such real properties as are necessary to the conduct of its operations as presently conducted in all material respects.</w:t>
      </w:r>
    </w:p>
    <w:p>
      <w:pPr>
        <w:spacing w:after="0" w:line="176" w:lineRule="exact"/>
        <w:rPr>
          <w:rFonts w:ascii="Arial" w:cs="Arial" w:eastAsia="Arial" w:hAnsi="Arial"/>
          <w:sz w:val="20"/>
          <w:szCs w:val="20"/>
          <w:color w:val="auto"/>
        </w:rPr>
      </w:pPr>
    </w:p>
    <w:p>
      <w:pPr>
        <w:ind w:right="260" w:firstLine="757"/>
        <w:spacing w:after="0" w:line="257" w:lineRule="auto"/>
        <w:tabs>
          <w:tab w:leader="none" w:pos="1145" w:val="left"/>
        </w:tabs>
        <w:numPr>
          <w:ilvl w:val="0"/>
          <w:numId w:val="15"/>
        </w:numPr>
        <w:rPr>
          <w:rFonts w:ascii="Arial" w:cs="Arial" w:eastAsia="Arial" w:hAnsi="Arial"/>
          <w:sz w:val="18"/>
          <w:szCs w:val="18"/>
          <w:color w:val="auto"/>
        </w:rPr>
      </w:pPr>
      <w:r>
        <w:rPr>
          <w:rFonts w:ascii="Arial" w:cs="Arial" w:eastAsia="Arial" w:hAnsi="Arial"/>
          <w:sz w:val="18"/>
          <w:szCs w:val="18"/>
          <w:color w:val="auto"/>
        </w:rPr>
        <w:t>Neither the Company nor any Subsidiary is in violation or default of (i) any provision of its certificate or articles of incorporation, charter, bylaws, articles of association, limited liability company agreement, certificate or agreement of limited or general partnership, or other similar organizational documents, as the case may be, of such entity, (ii) the terms of any indenture, contract, lease, mortgage, deed of trust, note agreement, loan agreement or other agreement, obligation, condition, covenant or instrument to which it is a party or bound or to which its property or assets is subject, or (iii) any statute, law, rule, regulation, judgment, order or decree of any court, regulatory body, administrative agency, governmental body, arbitrator or other authority having jurisdiction over the Company, any of its Subsidiaries or any of their respective properties or assets, as applicable, except, in the case of clauses (ii) and (iii) above, for any such default or violation that would not, individually or in the aggregate, have a Material Adverse Effect.</w:t>
      </w:r>
    </w:p>
    <w:p>
      <w:pPr>
        <w:spacing w:after="0" w:line="170" w:lineRule="exact"/>
        <w:rPr>
          <w:rFonts w:ascii="Arial" w:cs="Arial" w:eastAsia="Arial" w:hAnsi="Arial"/>
          <w:sz w:val="18"/>
          <w:szCs w:val="18"/>
          <w:color w:val="auto"/>
        </w:rPr>
      </w:pPr>
    </w:p>
    <w:p>
      <w:pPr>
        <w:ind w:left="1160" w:hanging="403"/>
        <w:spacing w:after="0"/>
        <w:tabs>
          <w:tab w:leader="none" w:pos="11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Ernst &amp; Young LLP, whose report on the consolidated financial statements of the Company is filed with the Commission as</w:t>
      </w:r>
    </w:p>
    <w:p>
      <w:pPr>
        <w:spacing w:after="0" w:line="25" w:lineRule="exact"/>
        <w:rPr>
          <w:sz w:val="20"/>
          <w:szCs w:val="20"/>
          <w:color w:val="auto"/>
        </w:rPr>
      </w:pPr>
    </w:p>
    <w:p>
      <w:pPr>
        <w:ind w:right="140"/>
        <w:spacing w:after="0" w:line="225" w:lineRule="auto"/>
        <w:rPr>
          <w:sz w:val="20"/>
          <w:szCs w:val="20"/>
          <w:color w:val="auto"/>
        </w:rPr>
      </w:pPr>
      <w:r>
        <w:rPr>
          <w:rFonts w:ascii="Arial" w:cs="Arial" w:eastAsia="Arial" w:hAnsi="Arial"/>
          <w:sz w:val="20"/>
          <w:szCs w:val="20"/>
          <w:color w:val="auto"/>
        </w:rPr>
        <w:t>part of the Company’s most recent annual report on Form 10-K filed with the Commission and incorporated by reference in the Registration Statement and the Prospectus, is (i) an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4" w:name="page15"/>
    <w:bookmarkEnd w:id="14"/>
    <w:p>
      <w:pPr>
        <w:ind w:right="180"/>
        <w:spacing w:after="0" w:line="263" w:lineRule="auto"/>
        <w:rPr>
          <w:sz w:val="20"/>
          <w:szCs w:val="20"/>
          <w:color w:val="auto"/>
        </w:rPr>
      </w:pPr>
      <w:r>
        <w:rPr>
          <w:rFonts w:ascii="Arial" w:cs="Arial" w:eastAsia="Arial" w:hAnsi="Arial"/>
          <w:sz w:val="18"/>
          <w:szCs w:val="18"/>
          <w:color w:val="auto"/>
        </w:rPr>
        <w:t>independent registered public accounting firm as required by the Securities Act, the Exchange Act and the rules of the PCAOB, (ii) in compliance with the applicable requirements relating to the qualification of accountants under Rule 2-01 of Regulation S-X under the Securities Act and (iii) a registered public accounting firm as defined by the PCAOB whose registration has not been suspended or revoked and who has not requested such registration to be withdrawn. Ernst &amp; Young LLP has not been engaged by the Company to perform any “prohibited activities” or provided to the Company any “non-audit services” (as defined in Section 10A of the Exchange Act).</w:t>
      </w:r>
    </w:p>
    <w:p>
      <w:pPr>
        <w:spacing w:after="0" w:line="163" w:lineRule="exact"/>
        <w:rPr>
          <w:sz w:val="20"/>
          <w:szCs w:val="20"/>
          <w:color w:val="auto"/>
        </w:rPr>
      </w:pPr>
    </w:p>
    <w:p>
      <w:pPr>
        <w:ind w:right="400" w:firstLine="757"/>
        <w:spacing w:after="0" w:line="237" w:lineRule="auto"/>
        <w:tabs>
          <w:tab w:leader="none" w:pos="1145" w:val="left"/>
        </w:tabs>
        <w:numPr>
          <w:ilvl w:val="0"/>
          <w:numId w:val="16"/>
        </w:numPr>
        <w:rPr>
          <w:rFonts w:ascii="Arial" w:cs="Arial" w:eastAsia="Arial" w:hAnsi="Arial"/>
          <w:sz w:val="20"/>
          <w:szCs w:val="20"/>
          <w:color w:val="auto"/>
        </w:rPr>
      </w:pPr>
      <w:r>
        <w:rPr>
          <w:rFonts w:ascii="Arial" w:cs="Arial" w:eastAsia="Arial" w:hAnsi="Arial"/>
          <w:sz w:val="20"/>
          <w:szCs w:val="20"/>
          <w:color w:val="auto"/>
        </w:rPr>
        <w:t>There are no transfer taxes or other similar fees or charges under federal law, the laws of any state, any foreign law, or any political subdivision thereof, required to be paid in connection with the execution and delivery of this Agreement or the issuance by the Company or sale by the Company of the Placement Shares.</w:t>
      </w:r>
    </w:p>
    <w:p>
      <w:pPr>
        <w:spacing w:after="0" w:line="183" w:lineRule="exact"/>
        <w:rPr>
          <w:sz w:val="20"/>
          <w:szCs w:val="20"/>
          <w:color w:val="auto"/>
        </w:rPr>
      </w:pPr>
    </w:p>
    <w:p>
      <w:pPr>
        <w:ind w:firstLine="757"/>
        <w:spacing w:after="0" w:line="288" w:lineRule="auto"/>
        <w:tabs>
          <w:tab w:leader="none" w:pos="1145" w:val="left"/>
        </w:tabs>
        <w:numPr>
          <w:ilvl w:val="0"/>
          <w:numId w:val="17"/>
        </w:numPr>
        <w:rPr>
          <w:rFonts w:ascii="Arial" w:cs="Arial" w:eastAsia="Arial" w:hAnsi="Arial"/>
          <w:sz w:val="16"/>
          <w:szCs w:val="16"/>
          <w:color w:val="auto"/>
        </w:rPr>
      </w:pPr>
      <w:r>
        <w:rPr>
          <w:rFonts w:ascii="Arial" w:cs="Arial" w:eastAsia="Arial" w:hAnsi="Arial"/>
          <w:sz w:val="16"/>
          <w:szCs w:val="16"/>
          <w:color w:val="auto"/>
        </w:rPr>
        <w:t>All United States federal income tax returns of the Company and its Subsidiaries required by law to be filed have been filed or extensions thereof have been requested, and all taxes shown by such returns or otherwise assessed, which are due and payable, have been paid, except assessments that are being contested in good faith and as to which adequate reserves have been provided under GAAP. The Company has no knowledge of any material tax deficiency which has been or is likely to be threatened or asserted against the Company or its Subsidiaries. Each of the Company and its Subsidiaries has filed all foreign, state, provincial, local or other tax returns that are required to have been filed pursuant to applicable foreign, state, provincial, local or other law except insofar as the failure to file such returns would not, individually or in the aggregate, reasonably be expected to result in a Material Adverse Effect, and paid all taxes due pursuant to such returns or pursuant to any assessment received by the Company and its Subsidiaries, except for such taxes, if any, as are being contested in good faith and as to which adequate reserves have been provided and except for such taxes or assessments the nonpayment of which would not, individually or in the aggregate, reasonably be expected to result in a Material Adverse Effect. The charges, accruals and reserves on the books of the Company and its Subsidiaries in respect of any income or other tax liability for any years not finally determined are adequate to meet any assessments or re-assessments for additional tax for any years not finally determined, except to the extent of any inadequacy that would not reasonably be expected to result in a Material Adverse Effect. All material taxes which the Company and its Subsidiaries are required by law to withhold or to collect for payment have been duly withheld and collected and have been paid to the appropriate governmental authority or agency or have been accrued, reserved against and entered on the books of the Company and its Subsidiaries.</w:t>
      </w:r>
    </w:p>
    <w:p>
      <w:pPr>
        <w:spacing w:after="0" w:line="365" w:lineRule="exact"/>
        <w:rPr>
          <w:rFonts w:ascii="Arial" w:cs="Arial" w:eastAsia="Arial" w:hAnsi="Arial"/>
          <w:sz w:val="16"/>
          <w:szCs w:val="16"/>
          <w:color w:val="auto"/>
        </w:rPr>
      </w:pPr>
    </w:p>
    <w:p>
      <w:pPr>
        <w:ind w:firstLine="757"/>
        <w:spacing w:after="0" w:line="242" w:lineRule="auto"/>
        <w:tabs>
          <w:tab w:leader="none" w:pos="1145" w:val="left"/>
        </w:tabs>
        <w:numPr>
          <w:ilvl w:val="0"/>
          <w:numId w:val="17"/>
        </w:numPr>
        <w:rPr>
          <w:rFonts w:ascii="Arial" w:cs="Arial" w:eastAsia="Arial" w:hAnsi="Arial"/>
          <w:sz w:val="19"/>
          <w:szCs w:val="19"/>
          <w:color w:val="auto"/>
        </w:rPr>
      </w:pPr>
      <w:r>
        <w:rPr>
          <w:rFonts w:ascii="Arial" w:cs="Arial" w:eastAsia="Arial" w:hAnsi="Arial"/>
          <w:sz w:val="19"/>
          <w:szCs w:val="19"/>
          <w:color w:val="auto"/>
        </w:rPr>
        <w:t>No labor dispute with the employees of the Company or any of its Subsidiaries exists or, to the Company’s knowledge, is threatened or imminent, and the Company is not aware of any existing, threatened or imminent labor disturbance by the employees of any of its or any of its Subsidiaries’ principal suppliers, manufacturers, contractors or customers, in each case that would have a Material Adverse Effect. None of the employees of the Company or any of its Subsidiaries is represented by a union and, to the knowledge of the Company, no union organizing activities are taking place. Neither the Company nor any of its Subsidiaries has violated (or received notice of any violation of) any federal, state or local law or foreign law relating to the discrimination in hiring, promotion or pay of employees, nor any applicable wage or hour laws, or the rules and regulations thereunder, or analogous foreign laws and regulations, which would, individually or in the aggregate, reasonably be expected to result in a Material Adverse Effect.</w:t>
      </w:r>
    </w:p>
    <w:p>
      <w:pPr>
        <w:spacing w:after="0" w:line="181" w:lineRule="exact"/>
        <w:rPr>
          <w:rFonts w:ascii="Arial" w:cs="Arial" w:eastAsia="Arial" w:hAnsi="Arial"/>
          <w:sz w:val="19"/>
          <w:szCs w:val="19"/>
          <w:color w:val="auto"/>
        </w:rPr>
      </w:pPr>
    </w:p>
    <w:p>
      <w:pPr>
        <w:ind w:right="220" w:firstLine="757"/>
        <w:spacing w:after="0" w:line="288" w:lineRule="auto"/>
        <w:tabs>
          <w:tab w:leader="none" w:pos="1145" w:val="left"/>
        </w:tabs>
        <w:numPr>
          <w:ilvl w:val="0"/>
          <w:numId w:val="17"/>
        </w:numPr>
        <w:rPr>
          <w:rFonts w:ascii="Arial" w:cs="Arial" w:eastAsia="Arial" w:hAnsi="Arial"/>
          <w:sz w:val="16"/>
          <w:szCs w:val="16"/>
          <w:color w:val="auto"/>
        </w:rPr>
      </w:pPr>
      <w:r>
        <w:rPr>
          <w:rFonts w:ascii="Arial" w:cs="Arial" w:eastAsia="Arial" w:hAnsi="Arial"/>
          <w:sz w:val="16"/>
          <w:szCs w:val="16"/>
          <w:color w:val="auto"/>
        </w:rPr>
        <w:t>Each of the Company and its Subsidiaries are insured by recognized and reputable institutions with policies in such amounts and with such deductibles and covering such risks as are generally deemed adequate and customary for their businesses including, but not limited to, policies covering real and personal property owned or leased by the Company and its Subsidiaries against theft,</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15" w:name="page16"/>
    <w:bookmarkEnd w:id="15"/>
    <w:p>
      <w:pPr>
        <w:spacing w:after="0" w:line="263" w:lineRule="auto"/>
        <w:rPr>
          <w:sz w:val="20"/>
          <w:szCs w:val="20"/>
          <w:color w:val="auto"/>
        </w:rPr>
      </w:pPr>
      <w:r>
        <w:rPr>
          <w:rFonts w:ascii="Arial" w:cs="Arial" w:eastAsia="Arial" w:hAnsi="Arial"/>
          <w:sz w:val="18"/>
          <w:szCs w:val="18"/>
          <w:color w:val="auto"/>
        </w:rPr>
        <w:t>damage, destruction, acts of vandalism and earthquakes and policies covering the Company and its Subsidiaries for clinical trial liability claims. The Company has no reason to believe that it or any of its Subsidiaries will not be able (i) to renew its existing insurance coverage as and when such policies expire or (ii) to obtain comparable coverage from similar institutions as may be necessary or appropriate to conduct its business as now conducted and at a cost that could not reasonably be expected to have a Material Adverse Effect. Neither the Company nor any of its Subsidiaries has been denied any material insurance coverage which it has sought or for which it has applied.</w:t>
      </w:r>
    </w:p>
    <w:p>
      <w:pPr>
        <w:spacing w:after="0" w:line="163" w:lineRule="exact"/>
        <w:rPr>
          <w:sz w:val="20"/>
          <w:szCs w:val="20"/>
          <w:color w:val="auto"/>
        </w:rPr>
      </w:pPr>
    </w:p>
    <w:p>
      <w:pPr>
        <w:ind w:firstLine="757"/>
        <w:spacing w:after="0" w:line="255" w:lineRule="auto"/>
        <w:tabs>
          <w:tab w:leader="none" w:pos="1145"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Company and each of its Subsidiaries has good and marketable title in fee simple to all real property owned by them and good and marketable title to all personal property owned by them that is material to their business (except with respect to intellectual property, which is addressed exclusively in Section 6(pp) and Section 6(ggg) below), in each case free and clear of all liens, encumbrances and defects except such as do not materially affect the value of such property and do not interfere with the use made and proposed to be made of such property by the Company or any Subsidiary; and any real property and buildings held under lease by the Company or any of its Subsidiaries are held by them under valid, subsisting and enforceable leases (subject to the effects of (A) bankruptcy, insolvency, fraudulent conveyance, fraudulent transfer, reorganization, moratorium or other similar laws relating to or affecting the rights or remedies of creditors generally; (B) the application of general principles of equity (including, without limitation, concepts of materiality, reasonableness, good faith and fair dealing, regardless of whether enforcement is considered in proceedings at law or in equity); and (C) applicable law and public policy with respect to rights to indemnity and contribution) with such exceptions as are not material and do not interfere with the use made and proposed to be made of such property and buildings by the Company or such Subsidiary.</w:t>
      </w:r>
    </w:p>
    <w:p>
      <w:pPr>
        <w:spacing w:after="0" w:line="172" w:lineRule="exact"/>
        <w:rPr>
          <w:rFonts w:ascii="Arial" w:cs="Arial" w:eastAsia="Arial" w:hAnsi="Arial"/>
          <w:sz w:val="18"/>
          <w:szCs w:val="18"/>
          <w:color w:val="auto"/>
        </w:rPr>
      </w:pPr>
    </w:p>
    <w:p>
      <w:pPr>
        <w:ind w:right="240" w:firstLine="757"/>
        <w:spacing w:after="0" w:line="230" w:lineRule="auto"/>
        <w:tabs>
          <w:tab w:leader="none" w:pos="1145" w:val="left"/>
        </w:tabs>
        <w:numPr>
          <w:ilvl w:val="0"/>
          <w:numId w:val="18"/>
        </w:numPr>
        <w:rPr>
          <w:rFonts w:ascii="Arial" w:cs="Arial" w:eastAsia="Arial" w:hAnsi="Arial"/>
          <w:sz w:val="20"/>
          <w:szCs w:val="20"/>
          <w:color w:val="auto"/>
        </w:rPr>
      </w:pPr>
      <w:r>
        <w:rPr>
          <w:rFonts w:ascii="Arial" w:cs="Arial" w:eastAsia="Arial" w:hAnsi="Arial"/>
          <w:sz w:val="20"/>
          <w:szCs w:val="20"/>
          <w:color w:val="auto"/>
        </w:rPr>
        <w:t>The Company and its Subsidiaries possess and are operating in compliance with such valid and current material certificates, authorizations or permits required by United States federal, state or foreign regulatory agencies or bodies to conduct their respective businesses as currently conducted and as described in the Registration Statement and the Prospectus (collectively, “</w:t>
      </w:r>
      <w:r>
        <w:rPr>
          <w:rFonts w:ascii="Arial" w:cs="Arial" w:eastAsia="Arial" w:hAnsi="Arial"/>
          <w:sz w:val="20"/>
          <w:szCs w:val="20"/>
          <w:b w:val="1"/>
          <w:bCs w:val="1"/>
          <w:u w:val="single" w:color="auto"/>
          <w:color w:val="auto"/>
        </w:rPr>
        <w:t>Permits</w:t>
      </w:r>
      <w:r>
        <w:rPr>
          <w:rFonts w:ascii="Arial" w:cs="Arial" w:eastAsia="Arial" w:hAnsi="Arial"/>
          <w:sz w:val="20"/>
          <w:szCs w:val="20"/>
          <w:color w:val="auto"/>
        </w:rPr>
        <w:t>”). Neither the Company nor any of its Subsidiaries is in violation of, or in default under, any of the Permits or has received any written notice of proceedings relating to the revocation or modification of, or non-compliance with, any such certificate, authorization or permit, which, individually or in the aggregate, if the subject of an unfavorable decision, ruling or finding, could reasonably be expected to result in a Material Adverse Effect.</w:t>
      </w:r>
    </w:p>
    <w:p>
      <w:pPr>
        <w:spacing w:after="0" w:line="185" w:lineRule="exact"/>
        <w:rPr>
          <w:rFonts w:ascii="Arial" w:cs="Arial" w:eastAsia="Arial" w:hAnsi="Arial"/>
          <w:sz w:val="20"/>
          <w:szCs w:val="20"/>
          <w:color w:val="auto"/>
        </w:rPr>
      </w:pPr>
    </w:p>
    <w:p>
      <w:pPr>
        <w:ind w:right="40" w:firstLine="757"/>
        <w:spacing w:after="0" w:line="257" w:lineRule="auto"/>
        <w:tabs>
          <w:tab w:leader="none" w:pos="1145"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Company and each of its Subsidiaries make and keep accurate books and records and maintain a system of internal accounting controls sufficient to provide reasonable assurance that: (i) transactions are executed in accordance with management’s general or specific authorization; (ii) transactions are recorded as necessary to permit preparation of financial statements in conformity with GAAP and to maintain accountability for assets; (iii) access to assets is permitted only in accordance with management’s general or specific authorization; (iv) the recorded accountability for assets is compared with existing assets at reasonable intervals and appropriate action is taken with respect to any differences; and (v) the interactive data in eXtensible Business Reporting Language included or incorporated by reference in the Registration Statement and the Prospectus fairly presents the information called for in all material respects and is prepared in accordance with the Commission’s rules and guidelines applicable thereto.</w:t>
      </w:r>
    </w:p>
    <w:p>
      <w:pPr>
        <w:spacing w:after="0" w:line="170" w:lineRule="exact"/>
        <w:rPr>
          <w:rFonts w:ascii="Arial" w:cs="Arial" w:eastAsia="Arial" w:hAnsi="Arial"/>
          <w:sz w:val="18"/>
          <w:szCs w:val="18"/>
          <w:color w:val="auto"/>
        </w:rPr>
      </w:pPr>
    </w:p>
    <w:p>
      <w:pPr>
        <w:ind w:right="200" w:firstLine="757"/>
        <w:spacing w:after="0" w:line="259" w:lineRule="auto"/>
        <w:tabs>
          <w:tab w:leader="none" w:pos="1145"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Company and each of its Subsidiaries have established and maintain disclosure controls and procedures (as defined in Rules 13a-15 and 15d-15 under the Exchange Act), which (i) are designed to ensure that information relating to the Company, including its</w:t>
      </w:r>
    </w:p>
    <w:p>
      <w:pPr>
        <w:spacing w:after="0" w:line="1" w:lineRule="exact"/>
        <w:rPr>
          <w:sz w:val="20"/>
          <w:szCs w:val="20"/>
          <w:color w:val="auto"/>
        </w:rPr>
      </w:pPr>
    </w:p>
    <w:p>
      <w:pPr>
        <w:ind w:right="340"/>
        <w:spacing w:after="0" w:line="225" w:lineRule="auto"/>
        <w:rPr>
          <w:sz w:val="20"/>
          <w:szCs w:val="20"/>
          <w:color w:val="auto"/>
        </w:rPr>
      </w:pPr>
      <w:r>
        <w:rPr>
          <w:rFonts w:ascii="Arial" w:cs="Arial" w:eastAsia="Arial" w:hAnsi="Arial"/>
          <w:sz w:val="20"/>
          <w:szCs w:val="20"/>
          <w:color w:val="auto"/>
        </w:rPr>
        <w:t>consolidated Subsidiaries, is made known to the Company’s principal executive officer and its principal financial officer by others within those entities, particularly during the periods in which the periodic reports required under the</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16" w:name="page17"/>
    <w:bookmarkEnd w:id="16"/>
    <w:p>
      <w:pPr>
        <w:ind w:right="60"/>
        <w:spacing w:after="0" w:line="259" w:lineRule="auto"/>
        <w:rPr>
          <w:sz w:val="20"/>
          <w:szCs w:val="20"/>
          <w:color w:val="auto"/>
        </w:rPr>
      </w:pPr>
      <w:r>
        <w:rPr>
          <w:rFonts w:ascii="Arial" w:cs="Arial" w:eastAsia="Arial" w:hAnsi="Arial"/>
          <w:sz w:val="18"/>
          <w:szCs w:val="18"/>
          <w:color w:val="auto"/>
        </w:rPr>
        <w:t>Exchange Act are being prepared; (ii) have been evaluated by management of the Company for effectiveness as of the end of the Company’s most recent fiscal quarter; and (iii) are effective in all material respects to perform the functions for which they were established. Since the end of the Company’s most recent audited fiscal year, there has been no material weakness in the Company’s internal control over financial reporting (whether or not remediated) and no change in the Company’s internal control over financial reporting, including any corrective actions with regard to significant deficiencies or material weaknesses. The Company is not aware of any change in its internal control over financial reporting that has occurred during its most recent fiscal quarter that has materially affected, or is reasonably likely to materially affect, the Company’s internal control over financial reporting.</w:t>
      </w:r>
    </w:p>
    <w:p>
      <w:pPr>
        <w:spacing w:after="0" w:line="166" w:lineRule="exact"/>
        <w:rPr>
          <w:sz w:val="20"/>
          <w:szCs w:val="20"/>
          <w:color w:val="auto"/>
        </w:rPr>
      </w:pPr>
    </w:p>
    <w:p>
      <w:pPr>
        <w:ind w:firstLine="757"/>
        <w:spacing w:after="0" w:line="263" w:lineRule="auto"/>
        <w:tabs>
          <w:tab w:leader="none" w:pos="1145" w:val="left"/>
        </w:tabs>
        <w:numPr>
          <w:ilvl w:val="0"/>
          <w:numId w:val="19"/>
        </w:numPr>
        <w:rPr>
          <w:rFonts w:ascii="Arial" w:cs="Arial" w:eastAsia="Arial" w:hAnsi="Arial"/>
          <w:sz w:val="18"/>
          <w:szCs w:val="18"/>
          <w:color w:val="auto"/>
        </w:rPr>
      </w:pPr>
      <w:r>
        <w:rPr>
          <w:rFonts w:ascii="Arial" w:cs="Arial" w:eastAsia="Arial" w:hAnsi="Arial"/>
          <w:sz w:val="18"/>
          <w:szCs w:val="18"/>
          <w:color w:val="auto"/>
        </w:rPr>
        <w:t>Neither the Company, nor any of its Subsidiaries, nor to the knowledge of the Company, any of its or their respective directors, officers or controlling persons has taken, directly or indirectly, without giving effect to any actions taken by the Agent, (i) any action designed to or that might constitute or reasonably be expected to cause or result in, under the Exchange Act or otherwise, stabilization or manipulation of the price of any security of the Company to facilitate the sale or resale of the Placement Shares or (ii) any action designed to or that might constitute or reasonably be expected to cause or result in a violation of Regulation M under the Exchange Act.</w:t>
      </w:r>
    </w:p>
    <w:p>
      <w:pPr>
        <w:spacing w:after="0" w:line="161" w:lineRule="exact"/>
        <w:rPr>
          <w:rFonts w:ascii="Arial" w:cs="Arial" w:eastAsia="Arial" w:hAnsi="Arial"/>
          <w:sz w:val="18"/>
          <w:szCs w:val="18"/>
          <w:color w:val="auto"/>
        </w:rPr>
      </w:pPr>
    </w:p>
    <w:p>
      <w:pPr>
        <w:ind w:right="40" w:firstLine="757"/>
        <w:spacing w:after="0" w:line="252" w:lineRule="auto"/>
        <w:tabs>
          <w:tab w:leader="none" w:pos="1145" w:val="left"/>
        </w:tabs>
        <w:numPr>
          <w:ilvl w:val="0"/>
          <w:numId w:val="19"/>
        </w:numPr>
        <w:rPr>
          <w:rFonts w:ascii="Arial" w:cs="Arial" w:eastAsia="Arial" w:hAnsi="Arial"/>
          <w:sz w:val="18"/>
          <w:szCs w:val="18"/>
          <w:color w:val="auto"/>
        </w:rPr>
      </w:pPr>
      <w:r>
        <w:rPr>
          <w:rFonts w:ascii="Arial" w:cs="Arial" w:eastAsia="Arial" w:hAnsi="Arial"/>
          <w:sz w:val="18"/>
          <w:szCs w:val="18"/>
          <w:color w:val="auto"/>
        </w:rPr>
        <w:t>Except as could not reasonably be expected, individually or in the aggregate, to have a Material Adverse Effect: (i) neither the Company nor any of its Subsidiaries is in violation of any United States federal, state or local, or any foreign, statute, law, rule, regulation, ordinance, code, policy or rule of common law or any judicial or administrative interpretation thereof, including any judicial or administrative order, consent, decree or judgment, relating to pollution or protection of human health, the environment (including, without limitation, ambient air, surface water, groundwater, land surface or subsurface strata) or wildlife, including, without limitation, laws and regulations relating to the emissions, discharges, release or threatened release of chemicals, pollutants, contaminants, wastes, toxic substances, hazardous substances, petroleum or petroleum products (collectively, “</w:t>
      </w:r>
      <w:r>
        <w:rPr>
          <w:rFonts w:ascii="Arial" w:cs="Arial" w:eastAsia="Arial" w:hAnsi="Arial"/>
          <w:sz w:val="18"/>
          <w:szCs w:val="18"/>
          <w:b w:val="1"/>
          <w:bCs w:val="1"/>
          <w:u w:val="single" w:color="auto"/>
          <w:color w:val="auto"/>
        </w:rPr>
        <w:t>Hazardous Materials</w:t>
      </w:r>
      <w:r>
        <w:rPr>
          <w:rFonts w:ascii="Arial" w:cs="Arial" w:eastAsia="Arial" w:hAnsi="Arial"/>
          <w:sz w:val="18"/>
          <w:szCs w:val="18"/>
          <w:color w:val="auto"/>
        </w:rPr>
        <w:t>”) or otherwise related to the manufacture, processing, distribution, use, treatment, storage, disposal, transport or handling of Hazardous Materials (collectively, “</w:t>
      </w:r>
      <w:r>
        <w:rPr>
          <w:rFonts w:ascii="Arial" w:cs="Arial" w:eastAsia="Arial" w:hAnsi="Arial"/>
          <w:sz w:val="18"/>
          <w:szCs w:val="18"/>
          <w:b w:val="1"/>
          <w:bCs w:val="1"/>
          <w:u w:val="single" w:color="auto"/>
          <w:color w:val="auto"/>
        </w:rPr>
        <w:t>Environmental Laws</w:t>
      </w:r>
      <w:r>
        <w:rPr>
          <w:rFonts w:ascii="Arial" w:cs="Arial" w:eastAsia="Arial" w:hAnsi="Arial"/>
          <w:sz w:val="18"/>
          <w:szCs w:val="18"/>
          <w:color w:val="auto"/>
        </w:rPr>
        <w:t>”), which violation includes, but is not limited to, noncompliance with any permits or other governmental authorizations required for the operation of the business of the Company or any of its Subsidiaries under applicable Environmental Laws, or noncompliance with the terms and conditions thereof, nor has the Company or any of its Subsidiaries received any written communication, whether from a governmental authority, citizens group, employee or otherwise, that alleges that the Company or any of its Subsidiaries is in violation of any Environmental Law; (ii) the Company and its Subsidiaries have all material permits, authorizations and approvals required under any applicable Environmental Laws and are in compliance with their requirements; (iii) there are no pending or, to the Company’s knowledge, threatened administrative, regulatory or judicial actions, suits, demands, demand letters, claims, liens, notices of noncompliance or violation, investigation or proceedings relating to any Environmental Law against the Company or any of its Subsidiaries, or any investigation with respect to which the Company or any of its Subsidiaries has received written notice or any written notice by any person or entity alleging potential liability for investigatory costs, cleanup costs, governmental responses costs, natural resources damages, property damages, personal injuries, attorneys’ fees or penalties arising out of, based on or resulting from the presence, or release into the environment, of any Hazardous Materials at any location owned, leased or operated by the Company or any of its Subsidiaries, now or in the past; and (iv) to the Company’s knowledge, there are no past or present actions, activities, events, conditions, incidents or circumstances that might reasonably be expected to result in a violation of any Environmental Law or form the basis of an order for clean-up or remediation, or an action, suit, investigation or proceeding by any private party or governmental body or agency, against or affecting the Company or any of its Subsidiaries relating to Hazardous Materials or any Environmental Laws.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332105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17" w:name="page18"/>
    <w:bookmarkEnd w:id="17"/>
    <w:p>
      <w:pPr>
        <w:ind w:left="-20" w:right="100" w:firstLine="757"/>
        <w:spacing w:after="0"/>
        <w:tabs>
          <w:tab w:leader="none" w:pos="1125" w:val="left"/>
        </w:tabs>
        <w:numPr>
          <w:ilvl w:val="0"/>
          <w:numId w:val="20"/>
        </w:numPr>
        <w:rPr>
          <w:rFonts w:ascii="Arial" w:cs="Arial" w:eastAsia="Arial" w:hAnsi="Arial"/>
          <w:sz w:val="19"/>
          <w:szCs w:val="19"/>
          <w:color w:val="auto"/>
        </w:rPr>
      </w:pPr>
      <w:r>
        <w:rPr>
          <w:rFonts w:ascii="Arial" w:cs="Arial" w:eastAsia="Arial" w:hAnsi="Arial"/>
          <w:sz w:val="19"/>
          <w:szCs w:val="19"/>
          <w:color w:val="auto"/>
        </w:rPr>
        <w:t>The Company and any “employee benefit plan” (as defined under the Employee Retirement Income Security Act of 1974, as amended, and the regulations and published interpretations thereunder (collectively, “</w:t>
      </w:r>
      <w:r>
        <w:rPr>
          <w:rFonts w:ascii="Arial" w:cs="Arial" w:eastAsia="Arial" w:hAnsi="Arial"/>
          <w:sz w:val="19"/>
          <w:szCs w:val="19"/>
          <w:b w:val="1"/>
          <w:bCs w:val="1"/>
          <w:u w:val="single" w:color="auto"/>
          <w:color w:val="auto"/>
        </w:rPr>
        <w:t>ERISA</w:t>
      </w:r>
      <w:r>
        <w:rPr>
          <w:rFonts w:ascii="Arial" w:cs="Arial" w:eastAsia="Arial" w:hAnsi="Arial"/>
          <w:sz w:val="19"/>
          <w:szCs w:val="19"/>
          <w:color w:val="auto"/>
        </w:rPr>
        <w:t>”)) established or maintained by the Company, or its “ERISA Affiliates” (as defined below) are in compliance in all material respects with ERISA. “ERISA Affiliates” means, with respect to the Company, any member of any group of organizations described in Sections 414(b), (c), (m) or (o) of the Internal Revenue Code of 1986, as amended, and the regulations and published interpretations thereunder (the “</w:t>
      </w:r>
      <w:r>
        <w:rPr>
          <w:rFonts w:ascii="Arial" w:cs="Arial" w:eastAsia="Arial" w:hAnsi="Arial"/>
          <w:sz w:val="19"/>
          <w:szCs w:val="19"/>
          <w:b w:val="1"/>
          <w:bCs w:val="1"/>
          <w:u w:val="single" w:color="auto"/>
          <w:color w:val="auto"/>
        </w:rPr>
        <w:t>Code</w:t>
      </w:r>
      <w:r>
        <w:rPr>
          <w:rFonts w:ascii="Arial" w:cs="Arial" w:eastAsia="Arial" w:hAnsi="Arial"/>
          <w:sz w:val="19"/>
          <w:szCs w:val="19"/>
          <w:color w:val="auto"/>
        </w:rPr>
        <w:t>”) of which the Company is a member. No “reportable event” (as defined under ERISA) has occurred or is reasonably expected to occur with respect to any “employee benefit plan” established or maintained by the Company, or any of its ERISA Affiliates. No “employee benefit plan” established or maintained by the Company or any of its ERISA Affiliates, if such “employee benefit plan” were terminated, would have any “amount of unfunded benefit liabilities” (as defined under ERISA). Neither the Company nor any of its ERISA Affiliates has incurred or reasonably expects to incur any liability under (i) Title IV of ERISA with respect to termination of, or withdrawal from, any “employee benefit plan” or (ii) Sections 412, 4971, 4975 or 4980B of the Code. Each “employee benefit plan” established or maintained by the Company or any of its ERISA Affiliates that is intended to be qualified under Section 401(a) of the Code is so qualified and nothing has occurred, whether by action or failure to act, which would cause the loss of such qualification.</w:t>
      </w:r>
    </w:p>
    <w:p>
      <w:pPr>
        <w:spacing w:after="0" w:line="184" w:lineRule="exact"/>
        <w:rPr>
          <w:rFonts w:ascii="Arial" w:cs="Arial" w:eastAsia="Arial" w:hAnsi="Arial"/>
          <w:sz w:val="19"/>
          <w:szCs w:val="19"/>
          <w:color w:val="auto"/>
        </w:rPr>
      </w:pPr>
    </w:p>
    <w:p>
      <w:pPr>
        <w:ind w:left="-20" w:right="140" w:firstLine="757"/>
        <w:spacing w:after="0" w:line="248" w:lineRule="auto"/>
        <w:tabs>
          <w:tab w:leader="none" w:pos="1125" w:val="left"/>
        </w:tabs>
        <w:numPr>
          <w:ilvl w:val="0"/>
          <w:numId w:val="20"/>
        </w:numPr>
        <w:rPr>
          <w:rFonts w:ascii="Arial" w:cs="Arial" w:eastAsia="Arial" w:hAnsi="Arial"/>
          <w:sz w:val="19"/>
          <w:szCs w:val="19"/>
          <w:color w:val="auto"/>
        </w:rPr>
      </w:pPr>
      <w:r>
        <w:rPr>
          <w:rFonts w:ascii="Arial" w:cs="Arial" w:eastAsia="Arial" w:hAnsi="Arial"/>
          <w:sz w:val="19"/>
          <w:szCs w:val="19"/>
          <w:color w:val="auto"/>
        </w:rPr>
        <w:t>The Company is in compliance with, and there is and has been no failure on the part of the Company and, to the Company’s knowledge, any of the Company’s directors or officers, in their capacities as such, to comply with, any provision of the Sarbanes-Oxley Act of 2002 and all rules and regulations promulgated thereunder or implementing the provisions thereof (the “</w:t>
      </w:r>
      <w:r>
        <w:rPr>
          <w:rFonts w:ascii="Arial" w:cs="Arial" w:eastAsia="Arial" w:hAnsi="Arial"/>
          <w:sz w:val="19"/>
          <w:szCs w:val="19"/>
          <w:b w:val="1"/>
          <w:bCs w:val="1"/>
          <w:u w:val="single" w:color="auto"/>
          <w:color w:val="auto"/>
        </w:rPr>
        <w:t>Sarbanes-Oxley Act</w:t>
      </w:r>
      <w:r>
        <w:rPr>
          <w:rFonts w:ascii="Arial" w:cs="Arial" w:eastAsia="Arial" w:hAnsi="Arial"/>
          <w:sz w:val="19"/>
          <w:szCs w:val="19"/>
          <w:color w:val="auto"/>
        </w:rPr>
        <w:t>”) and the rules and regulations promulgated in connection therewith, including Section 402 relating to loans.</w:t>
      </w:r>
    </w:p>
    <w:p>
      <w:pPr>
        <w:spacing w:after="0" w:line="176" w:lineRule="exact"/>
        <w:rPr>
          <w:rFonts w:ascii="Arial" w:cs="Arial" w:eastAsia="Arial" w:hAnsi="Arial"/>
          <w:sz w:val="19"/>
          <w:szCs w:val="19"/>
          <w:color w:val="auto"/>
        </w:rPr>
      </w:pPr>
    </w:p>
    <w:p>
      <w:pPr>
        <w:ind w:left="-20" w:right="40" w:firstLine="757"/>
        <w:spacing w:after="0" w:line="229" w:lineRule="auto"/>
        <w:tabs>
          <w:tab w:leader="none" w:pos="1125" w:val="left"/>
        </w:tabs>
        <w:numPr>
          <w:ilvl w:val="0"/>
          <w:numId w:val="20"/>
        </w:numPr>
        <w:rPr>
          <w:rFonts w:ascii="Arial" w:cs="Arial" w:eastAsia="Arial" w:hAnsi="Arial"/>
          <w:sz w:val="20"/>
          <w:szCs w:val="20"/>
          <w:color w:val="auto"/>
        </w:rPr>
      </w:pPr>
      <w:r>
        <w:rPr>
          <w:rFonts w:ascii="Arial" w:cs="Arial" w:eastAsia="Arial" w:hAnsi="Arial"/>
          <w:sz w:val="20"/>
          <w:szCs w:val="20"/>
          <w:color w:val="auto"/>
        </w:rPr>
        <w:t>Neither the Company, any of its Subsidiaries, nor, to the knowledge of the Company, any of their respective directors, officers, agents, employees or affiliates, has taken or will take any action in furtherance of an offer, payment, promise to pay, or authorization or approval of the unlawful payment or giving of money, property, gifts or anything else of value, directly or indirectly, to any “government official” (including any officer or employee of a government or government-owned or controlled entity or of a public international organization, or any person acting in an official capacity for or on behalf of any of the foregoing, or any political party or party official or candidate for political office) to influence official action or secure an improper advantage; and the Company, each of its Subsidiaries and, to the Company’s knowledge, each of their respective affiliates have conducted their businesses in compliance with applicable anti-corruption laws.</w:t>
      </w:r>
    </w:p>
    <w:p>
      <w:pPr>
        <w:spacing w:after="0" w:line="188" w:lineRule="exact"/>
        <w:rPr>
          <w:rFonts w:ascii="Arial" w:cs="Arial" w:eastAsia="Arial" w:hAnsi="Arial"/>
          <w:sz w:val="20"/>
          <w:szCs w:val="20"/>
          <w:color w:val="auto"/>
        </w:rPr>
      </w:pPr>
    </w:p>
    <w:p>
      <w:pPr>
        <w:ind w:left="-20" w:firstLine="757"/>
        <w:spacing w:after="0"/>
        <w:tabs>
          <w:tab w:leader="none" w:pos="1520" w:val="left"/>
        </w:tabs>
        <w:numPr>
          <w:ilvl w:val="0"/>
          <w:numId w:val="20"/>
        </w:numPr>
        <w:rPr>
          <w:rFonts w:ascii="Arial" w:cs="Arial" w:eastAsia="Arial" w:hAnsi="Arial"/>
          <w:sz w:val="19"/>
          <w:szCs w:val="19"/>
          <w:color w:val="auto"/>
        </w:rPr>
      </w:pPr>
      <w:r>
        <w:rPr>
          <w:rFonts w:ascii="Arial" w:cs="Arial" w:eastAsia="Arial" w:hAnsi="Arial"/>
          <w:sz w:val="19"/>
          <w:szCs w:val="19"/>
          <w:color w:val="auto"/>
        </w:rPr>
        <w:t>None of the Company, any Subsidiary, affiliate, director, officer or employee thereof or, to the best of the Company’s knowledge, any agent, representative or other person acting on behalf of the Company or any of its Subsidiaries or affiliates, is aware of or has taken any action, directly or indirectly, that would result in a violation by such persons of any applicable anti-corruption laws, including the Foreign Corrupt Practices Act of 1977, as amended, and the rules and regulations thereunder (the “</w:t>
      </w:r>
      <w:r>
        <w:rPr>
          <w:rFonts w:ascii="Arial" w:cs="Arial" w:eastAsia="Arial" w:hAnsi="Arial"/>
          <w:sz w:val="19"/>
          <w:szCs w:val="19"/>
          <w:b w:val="1"/>
          <w:bCs w:val="1"/>
          <w:u w:val="single" w:color="auto"/>
          <w:color w:val="auto"/>
        </w:rPr>
        <w:t>FCPA</w:t>
      </w:r>
      <w:r>
        <w:rPr>
          <w:rFonts w:ascii="Arial" w:cs="Arial" w:eastAsia="Arial" w:hAnsi="Arial"/>
          <w:sz w:val="19"/>
          <w:szCs w:val="19"/>
          <w:color w:val="auto"/>
        </w:rPr>
        <w:t>”), including, without limitation, making use of the mails or any means or instrumentality of interstate commerce corruptly in furtherance of an offer, payment, promise to pay or authorization of the payment of any money, or other property, gift, promise to give, or authorization of the giving of anything of value to any “foreign official” (as such term is defined in the FCPA) or any foreign political party or official thereof or any candidate for foreign political office or otherwise took any action (or failed to fully disclose any action) in contravention of the FCPA; and the Company, its Subsidiaries and each of their respective affiliates have conducted their businesses in compliance with the FCPA and have instituted and maintain, and will continue to maintain, policies and procedures designed to ensure, and which are reasonably expected to continue to ensure, continued compliance therewith.</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332105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22" w:right="359" w:bottom="1440" w:gutter="0" w:footer="0" w:header="0"/>
        </w:sectPr>
      </w:pPr>
    </w:p>
    <w:bookmarkStart w:id="18" w:name="page19"/>
    <w:bookmarkEnd w:id="18"/>
    <w:p>
      <w:pPr>
        <w:ind w:left="-40" w:right="20" w:firstLine="757"/>
        <w:spacing w:after="0" w:line="231" w:lineRule="auto"/>
        <w:tabs>
          <w:tab w:leader="none" w:pos="1105" w:val="left"/>
        </w:tabs>
        <w:numPr>
          <w:ilvl w:val="0"/>
          <w:numId w:val="21"/>
        </w:numPr>
        <w:rPr>
          <w:rFonts w:ascii="Arial" w:cs="Arial" w:eastAsia="Arial" w:hAnsi="Arial"/>
          <w:sz w:val="20"/>
          <w:szCs w:val="20"/>
          <w:color w:val="auto"/>
        </w:rPr>
      </w:pPr>
      <w:r>
        <w:rPr>
          <w:rFonts w:ascii="Arial" w:cs="Arial" w:eastAsia="Arial" w:hAnsi="Arial"/>
          <w:sz w:val="20"/>
          <w:szCs w:val="20"/>
          <w:color w:val="auto"/>
        </w:rPr>
        <w:t>The operations of the Company and its Subsidiaries are and have been conducted at all times in compliance with applicable financial recordkeeping and reporting requirements and the money laundering statutes and the rules and regulations thereunder and any related or similar rules, regulations or guidelines, issued, administered or enforced by any governmental agency (collectively, the “</w:t>
      </w:r>
      <w:r>
        <w:rPr>
          <w:rFonts w:ascii="Arial" w:cs="Arial" w:eastAsia="Arial" w:hAnsi="Arial"/>
          <w:sz w:val="20"/>
          <w:szCs w:val="20"/>
          <w:b w:val="1"/>
          <w:bCs w:val="1"/>
          <w:u w:val="single" w:color="auto"/>
          <w:color w:val="auto"/>
        </w:rPr>
        <w:t>Money</w:t>
      </w:r>
      <w:r>
        <w:rPr>
          <w:rFonts w:ascii="Arial" w:cs="Arial" w:eastAsia="Arial" w:hAnsi="Arial"/>
          <w:sz w:val="20"/>
          <w:szCs w:val="20"/>
          <w:color w:val="auto"/>
        </w:rPr>
        <w:t xml:space="preserve"> </w:t>
      </w:r>
      <w:r>
        <w:rPr>
          <w:rFonts w:ascii="Arial" w:cs="Arial" w:eastAsia="Arial" w:hAnsi="Arial"/>
          <w:sz w:val="20"/>
          <w:szCs w:val="20"/>
          <w:b w:val="1"/>
          <w:bCs w:val="1"/>
          <w:u w:val="single" w:color="auto"/>
          <w:color w:val="auto"/>
        </w:rPr>
        <w:t>Laundering Laws</w:t>
      </w:r>
      <w:r>
        <w:rPr>
          <w:rFonts w:ascii="Arial" w:cs="Arial" w:eastAsia="Arial" w:hAnsi="Arial"/>
          <w:sz w:val="20"/>
          <w:szCs w:val="20"/>
          <w:color w:val="auto"/>
        </w:rPr>
        <w:t>”) and no action, suit, investigation or proceeding by or before any court or governmental agency, authority or body or any</w:t>
      </w:r>
      <w:r>
        <w:rPr>
          <w:rFonts w:ascii="Arial" w:cs="Arial" w:eastAsia="Arial" w:hAnsi="Arial"/>
          <w:sz w:val="20"/>
          <w:szCs w:val="20"/>
          <w:b w:val="1"/>
          <w:bCs w:val="1"/>
          <w:color w:val="auto"/>
        </w:rPr>
        <w:t xml:space="preserve"> </w:t>
      </w:r>
      <w:r>
        <w:rPr>
          <w:rFonts w:ascii="Arial" w:cs="Arial" w:eastAsia="Arial" w:hAnsi="Arial"/>
          <w:sz w:val="20"/>
          <w:szCs w:val="20"/>
          <w:color w:val="auto"/>
        </w:rPr>
        <w:t>arbitrator involving the Company or any of its Subsidiaries with respect to the Money Laundering Laws is pending or, to the best of the Company’s knowledge, threatened.</w:t>
      </w:r>
    </w:p>
    <w:p>
      <w:pPr>
        <w:spacing w:after="0" w:line="185" w:lineRule="exact"/>
        <w:rPr>
          <w:rFonts w:ascii="Arial" w:cs="Arial" w:eastAsia="Arial" w:hAnsi="Arial"/>
          <w:sz w:val="20"/>
          <w:szCs w:val="20"/>
          <w:color w:val="auto"/>
        </w:rPr>
      </w:pPr>
    </w:p>
    <w:p>
      <w:pPr>
        <w:ind w:left="-40" w:firstLine="757"/>
        <w:spacing w:after="0"/>
        <w:tabs>
          <w:tab w:leader="none" w:pos="1105" w:val="left"/>
        </w:tabs>
        <w:numPr>
          <w:ilvl w:val="0"/>
          <w:numId w:val="21"/>
        </w:numPr>
        <w:rPr>
          <w:rFonts w:ascii="Arial" w:cs="Arial" w:eastAsia="Arial" w:hAnsi="Arial"/>
          <w:sz w:val="19"/>
          <w:szCs w:val="19"/>
          <w:color w:val="auto"/>
        </w:rPr>
      </w:pPr>
      <w:r>
        <w:rPr>
          <w:rFonts w:ascii="Arial" w:cs="Arial" w:eastAsia="Arial" w:hAnsi="Arial"/>
          <w:sz w:val="19"/>
          <w:szCs w:val="19"/>
          <w:color w:val="auto"/>
        </w:rPr>
        <w:t>Neither the Company nor any of its Subsidiaries, nor any director or officer thereof, nor, to the Company’s knowledge, any employee, agent, affiliate or representative of the Company or any of its Subsidiaries, is currently or is owned or controlled by an individual or entity that is subject to any sanctions administered or enforced by the United States government (including, without limitation, the Office of Foreign Assets Control of the United States Department of the Treasury), the United Nations Security Council, the European Union, Her Majesty’s Treasury or other relevant sanctions authority (collectively, “</w:t>
      </w:r>
      <w:r>
        <w:rPr>
          <w:rFonts w:ascii="Arial" w:cs="Arial" w:eastAsia="Arial" w:hAnsi="Arial"/>
          <w:sz w:val="19"/>
          <w:szCs w:val="19"/>
          <w:b w:val="1"/>
          <w:bCs w:val="1"/>
          <w:u w:val="single" w:color="auto"/>
          <w:color w:val="auto"/>
        </w:rPr>
        <w:t>Sanctions</w:t>
      </w:r>
      <w:r>
        <w:rPr>
          <w:rFonts w:ascii="Arial" w:cs="Arial" w:eastAsia="Arial" w:hAnsi="Arial"/>
          <w:sz w:val="19"/>
          <w:szCs w:val="19"/>
          <w:color w:val="auto"/>
        </w:rPr>
        <w:t>”) or is located, organized or resident in a country or territory that is the subject or target of Sanctions; and the Company will not directly or indirectly use the proceeds of the sale of the Placement Shares, or lend, contribute or otherwise make available such proceeds to any Subsidiary, or any joint venture partner or other person or entity, for the purpose of financing or facilitating the activities of or business of any person or entity, or in any country or territory, that currently or at the time of such financing or facilitation is the subject of any Sanctions or in any other manner that will result in a violation by any person or entity (including any person participating in the transactions contemplated by this Agreement) of any Sanctions. For the past five years, the Company and its Subsidiaries have not knowingly engaged in and are not now knowingly engaged in any dealings or transactions with any person or entity, or in any country or territory, that at the time of the dealing or transaction is or was the subject of Sanctions.</w:t>
      </w:r>
    </w:p>
    <w:p>
      <w:pPr>
        <w:spacing w:after="0" w:line="183" w:lineRule="exact"/>
        <w:rPr>
          <w:rFonts w:ascii="Arial" w:cs="Arial" w:eastAsia="Arial" w:hAnsi="Arial"/>
          <w:sz w:val="19"/>
          <w:szCs w:val="19"/>
          <w:color w:val="auto"/>
        </w:rPr>
      </w:pPr>
    </w:p>
    <w:p>
      <w:pPr>
        <w:ind w:left="-40" w:firstLine="757"/>
        <w:spacing w:after="0" w:line="251" w:lineRule="auto"/>
        <w:tabs>
          <w:tab w:leader="none" w:pos="1105"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Company and its Subsidiaries own or possess the right to use all inventions, patent applications, patents, trademarks, trade names, service names, domain names, copyrights, trade secrets, know-how and other intellectual property (collectively, “</w:t>
      </w:r>
      <w:r>
        <w:rPr>
          <w:rFonts w:ascii="Arial" w:cs="Arial" w:eastAsia="Arial" w:hAnsi="Arial"/>
          <w:sz w:val="18"/>
          <w:szCs w:val="18"/>
          <w:b w:val="1"/>
          <w:bCs w:val="1"/>
          <w:u w:val="single" w:color="auto"/>
          <w:color w:val="auto"/>
        </w:rPr>
        <w:t>Intellectual</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Property</w:t>
      </w:r>
      <w:r>
        <w:rPr>
          <w:rFonts w:ascii="Arial" w:cs="Arial" w:eastAsia="Arial" w:hAnsi="Arial"/>
          <w:sz w:val="18"/>
          <w:szCs w:val="18"/>
          <w:color w:val="auto"/>
        </w:rPr>
        <w:t>”) as are (i) necessary or material for the conduct of their respective businesses as currently conducted or as currently proposed to</w:t>
      </w:r>
      <w:r>
        <w:rPr>
          <w:rFonts w:ascii="Arial" w:cs="Arial" w:eastAsia="Arial" w:hAnsi="Arial"/>
          <w:sz w:val="18"/>
          <w:szCs w:val="18"/>
          <w:b w:val="1"/>
          <w:bCs w:val="1"/>
          <w:color w:val="auto"/>
        </w:rPr>
        <w:t xml:space="preserve"> </w:t>
      </w:r>
      <w:r>
        <w:rPr>
          <w:rFonts w:ascii="Arial" w:cs="Arial" w:eastAsia="Arial" w:hAnsi="Arial"/>
          <w:sz w:val="18"/>
          <w:szCs w:val="18"/>
          <w:color w:val="auto"/>
        </w:rPr>
        <w:t>be conducted and as described in the Registration Statement and the Prospectus and (ii) necessary or material for the commercialization of the products described in the Registration Statement and the Prospectus as being under development. There is no pending or, to the Company’s knowledge, threatened (i) action, suit, proceeding, or claim by others challenging the rights of the Company or any of its Subsidiaries in or to any such Intellectual Property that, if decided adversely to the Company or such Subsidiary would, individually or in the aggregate, have a Material Adverse Effect, and the Company is unaware of any facts which would form a reasonable basis for any such claim; (ii) action, suit, proceeding, or claim by others that the Company or any of its Subsidiaries infringes, misappropriates, or otherwise violates any Intellectual Property of others that, if decided adversely to the Company or such Subsidiary would, individually or in the aggregate, have a Material Adverse Effect, and the Company is unaware of any facts which would form a reasonable basis for any such claim; or (iii) action, suit, proceeding, or claim by others challenging the validity, scope, or enforceability of any such Intellectual Property owned or licensed by the Company or its Subsidiaries and the Company is unaware of any facts which would form a reasonable basis for any such claim. To the best of the Company’s knowledge, the operation of the business of the Company and its Subsidiaries as now conducted, and as described in the Prospectus, and in connection with the development and commercialization of the products described in the Prospectus does not infringe, misappropriate, conflict with or otherwise violate any claim of any patent or published patent application of any other person or entity. There is no prior art of which the Company or any of its Subsidiaries is aware that may render any patent owned or licensed by the Company or its Subsidiaries invalid or any patent application owned or licensed by the Company or its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321945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60" w:top="122" w:right="359" w:bottom="1440" w:gutter="0" w:footer="0" w:header="0"/>
        </w:sectPr>
      </w:pPr>
    </w:p>
    <w:bookmarkStart w:id="19" w:name="page20"/>
    <w:bookmarkEnd w:id="19"/>
    <w:p>
      <w:pPr>
        <w:spacing w:after="0" w:line="253" w:lineRule="auto"/>
        <w:rPr>
          <w:sz w:val="20"/>
          <w:szCs w:val="20"/>
          <w:color w:val="auto"/>
        </w:rPr>
      </w:pPr>
      <w:r>
        <w:rPr>
          <w:rFonts w:ascii="Arial" w:cs="Arial" w:eastAsia="Arial" w:hAnsi="Arial"/>
          <w:sz w:val="18"/>
          <w:szCs w:val="18"/>
          <w:color w:val="auto"/>
        </w:rPr>
        <w:t>Subsidiaries unpatentable which has not been disclosed to the applicable government patent office. The Company’s granted or issued patents, registered trademarks and registered copyrights have been duly maintained and are in full force and effect, and none of the patents, trademarks and copyrights have been adjudged invalid or unenforceable in whole or in part. The Company knows of no infringement, misappropriation or violation by others of any Intellectual Property owned or licensed by the Company or its Subsidiaries which would reasonably be expected to have a Material Adverse Effect. Neither the Company nor any of its Subsidiaries is a party to or bound by any options, licenses or agreements with respect to the Intellectual Property of any other person or entity that are required to be set forth in the Prospectus and that are not described therein in all material respects. The Company and its Subsidiaries have taken all reasonable steps necessary to secure their interests in the Intellectual Property of the Company and its Subsidiaries from their employees and contractors and to protect the confidentiality of all of their confidential information and trade secrets. None of the technology or intellectual property used by the Company and its Subsidiaries in its business has been obtained or is being used by the Company or its Subsidiaries in violation of any contractual obligation binding on the Company or its Subsidiaries, or, to the Company’s knowledge, any of its officers, directors or employees or otherwise in violation of the rights of any persons. No third party has been granted by the Company or its Subsidiaries rights to the Intellectual Property of the Company or its Subsidiaries, including any rights that, if exercised, could enable such party to develop products competitive to those of the Company as described in the Registration Statement and the Prospectus. All Intellectual Property owned or exclusively licensed by the Company or its Subsidiaries are free and clear of all liens, encumbrances, defects or other restrictions (other than non-exclusive licenses granted in the ordinary course of business), except those that could not reasonably be expected, individually or in the aggregate, to have a Material Adverse Effect. The Company and its Subsidiaries are not subject to any judgment, order, writ, injunction or decree of any court or any federal, state, local, foreign or other governmental department, commission, board, bureau, agency or instrumentality, domestic or foreign, or any arbitrator, nor has it entered into or is it a party to any agreement made in settlement of any pending or threatened litigation, which materially restricts or impairs their use of any Intellectual Property.</w:t>
      </w:r>
    </w:p>
    <w:p>
      <w:pPr>
        <w:spacing w:after="0" w:line="173" w:lineRule="exact"/>
        <w:rPr>
          <w:sz w:val="20"/>
          <w:szCs w:val="20"/>
          <w:color w:val="auto"/>
        </w:rPr>
      </w:pPr>
    </w:p>
    <w:p>
      <w:pPr>
        <w:ind w:right="40" w:firstLine="757"/>
        <w:spacing w:after="0" w:line="251" w:lineRule="auto"/>
        <w:tabs>
          <w:tab w:leader="none" w:pos="1145" w:val="left"/>
        </w:tabs>
        <w:numPr>
          <w:ilvl w:val="1"/>
          <w:numId w:val="22"/>
        </w:numPr>
        <w:rPr>
          <w:rFonts w:ascii="Arial" w:cs="Arial" w:eastAsia="Arial" w:hAnsi="Arial"/>
          <w:sz w:val="18"/>
          <w:szCs w:val="18"/>
          <w:color w:val="auto"/>
        </w:rPr>
      </w:pPr>
      <w:r>
        <w:rPr>
          <w:rFonts w:ascii="Arial" w:cs="Arial" w:eastAsia="Arial" w:hAnsi="Arial"/>
          <w:sz w:val="18"/>
          <w:szCs w:val="18"/>
          <w:color w:val="auto"/>
        </w:rPr>
        <w:t>The Company and each of its Subsidiaries (i) are and have at all times been in full compliance with all laws, statutes, rules, regulations or guidance applicable to the Company and its Subsidiaries and the ownership, testing, development, manufacture, packaging, processing, use, distribution, marketing, advertising, labeling, promotion, sale, offer for sale, storage, import, export or disposal of any pharmaceuticals or biohazardous substances, materials or any other products developed, manufactured or distributed by the Company (including, without limitation, from the United States Food and Drug Administration (the “</w:t>
      </w:r>
      <w:r>
        <w:rPr>
          <w:rFonts w:ascii="Arial" w:cs="Arial" w:eastAsia="Arial" w:hAnsi="Arial"/>
          <w:sz w:val="18"/>
          <w:szCs w:val="18"/>
          <w:b w:val="1"/>
          <w:bCs w:val="1"/>
          <w:u w:val="single" w:color="auto"/>
          <w:color w:val="auto"/>
        </w:rPr>
        <w:t>FDA</w:t>
      </w:r>
      <w:r>
        <w:rPr>
          <w:rFonts w:ascii="Arial" w:cs="Arial" w:eastAsia="Arial" w:hAnsi="Arial"/>
          <w:sz w:val="18"/>
          <w:szCs w:val="18"/>
          <w:color w:val="auto"/>
        </w:rPr>
        <w:t>”), European Medicines Agency (the “</w:t>
      </w:r>
      <w:r>
        <w:rPr>
          <w:rFonts w:ascii="Arial" w:cs="Arial" w:eastAsia="Arial" w:hAnsi="Arial"/>
          <w:sz w:val="18"/>
          <w:szCs w:val="18"/>
          <w:b w:val="1"/>
          <w:bCs w:val="1"/>
          <w:u w:val="single" w:color="auto"/>
          <w:color w:val="auto"/>
        </w:rPr>
        <w:t>EMA</w:t>
      </w:r>
      <w:r>
        <w:rPr>
          <w:rFonts w:ascii="Arial" w:cs="Arial" w:eastAsia="Arial" w:hAnsi="Arial"/>
          <w:sz w:val="18"/>
          <w:szCs w:val="18"/>
          <w:color w:val="auto"/>
        </w:rPr>
        <w:t>”) and any local or other governmental or regulatory authority performing functions similar to those performed by the FDA or the EMA) (collectively, “</w:t>
      </w:r>
      <w:r>
        <w:rPr>
          <w:rFonts w:ascii="Arial" w:cs="Arial" w:eastAsia="Arial" w:hAnsi="Arial"/>
          <w:sz w:val="18"/>
          <w:szCs w:val="18"/>
          <w:b w:val="1"/>
          <w:bCs w:val="1"/>
          <w:u w:val="single" w:color="auto"/>
          <w:color w:val="auto"/>
        </w:rPr>
        <w:t>Applicable Laws</w:t>
      </w:r>
      <w:r>
        <w:rPr>
          <w:rFonts w:ascii="Arial" w:cs="Arial" w:eastAsia="Arial" w:hAnsi="Arial"/>
          <w:sz w:val="18"/>
          <w:szCs w:val="18"/>
          <w:color w:val="auto"/>
        </w:rPr>
        <w:t>”), except as could not, individually or in the aggregate, reasonably be expected to result in a Material Adverse Effect, (ii) have not received any notice of adverse finding, warning letter, untitled letter or other correspondence or notice from the FDA or any other federal, state or foreign governmental authority having authority over the Company, any of its Subsidiaries or their activities alleging or asserting noncompliance with any Applicable Laws or any licenses, certificates, approvals, clearances, authorizations, permits and supplements or amendments thereto required by any such Applicable Laws (collectively, the “</w:t>
      </w:r>
      <w:r>
        <w:rPr>
          <w:rFonts w:ascii="Arial" w:cs="Arial" w:eastAsia="Arial" w:hAnsi="Arial"/>
          <w:sz w:val="18"/>
          <w:szCs w:val="18"/>
          <w:b w:val="1"/>
          <w:bCs w:val="1"/>
          <w:u w:val="single" w:color="auto"/>
          <w:color w:val="auto"/>
        </w:rPr>
        <w:t>Governmental Permits</w:t>
      </w:r>
      <w:r>
        <w:rPr>
          <w:rFonts w:ascii="Arial" w:cs="Arial" w:eastAsia="Arial" w:hAnsi="Arial"/>
          <w:sz w:val="18"/>
          <w:szCs w:val="18"/>
          <w:color w:val="auto"/>
        </w:rPr>
        <w:t>”), (iii) have made all filings with, the appropriate local, or other governmental or regulatory agencies or bodies that are necessary for the ownership or lease of their respective properties or the conduct of their respective businesses as described in the Registration Statement and the Prospectus, except where any failures to possess or make the same would not, singularly or in the aggregate, have a Material Adverse Effect,</w:t>
      </w:r>
    </w:p>
    <w:p>
      <w:pPr>
        <w:spacing w:after="0" w:line="9" w:lineRule="exact"/>
        <w:rPr>
          <w:rFonts w:ascii="Arial" w:cs="Arial" w:eastAsia="Arial" w:hAnsi="Arial"/>
          <w:sz w:val="18"/>
          <w:szCs w:val="18"/>
          <w:color w:val="auto"/>
        </w:rPr>
      </w:pPr>
    </w:p>
    <w:p>
      <w:pPr>
        <w:ind w:right="300" w:firstLine="8"/>
        <w:spacing w:after="0" w:line="225" w:lineRule="auto"/>
        <w:tabs>
          <w:tab w:leader="none" w:pos="335" w:val="left"/>
        </w:tabs>
        <w:numPr>
          <w:ilvl w:val="0"/>
          <w:numId w:val="23"/>
        </w:numPr>
        <w:rPr>
          <w:rFonts w:ascii="Arial" w:cs="Arial" w:eastAsia="Arial" w:hAnsi="Arial"/>
          <w:sz w:val="20"/>
          <w:szCs w:val="20"/>
          <w:color w:val="auto"/>
        </w:rPr>
      </w:pPr>
      <w:r>
        <w:rPr>
          <w:rFonts w:ascii="Arial" w:cs="Arial" w:eastAsia="Arial" w:hAnsi="Arial"/>
          <w:sz w:val="20"/>
          <w:szCs w:val="20"/>
          <w:color w:val="auto"/>
        </w:rPr>
        <w:t>possess all material Governmental Permits necessary to conduct their respective businesses as described in the Registration Statement and the Prospectus, and such Governmental Permits are valid and in full force and effect and are not in violation of any term of any such Governmental Permits, (v) have filed, obtained, maintained or submitted all material reports, documents, forms, notices, applications, records,</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ind w:right="60"/>
        <w:spacing w:after="0" w:line="254" w:lineRule="auto"/>
        <w:rPr>
          <w:sz w:val="20"/>
          <w:szCs w:val="20"/>
          <w:color w:val="auto"/>
        </w:rPr>
      </w:pPr>
      <w:r>
        <w:rPr>
          <w:rFonts w:ascii="Arial" w:cs="Arial" w:eastAsia="Arial" w:hAnsi="Arial"/>
          <w:sz w:val="18"/>
          <w:szCs w:val="18"/>
          <w:color w:val="auto"/>
        </w:rPr>
        <w:t>claims, submissions and supplements or amendments as required by any Applicable Laws or Governmental Permits and that all such reports, documents, forms, notices, applications, records, claims, submissions and supplements or amendments were complete and correct in all material respects on the date filed (or were corrected or supplemented by a subsequent submission), and (vi) are not a party to any corporate integrity agreements, monitoring agreements, consent decrees, settlement orders or similar agreements with or imposed by any governmental authority. All Governmental Permits are valid and in full force and effect, except where the validity or failure to be in full force and effect would not, singularly or in the aggregate, have a Material Adverse Effect. Neither the Company nor any Subsidiary has received notification of any revocation, modification, suspension, termination or invalidation (or proceedings related thereto) of any such Governmental Permit and the Company has no reason to believe that any such Governmental Permit will not be renewed. Neither the Company, any of its Subsidiaries nor, to the Company’s knowledge, any of their respective directors, officers, employees or agents has been convicted of any crime under any Applicable Laws or has been the subject of a debarment proceeding by the FDA. Neither the Company nor any of its Subsidiaries has been nor is now subject to the FDA’s Application Integrity Policy. To the Company’s knowledge, neither the Company, any of its Subsidiaries nor any of its directors, officers, employees or agents has made, or caused the making of, any false statements on, or material omissions from, any other records or documentation prepared or maintained to comply with the requirements of the FDA or any other governmental authority.</w:t>
      </w:r>
    </w:p>
    <w:p>
      <w:pPr>
        <w:spacing w:after="0" w:line="174" w:lineRule="exact"/>
        <w:rPr>
          <w:sz w:val="20"/>
          <w:szCs w:val="20"/>
          <w:color w:val="auto"/>
        </w:rPr>
      </w:pPr>
    </w:p>
    <w:p>
      <w:pPr>
        <w:ind w:right="40" w:firstLine="757"/>
        <w:spacing w:after="0"/>
        <w:tabs>
          <w:tab w:leader="none" w:pos="1145" w:val="left"/>
        </w:tabs>
        <w:numPr>
          <w:ilvl w:val="0"/>
          <w:numId w:val="24"/>
        </w:numPr>
        <w:rPr>
          <w:rFonts w:ascii="Arial" w:cs="Arial" w:eastAsia="Arial" w:hAnsi="Arial"/>
          <w:sz w:val="19"/>
          <w:szCs w:val="19"/>
          <w:color w:val="auto"/>
        </w:rPr>
      </w:pPr>
      <w:r>
        <w:rPr>
          <w:rFonts w:ascii="Arial" w:cs="Arial" w:eastAsia="Arial" w:hAnsi="Arial"/>
          <w:sz w:val="19"/>
          <w:szCs w:val="19"/>
          <w:color w:val="auto"/>
        </w:rPr>
        <w:t>There is no legal or governmental proceeding to which the Company or any of its Subsidiaries is a party or of which any property or assets of the Company or any of its Subsidiaries is the subject, including any proceeding before the FDA, the EMA or any foreign, local, national or other governmental agency with jurisdiction over the types of products being developed by the Company that is required to be described in the Registration Statement or the Prospectus and is not described therein, or which, singularly or in the aggregate, if determined adversely to the Company or any of its Subsidiaries, could reasonably be expected to have a Material Adverse Effect; and no such proceedings are threatened or contemplated by governmental or regulatory authorities or threatened by others. The Company and its Subsidiaries (i) have not received notice of any claim, action, suit, proceeding, hearing, enforcement, investigation, arbitration or other action from any governmental authority or third party alleging that any product operation or activity is in violation of any Applicable Laws or Governmental Permits and have no knowledge that any such governmental authority or third party is considering any such claim, litigation, arbitration, action, suit, investigation or proceeding and (ii) have not received notice that any governmental authority has taken, is taking or intends to take action to limit, suspend, modify or revoke any Governmental Permits and the Company has no knowledge that any such governmental authority is considering such action.</w:t>
      </w:r>
    </w:p>
    <w:p>
      <w:pPr>
        <w:spacing w:after="0" w:line="186" w:lineRule="exact"/>
        <w:rPr>
          <w:rFonts w:ascii="Arial" w:cs="Arial" w:eastAsia="Arial" w:hAnsi="Arial"/>
          <w:sz w:val="19"/>
          <w:szCs w:val="19"/>
          <w:color w:val="auto"/>
        </w:rPr>
      </w:pPr>
    </w:p>
    <w:p>
      <w:pPr>
        <w:ind w:right="40" w:firstLine="757"/>
        <w:spacing w:after="0" w:line="252" w:lineRule="auto"/>
        <w:tabs>
          <w:tab w:leader="none" w:pos="1145"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research, non-clinical pre-clinical studies and clinical studies and tests conducted or being conducted by or on behalf of the Company or any of its Subsidiaries or in which any of their respective product candidates have participated and, to the Company’s knowledge, the preclinical studies and clinical trials directed or sponsored by the Company’s collaborators (collectively, the “</w:t>
      </w:r>
      <w:r>
        <w:rPr>
          <w:rFonts w:ascii="Arial" w:cs="Arial" w:eastAsia="Arial" w:hAnsi="Arial"/>
          <w:sz w:val="18"/>
          <w:szCs w:val="18"/>
          <w:b w:val="1"/>
          <w:bCs w:val="1"/>
          <w:u w:val="single" w:color="auto"/>
          <w:color w:val="auto"/>
        </w:rPr>
        <w:t>Studies</w:t>
      </w:r>
      <w:r>
        <w:rPr>
          <w:rFonts w:ascii="Arial" w:cs="Arial" w:eastAsia="Arial" w:hAnsi="Arial"/>
          <w:sz w:val="18"/>
          <w:szCs w:val="18"/>
          <w:color w:val="auto"/>
        </w:rPr>
        <w:t>”) that are described in, or the results of which are referred to in, the Registration Statement and the Prospectus were and, if still pending, are being conducted with reasonable care and in all material respects in accordance with the protocols, procedures and controls pursuant to all Applicable Laws and Governmental Permits and with standard medical and scientific research procedures; each description of the results of such Studies is accurate and complete in all material respects and fairly presents the data derived from such Studies, and the Company and its Subsidiaries have no knowledge of any other research, non-clinical studies or tests the results of which are inconsistent with, or otherwise</w:t>
      </w:r>
    </w:p>
    <w:p>
      <w:pPr>
        <w:spacing w:after="0" w:line="5"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call into question, the results described or referred to in the Registration Statement and the Prospectus; the Company and its Subsidiaries have made all such filings and obtained all such approvals as may be required by the EMA, the FDA or any committee thereof or from any other United States or foreign government agency with jurisdiction over the types of products being developed by the Company; neither</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ind w:right="360"/>
        <w:spacing w:after="0" w:line="263" w:lineRule="auto"/>
        <w:rPr>
          <w:sz w:val="20"/>
          <w:szCs w:val="20"/>
          <w:color w:val="auto"/>
        </w:rPr>
      </w:pPr>
      <w:r>
        <w:rPr>
          <w:rFonts w:ascii="Arial" w:cs="Arial" w:eastAsia="Arial" w:hAnsi="Arial"/>
          <w:sz w:val="18"/>
          <w:szCs w:val="18"/>
          <w:color w:val="auto"/>
        </w:rPr>
        <w:t>the Company nor any of its Subsidiaries has received any notice of, or correspondence from, any governmental authority requiring the termination, suspension or modification of any Study; and the Company and its Subsidiaries have each operated and currently are in compliance in all material respects with all applicable rules, regulations and policies of all governmental authorities. There have been no material serious adverse events resulting from any Study. To the Company’s knowledge, the manufacturing facilities and operations of its suppliers are operated in compliance in all material respects with all Applicable Laws and Governmental Permits.</w:t>
      </w:r>
    </w:p>
    <w:p>
      <w:pPr>
        <w:spacing w:after="0" w:line="163" w:lineRule="exact"/>
        <w:rPr>
          <w:sz w:val="20"/>
          <w:szCs w:val="20"/>
          <w:color w:val="auto"/>
        </w:rPr>
      </w:pPr>
    </w:p>
    <w:p>
      <w:pPr>
        <w:jc w:val="both"/>
        <w:ind w:right="100" w:firstLine="757"/>
        <w:spacing w:after="0" w:line="292" w:lineRule="auto"/>
        <w:tabs>
          <w:tab w:leader="none" w:pos="1145" w:val="left"/>
        </w:tabs>
        <w:numPr>
          <w:ilvl w:val="1"/>
          <w:numId w:val="25"/>
        </w:numPr>
        <w:rPr>
          <w:rFonts w:ascii="Arial" w:cs="Arial" w:eastAsia="Arial" w:hAnsi="Arial"/>
          <w:sz w:val="16"/>
          <w:szCs w:val="16"/>
          <w:color w:val="auto"/>
        </w:rPr>
      </w:pPr>
      <w:r>
        <w:rPr>
          <w:rFonts w:ascii="Arial" w:cs="Arial" w:eastAsia="Arial" w:hAnsi="Arial"/>
          <w:sz w:val="16"/>
          <w:szCs w:val="16"/>
          <w:color w:val="auto"/>
        </w:rPr>
        <w:t xml:space="preserve">The Company acknowledges and agrees that the Agent has informed the Company that the Agent may, to the extent permitted under the Securities Act and the Exchange Act, purchase and sell Shares for its own account while this Agreement is in effect; </w:t>
      </w:r>
      <w:r>
        <w:rPr>
          <w:rFonts w:ascii="Arial" w:cs="Arial" w:eastAsia="Arial" w:hAnsi="Arial"/>
          <w:sz w:val="16"/>
          <w:szCs w:val="16"/>
          <w:i w:val="1"/>
          <w:iCs w:val="1"/>
          <w:color w:val="auto"/>
        </w:rPr>
        <w:t>provided</w:t>
      </w:r>
      <w:r>
        <w:rPr>
          <w:rFonts w:ascii="Arial" w:cs="Arial" w:eastAsia="Arial" w:hAnsi="Arial"/>
          <w:sz w:val="16"/>
          <w:szCs w:val="16"/>
          <w:color w:val="auto"/>
        </w:rPr>
        <w:t>, that</w:t>
      </w:r>
    </w:p>
    <w:p>
      <w:pPr>
        <w:ind w:right="120" w:firstLine="8"/>
        <w:spacing w:after="0" w:line="230" w:lineRule="auto"/>
        <w:tabs>
          <w:tab w:leader="none" w:pos="236" w:val="left"/>
        </w:tabs>
        <w:numPr>
          <w:ilvl w:val="0"/>
          <w:numId w:val="26"/>
        </w:numPr>
        <w:rPr>
          <w:rFonts w:ascii="Arial" w:cs="Arial" w:eastAsia="Arial" w:hAnsi="Arial"/>
          <w:sz w:val="20"/>
          <w:szCs w:val="20"/>
          <w:color w:val="auto"/>
        </w:rPr>
      </w:pPr>
      <w:r>
        <w:rPr>
          <w:rFonts w:ascii="Arial" w:cs="Arial" w:eastAsia="Arial" w:hAnsi="Arial"/>
          <w:sz w:val="20"/>
          <w:szCs w:val="20"/>
          <w:color w:val="auto"/>
        </w:rPr>
        <w:t>no such purchase or sales shall take place while a Placement Notice is in effect (except to the extent the Agent may engage in sales of Placement Shares purchased or deemed purchased from the Company as a “riskless principal” or in a similar capacity) and (ii) the Company shall not be deemed to have authorized or consented to any such purchases or sales by the Agent, except as may be otherwise agreed by the Company and the Agent.</w:t>
      </w:r>
    </w:p>
    <w:p>
      <w:pPr>
        <w:spacing w:after="0" w:line="182" w:lineRule="exact"/>
        <w:rPr>
          <w:rFonts w:ascii="Arial" w:cs="Arial" w:eastAsia="Arial" w:hAnsi="Arial"/>
          <w:sz w:val="20"/>
          <w:szCs w:val="20"/>
          <w:color w:val="auto"/>
        </w:rPr>
      </w:pPr>
    </w:p>
    <w:p>
      <w:pPr>
        <w:ind w:right="160" w:firstLine="757"/>
        <w:spacing w:after="0" w:line="246" w:lineRule="auto"/>
        <w:tabs>
          <w:tab w:leader="none" w:pos="1145" w:val="left"/>
        </w:tabs>
        <w:numPr>
          <w:ilvl w:val="1"/>
          <w:numId w:val="26"/>
        </w:numPr>
        <w:rPr>
          <w:rFonts w:ascii="Arial" w:cs="Arial" w:eastAsia="Arial" w:hAnsi="Arial"/>
          <w:sz w:val="20"/>
          <w:szCs w:val="20"/>
          <w:color w:val="auto"/>
        </w:rPr>
      </w:pPr>
      <w:r>
        <w:rPr>
          <w:rFonts w:ascii="Arial" w:cs="Arial" w:eastAsia="Arial" w:hAnsi="Arial"/>
          <w:sz w:val="20"/>
          <w:szCs w:val="20"/>
          <w:color w:val="auto"/>
        </w:rPr>
        <w:t>The Company is not a party to any agreement with an agent or underwriter for any other “at the market” or continuous equity transaction, other than with the Agent.</w:t>
      </w:r>
    </w:p>
    <w:p>
      <w:pPr>
        <w:spacing w:after="0" w:line="176" w:lineRule="exact"/>
        <w:rPr>
          <w:rFonts w:ascii="Arial" w:cs="Arial" w:eastAsia="Arial" w:hAnsi="Arial"/>
          <w:sz w:val="20"/>
          <w:szCs w:val="20"/>
          <w:color w:val="auto"/>
        </w:rPr>
      </w:pPr>
    </w:p>
    <w:p>
      <w:pPr>
        <w:ind w:firstLine="757"/>
        <w:spacing w:after="0" w:line="256" w:lineRule="auto"/>
        <w:tabs>
          <w:tab w:leader="none" w:pos="1145" w:val="left"/>
        </w:tabs>
        <w:numPr>
          <w:ilvl w:val="1"/>
          <w:numId w:val="26"/>
        </w:numPr>
        <w:rPr>
          <w:rFonts w:ascii="Arial" w:cs="Arial" w:eastAsia="Arial" w:hAnsi="Arial"/>
          <w:sz w:val="18"/>
          <w:szCs w:val="18"/>
          <w:color w:val="auto"/>
        </w:rPr>
      </w:pPr>
      <w:r>
        <w:rPr>
          <w:rFonts w:ascii="Arial" w:cs="Arial" w:eastAsia="Arial" w:hAnsi="Arial"/>
          <w:sz w:val="18"/>
          <w:szCs w:val="18"/>
          <w:color w:val="auto"/>
        </w:rPr>
        <w:t>The Company is not required to register as a “broker” or “dealer” in accordance with the provisions of the Exchange Act and does not, directly or indirectly through one or more intermediaries, control or have any other association with (within the meaning of Article I of the By-laws of FINRA) any member firm of FINRA. No relationship, direct or indirect, exists between or among the Company, on the one hand, and the directors, officers or shareholders of the Company, on the other hand, which is required by the rules of FINRA to be described in the Registration Statement and the Prospectus, which is not so described. All of the information (including, but not limited to, information regarding affiliations, security ownership and trading activity) provided to the Agent or its counsel by the Company, its officers and directors and the holders of any securities (debt or equity) or warrants, options or rights to acquire any securities of the Company in connection with the filing to be made and other supplemental information to be provided to FINRA pursuant to FINRA Rule 5110 in connection with the transactions contemplated by this Agreement is true, complete and correct.</w:t>
      </w:r>
    </w:p>
    <w:p>
      <w:pPr>
        <w:spacing w:after="0" w:line="172" w:lineRule="exact"/>
        <w:rPr>
          <w:rFonts w:ascii="Arial" w:cs="Arial" w:eastAsia="Arial" w:hAnsi="Arial"/>
          <w:sz w:val="18"/>
          <w:szCs w:val="18"/>
          <w:color w:val="auto"/>
        </w:rPr>
      </w:pPr>
    </w:p>
    <w:p>
      <w:pPr>
        <w:ind w:right="240" w:firstLine="757"/>
        <w:spacing w:after="0" w:line="258" w:lineRule="auto"/>
        <w:tabs>
          <w:tab w:leader="none" w:pos="1540" w:val="left"/>
        </w:tabs>
        <w:numPr>
          <w:ilvl w:val="1"/>
          <w:numId w:val="26"/>
        </w:numPr>
        <w:rPr>
          <w:rFonts w:ascii="Arial" w:cs="Arial" w:eastAsia="Arial" w:hAnsi="Arial"/>
          <w:sz w:val="18"/>
          <w:szCs w:val="18"/>
          <w:color w:val="auto"/>
        </w:rPr>
      </w:pPr>
      <w:r>
        <w:rPr>
          <w:rFonts w:ascii="Arial" w:cs="Arial" w:eastAsia="Arial" w:hAnsi="Arial"/>
          <w:sz w:val="18"/>
          <w:szCs w:val="18"/>
          <w:color w:val="auto"/>
        </w:rPr>
        <w:t>As of the close of trading on Nasdaq on at least one date within the 60 calendar day period ending March 1, 2022, the aggregate market value of the outstanding voting and non-voting common equity (as defined in Rule 405 under the Securities Act) of the Company held by persons other than affiliates of the Company (pursuant to Rule 144 of the Securities Act, those that directly, or indirectly through one or more intermediaries, control, or are controlled by, or are under common control with, the Company) (the “</w:t>
      </w:r>
      <w:r>
        <w:rPr>
          <w:rFonts w:ascii="Arial" w:cs="Arial" w:eastAsia="Arial" w:hAnsi="Arial"/>
          <w:sz w:val="18"/>
          <w:szCs w:val="18"/>
          <w:b w:val="1"/>
          <w:bCs w:val="1"/>
          <w:u w:val="single" w:color="auto"/>
          <w:color w:val="auto"/>
        </w:rPr>
        <w:t>Non-Affiliate</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Shares</w:t>
      </w:r>
      <w:r>
        <w:rPr>
          <w:rFonts w:ascii="Arial" w:cs="Arial" w:eastAsia="Arial" w:hAnsi="Arial"/>
          <w:sz w:val="18"/>
          <w:szCs w:val="18"/>
          <w:color w:val="auto"/>
        </w:rPr>
        <w:t>”), was equal to or greater than $75.0 million (calculated by multiplying (x) the price at which the common equity of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was last sold on Nasdaq on such date by (y) the number of Non-Affiliate Shares outstanding on such date). The Company is not a shell company (as defined in Rule 405 under the Securities Act) and has not been a shell company for at least 12 calendar months previously.</w:t>
      </w:r>
    </w:p>
    <w:p>
      <w:pPr>
        <w:spacing w:after="0" w:line="170" w:lineRule="exact"/>
        <w:rPr>
          <w:rFonts w:ascii="Arial" w:cs="Arial" w:eastAsia="Arial" w:hAnsi="Arial"/>
          <w:sz w:val="18"/>
          <w:szCs w:val="18"/>
          <w:color w:val="auto"/>
        </w:rPr>
      </w:pPr>
    </w:p>
    <w:p>
      <w:pPr>
        <w:ind w:right="120" w:firstLine="757"/>
        <w:spacing w:after="0" w:line="237" w:lineRule="auto"/>
        <w:tabs>
          <w:tab w:leader="none" w:pos="1145" w:val="left"/>
        </w:tabs>
        <w:numPr>
          <w:ilvl w:val="1"/>
          <w:numId w:val="26"/>
        </w:numPr>
        <w:rPr>
          <w:rFonts w:ascii="Arial" w:cs="Arial" w:eastAsia="Arial" w:hAnsi="Arial"/>
          <w:sz w:val="20"/>
          <w:szCs w:val="20"/>
          <w:color w:val="auto"/>
        </w:rPr>
      </w:pPr>
      <w:r>
        <w:rPr>
          <w:rFonts w:ascii="Arial" w:cs="Arial" w:eastAsia="Arial" w:hAnsi="Arial"/>
          <w:sz w:val="20"/>
          <w:szCs w:val="20"/>
          <w:color w:val="auto"/>
        </w:rPr>
        <w:t>Neither the issuance, sale and delivery of the Placement Shares nor the application of the proceeds thereof by the Company as described in the Registration Statement and the Prospectus will violate Regulation T, U or X of the Board of Governors of the Federal Reserve System or any other regulation of such Board of Governors.</w:t>
      </w:r>
    </w:p>
    <w:p>
      <w:pPr>
        <w:spacing w:after="0" w:line="182" w:lineRule="exact"/>
        <w:rPr>
          <w:rFonts w:ascii="Arial" w:cs="Arial" w:eastAsia="Arial" w:hAnsi="Arial"/>
          <w:sz w:val="20"/>
          <w:szCs w:val="20"/>
          <w:color w:val="auto"/>
        </w:rPr>
      </w:pPr>
    </w:p>
    <w:p>
      <w:pPr>
        <w:ind w:left="1160" w:hanging="403"/>
        <w:spacing w:after="0"/>
        <w:tabs>
          <w:tab w:leader="none" w:pos="1160" w:val="left"/>
        </w:tabs>
        <w:numPr>
          <w:ilvl w:val="1"/>
          <w:numId w:val="26"/>
        </w:numPr>
        <w:rPr>
          <w:rFonts w:ascii="Arial" w:cs="Arial" w:eastAsia="Arial" w:hAnsi="Arial"/>
          <w:sz w:val="18"/>
          <w:szCs w:val="18"/>
          <w:color w:val="auto"/>
        </w:rPr>
      </w:pPr>
      <w:r>
        <w:rPr>
          <w:rFonts w:ascii="Arial" w:cs="Arial" w:eastAsia="Arial" w:hAnsi="Arial"/>
          <w:sz w:val="18"/>
          <w:szCs w:val="18"/>
          <w:color w:val="auto"/>
        </w:rPr>
        <w:t>Each of the independent directors (or independent director nominees, once appointed, if applicable) named in the Registration</w:t>
      </w:r>
    </w:p>
    <w:p>
      <w:pPr>
        <w:spacing w:after="0" w:line="25" w:lineRule="exact"/>
        <w:rPr>
          <w:sz w:val="20"/>
          <w:szCs w:val="20"/>
          <w:color w:val="auto"/>
        </w:rPr>
      </w:pPr>
    </w:p>
    <w:p>
      <w:pPr>
        <w:ind w:right="200"/>
        <w:spacing w:after="0" w:line="225" w:lineRule="auto"/>
        <w:rPr>
          <w:sz w:val="20"/>
          <w:szCs w:val="20"/>
          <w:color w:val="auto"/>
        </w:rPr>
      </w:pPr>
      <w:r>
        <w:rPr>
          <w:rFonts w:ascii="Arial" w:cs="Arial" w:eastAsia="Arial" w:hAnsi="Arial"/>
          <w:sz w:val="20"/>
          <w:szCs w:val="20"/>
          <w:color w:val="auto"/>
        </w:rPr>
        <w:t>Statement and Prospectus satisfies the independence standards established by Nasdaq and, with respect to members of the Company’s audit committee, the enhanced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Arial" w:cs="Arial" w:eastAsia="Arial" w:hAnsi="Arial"/>
          <w:sz w:val="20"/>
          <w:szCs w:val="20"/>
          <w:color w:val="auto"/>
        </w:rPr>
        <w:t>independence standards contained in Rule 10A-3(b)(1) promulgated by the Commission under the Exchange Act.</w:t>
      </w:r>
    </w:p>
    <w:p>
      <w:pPr>
        <w:spacing w:after="0" w:line="203" w:lineRule="exact"/>
        <w:rPr>
          <w:sz w:val="20"/>
          <w:szCs w:val="20"/>
          <w:color w:val="auto"/>
        </w:rPr>
      </w:pPr>
    </w:p>
    <w:p>
      <w:pPr>
        <w:ind w:right="180" w:firstLine="757"/>
        <w:spacing w:after="0" w:line="237" w:lineRule="auto"/>
        <w:tabs>
          <w:tab w:leader="none" w:pos="1145" w:val="left"/>
        </w:tabs>
        <w:numPr>
          <w:ilvl w:val="0"/>
          <w:numId w:val="27"/>
        </w:numPr>
        <w:rPr>
          <w:rFonts w:ascii="Arial" w:cs="Arial" w:eastAsia="Arial" w:hAnsi="Arial"/>
          <w:sz w:val="20"/>
          <w:szCs w:val="20"/>
          <w:color w:val="auto"/>
        </w:rPr>
      </w:pPr>
      <w:r>
        <w:rPr>
          <w:rFonts w:ascii="Arial" w:cs="Arial" w:eastAsia="Arial" w:hAnsi="Arial"/>
          <w:sz w:val="20"/>
          <w:szCs w:val="20"/>
          <w:color w:val="auto"/>
        </w:rPr>
        <w:t>Neither the Company nor, to the Company’s knowledge, any of its affiliates (within the meaning of Rule 144 under the Securities Act) has, prior to the date hereof, made any offer or sale of any securities which could be “integrated” (within the meaning of the Securities Act) with the offer and sale of the Placement Shares hereunder.</w:t>
      </w:r>
    </w:p>
    <w:p>
      <w:pPr>
        <w:spacing w:after="0" w:line="183" w:lineRule="exact"/>
        <w:rPr>
          <w:sz w:val="20"/>
          <w:szCs w:val="20"/>
          <w:color w:val="auto"/>
        </w:rPr>
      </w:pPr>
    </w:p>
    <w:p>
      <w:pPr>
        <w:ind w:right="400" w:firstLine="757"/>
        <w:spacing w:after="0" w:line="325" w:lineRule="auto"/>
        <w:tabs>
          <w:tab w:leader="none" w:pos="15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Neither the Company nor any of its Subsidiaries has (i) failed to pay any dividend or sinking fund installment on preferred stock or (ii) defaulted on any installment or payment due on indebtedness for borrowed money or on any rental on one or more long-term leases, which defaults, individually or in the aggregate, could reasonably be expected to result in a Material Adverse Effect.</w:t>
      </w:r>
    </w:p>
    <w:p>
      <w:pPr>
        <w:spacing w:after="0" w:line="116" w:lineRule="exact"/>
        <w:rPr>
          <w:rFonts w:ascii="Arial" w:cs="Arial" w:eastAsia="Arial" w:hAnsi="Arial"/>
          <w:sz w:val="16"/>
          <w:szCs w:val="16"/>
          <w:color w:val="auto"/>
        </w:rPr>
      </w:pPr>
    </w:p>
    <w:p>
      <w:pPr>
        <w:ind w:firstLine="757"/>
        <w:spacing w:after="0" w:line="244" w:lineRule="auto"/>
        <w:tabs>
          <w:tab w:leader="none" w:pos="1540" w:val="left"/>
        </w:tabs>
        <w:numPr>
          <w:ilvl w:val="0"/>
          <w:numId w:val="28"/>
        </w:numPr>
        <w:rPr>
          <w:rFonts w:ascii="Arial" w:cs="Arial" w:eastAsia="Arial" w:hAnsi="Arial"/>
          <w:sz w:val="19"/>
          <w:szCs w:val="19"/>
          <w:color w:val="auto"/>
        </w:rPr>
      </w:pPr>
      <w:r>
        <w:rPr>
          <w:rFonts w:ascii="Arial" w:cs="Arial" w:eastAsia="Arial" w:hAnsi="Arial"/>
          <w:sz w:val="19"/>
          <w:szCs w:val="19"/>
          <w:color w:val="auto"/>
        </w:rPr>
        <w:t>Each financial or operational projection or other “forward-looking statement” (as defined by Section 27A of the Securities Act or Section 21E of the Exchange Act) contained in the Registration Statement or the Prospectus (i) was so included by the Company in good faith and with reasonable basis after due consideration by the Company of the underlying assumptions, estimates and other applicable facts and circumstances and (ii) as required, is accompanied by meaningful cautionary statements identifying those factors that could cause actual results to differ materially from those in such forward-looking statement. No such statement was made with the knowledge of a director or senior manager of the Company that was false or misleading.</w:t>
      </w:r>
    </w:p>
    <w:p>
      <w:pPr>
        <w:spacing w:after="0" w:line="179" w:lineRule="exact"/>
        <w:rPr>
          <w:rFonts w:ascii="Arial" w:cs="Arial" w:eastAsia="Arial" w:hAnsi="Arial"/>
          <w:sz w:val="19"/>
          <w:szCs w:val="19"/>
          <w:color w:val="auto"/>
        </w:rPr>
      </w:pPr>
    </w:p>
    <w:p>
      <w:pPr>
        <w:ind w:right="40" w:firstLine="757"/>
        <w:spacing w:after="0" w:line="231" w:lineRule="auto"/>
        <w:tabs>
          <w:tab w:leader="none" w:pos="1540" w:val="left"/>
        </w:tabs>
        <w:numPr>
          <w:ilvl w:val="0"/>
          <w:numId w:val="28"/>
        </w:numPr>
        <w:rPr>
          <w:rFonts w:ascii="Arial" w:cs="Arial" w:eastAsia="Arial" w:hAnsi="Arial"/>
          <w:sz w:val="20"/>
          <w:szCs w:val="20"/>
          <w:color w:val="auto"/>
        </w:rPr>
      </w:pPr>
      <w:r>
        <w:rPr>
          <w:rFonts w:ascii="Arial" w:cs="Arial" w:eastAsia="Arial" w:hAnsi="Arial"/>
          <w:sz w:val="20"/>
          <w:szCs w:val="20"/>
          <w:color w:val="auto"/>
        </w:rPr>
        <w:t>There are no relationships, direct or indirect, or related party transactions involving the Company or any of its Subsidiaries or any other person (including any director, officer, stockholder, customer or supplier of the Company or any of its Subsidiaries) required to be described in the Registration Statement or the Prospectus that have not been described as required. There are no material outstanding loans, advances (except normal advances for business expenses in the ordinary course of business) or guarantees of indebtedness by the Company or any of its Subsidiaries to or for the benefit of any of the officers or directors of the Company or any of its Subsidiaries, or any of the family members of any of such persons.</w:t>
      </w:r>
    </w:p>
    <w:p>
      <w:pPr>
        <w:spacing w:after="0" w:line="183" w:lineRule="exact"/>
        <w:rPr>
          <w:rFonts w:ascii="Arial" w:cs="Arial" w:eastAsia="Arial" w:hAnsi="Arial"/>
          <w:sz w:val="20"/>
          <w:szCs w:val="20"/>
          <w:color w:val="auto"/>
        </w:rPr>
      </w:pPr>
    </w:p>
    <w:p>
      <w:pPr>
        <w:ind w:left="1540" w:hanging="783"/>
        <w:spacing w:after="0"/>
        <w:tabs>
          <w:tab w:leader="none" w:pos="1540" w:val="left"/>
        </w:tabs>
        <w:numPr>
          <w:ilvl w:val="0"/>
          <w:numId w:val="28"/>
        </w:numPr>
        <w:rPr>
          <w:rFonts w:ascii="Arial" w:cs="Arial" w:eastAsia="Arial" w:hAnsi="Arial"/>
          <w:sz w:val="20"/>
          <w:szCs w:val="20"/>
          <w:color w:val="auto"/>
        </w:rPr>
      </w:pPr>
      <w:r>
        <w:rPr>
          <w:rFonts w:ascii="Arial" w:cs="Arial" w:eastAsia="Arial" w:hAnsi="Arial"/>
          <w:sz w:val="20"/>
          <w:szCs w:val="20"/>
          <w:color w:val="auto"/>
        </w:rPr>
        <w:t>The Company is not in or subject to a bankruptcy or insolvency proceeding in any jurisdiction.</w:t>
      </w:r>
    </w:p>
    <w:p>
      <w:pPr>
        <w:spacing w:after="0" w:line="202" w:lineRule="exact"/>
        <w:rPr>
          <w:rFonts w:ascii="Arial" w:cs="Arial" w:eastAsia="Arial" w:hAnsi="Arial"/>
          <w:sz w:val="20"/>
          <w:szCs w:val="20"/>
          <w:color w:val="auto"/>
        </w:rPr>
      </w:pPr>
    </w:p>
    <w:p>
      <w:pPr>
        <w:ind w:firstLine="757"/>
        <w:spacing w:after="0" w:line="256" w:lineRule="auto"/>
        <w:tabs>
          <w:tab w:leader="none" w:pos="15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Company and its Subsidiaries (i) are in compliance, in all material respects, with any and all applicable foreign, federal, state and local laws, rules, regulations, treaties, statutes and codes promulgated by any and all governmental authorities (including pursuant to the Occupational Health and Safety Act) relating to the protection of human health and safety the workplace (“</w:t>
      </w:r>
      <w:r>
        <w:rPr>
          <w:rFonts w:ascii="Arial" w:cs="Arial" w:eastAsia="Arial" w:hAnsi="Arial"/>
          <w:sz w:val="18"/>
          <w:szCs w:val="18"/>
          <w:b w:val="1"/>
          <w:bCs w:val="1"/>
          <w:u w:val="single" w:color="auto"/>
          <w:color w:val="auto"/>
        </w:rPr>
        <w:t>Occupational</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Laws</w:t>
      </w:r>
      <w:r>
        <w:rPr>
          <w:rFonts w:ascii="Arial" w:cs="Arial" w:eastAsia="Arial" w:hAnsi="Arial"/>
          <w:sz w:val="18"/>
          <w:szCs w:val="18"/>
          <w:color w:val="auto"/>
        </w:rPr>
        <w:t>”); (ii) have received all material permits, licenses or other approvals required of it under applicable Occupational Laws to conduct their</w:t>
      </w:r>
      <w:r>
        <w:rPr>
          <w:rFonts w:ascii="Arial" w:cs="Arial" w:eastAsia="Arial" w:hAnsi="Arial"/>
          <w:sz w:val="18"/>
          <w:szCs w:val="18"/>
          <w:b w:val="1"/>
          <w:bCs w:val="1"/>
          <w:color w:val="auto"/>
        </w:rPr>
        <w:t xml:space="preserve"> </w:t>
      </w:r>
      <w:r>
        <w:rPr>
          <w:rFonts w:ascii="Arial" w:cs="Arial" w:eastAsia="Arial" w:hAnsi="Arial"/>
          <w:sz w:val="18"/>
          <w:szCs w:val="18"/>
          <w:color w:val="auto"/>
        </w:rPr>
        <w:t>respective businesses as currently conducted; and (iii) are in compliance, in all material respects, with all terms and conditions of such permit, license or approval. No action, proceeding, revocation proceeding, writ, injunction or claim is pending or, to the Company’s knowledge, threatened against the Company or any of its Subsidiaries relating to Occupational Laws, and the Company does not have knowledge of any facts, circumstances or developments relating to its operations or cost accounting practices that could reasonably be expected to form the basis for or give rise to such actions, suits, investigations or proceedings.</w:t>
      </w:r>
    </w:p>
    <w:p>
      <w:pPr>
        <w:spacing w:after="0" w:line="172" w:lineRule="exact"/>
        <w:rPr>
          <w:rFonts w:ascii="Arial" w:cs="Arial" w:eastAsia="Arial" w:hAnsi="Arial"/>
          <w:sz w:val="18"/>
          <w:szCs w:val="18"/>
          <w:color w:val="auto"/>
        </w:rPr>
      </w:pPr>
    </w:p>
    <w:p>
      <w:pPr>
        <w:ind w:right="160" w:firstLine="757"/>
        <w:spacing w:after="0" w:line="230" w:lineRule="auto"/>
        <w:tabs>
          <w:tab w:leader="none" w:pos="1145" w:val="left"/>
        </w:tabs>
        <w:numPr>
          <w:ilvl w:val="0"/>
          <w:numId w:val="28"/>
        </w:numPr>
        <w:rPr>
          <w:rFonts w:ascii="Arial" w:cs="Arial" w:eastAsia="Arial" w:hAnsi="Arial"/>
          <w:sz w:val="20"/>
          <w:szCs w:val="20"/>
          <w:color w:val="auto"/>
        </w:rPr>
      </w:pPr>
      <w:r>
        <w:rPr>
          <w:rFonts w:ascii="Arial" w:cs="Arial" w:eastAsia="Arial" w:hAnsi="Arial"/>
          <w:sz w:val="20"/>
          <w:szCs w:val="20"/>
          <w:color w:val="auto"/>
        </w:rPr>
        <w:t>No director or officer of the Company or any of its Subsidiaries is subject to any non-competition agreement or non-solicitation agreement with any employer or prior employer which could materially affect each director’s or officer’s ability to be and act in the capacity of a director or officer of the Company or a Subsidiary.</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3" w:name="page24"/>
    <w:bookmarkEnd w:id="23"/>
    <w:p>
      <w:pPr>
        <w:ind w:firstLine="757"/>
        <w:spacing w:after="0" w:line="253" w:lineRule="auto"/>
        <w:tabs>
          <w:tab w:leader="none" w:pos="15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Company has duly and properly filed or caused to be filed with the U.S. Patent and Trademark Office (the “</w:t>
      </w:r>
      <w:r>
        <w:rPr>
          <w:rFonts w:ascii="Arial" w:cs="Arial" w:eastAsia="Arial" w:hAnsi="Arial"/>
          <w:sz w:val="18"/>
          <w:szCs w:val="18"/>
          <w:b w:val="1"/>
          <w:bCs w:val="1"/>
          <w:u w:val="single" w:color="auto"/>
          <w:color w:val="auto"/>
        </w:rPr>
        <w:t>PTO</w:t>
      </w:r>
      <w:r>
        <w:rPr>
          <w:rFonts w:ascii="Arial" w:cs="Arial" w:eastAsia="Arial" w:hAnsi="Arial"/>
          <w:sz w:val="18"/>
          <w:szCs w:val="18"/>
          <w:color w:val="auto"/>
        </w:rPr>
        <w:t>”) and applicable foreign and international patent and trademark authorities all patents, trademarks, copyrights and applications relating to the same owned by the Company and its Subsidiaries (the “</w:t>
      </w:r>
      <w:r>
        <w:rPr>
          <w:rFonts w:ascii="Arial" w:cs="Arial" w:eastAsia="Arial" w:hAnsi="Arial"/>
          <w:sz w:val="18"/>
          <w:szCs w:val="18"/>
          <w:b w:val="1"/>
          <w:bCs w:val="1"/>
          <w:u w:val="single" w:color="auto"/>
          <w:color w:val="auto"/>
        </w:rPr>
        <w:t>Company Patent and Trademark Applications</w:t>
      </w:r>
      <w:r>
        <w:rPr>
          <w:rFonts w:ascii="Arial" w:cs="Arial" w:eastAsia="Arial" w:hAnsi="Arial"/>
          <w:sz w:val="18"/>
          <w:szCs w:val="18"/>
          <w:color w:val="auto"/>
        </w:rPr>
        <w:t>”). To the knowledge of the Company, the Company has complied with the PTO’s duty of candor and disclosure for the Company Patent and Trademark Applications and has made no material misrepresentation in the Company Patent and Trademark Applications. To the Company’s knowledge, the Company Patent and Trademark Applications disclose patentable subject matter. The Company has not been notified of any inventorship challenges nor has any interference been declared or provoked nor is any material fact known by the Company that would preclude the issuance of patents with respect to the Company Patent and Trademark Applications or would render such patents, if issued, invalid or unenforceable. Except as would not have a Material Adverse Effect, neither the Company nor any of its Subsidiaries has breached and is currently in breach of any provision of any license, contract or other agreement governing the use by the Company or its Subsidiaries of Intellectual Property owned by third parties (collectively, the “</w:t>
      </w:r>
      <w:r>
        <w:rPr>
          <w:rFonts w:ascii="Arial" w:cs="Arial" w:eastAsia="Arial" w:hAnsi="Arial"/>
          <w:sz w:val="18"/>
          <w:szCs w:val="18"/>
          <w:b w:val="1"/>
          <w:bCs w:val="1"/>
          <w:u w:val="single" w:color="auto"/>
          <w:color w:val="auto"/>
        </w:rPr>
        <w:t>Licenses</w:t>
      </w:r>
      <w:r>
        <w:rPr>
          <w:rFonts w:ascii="Arial" w:cs="Arial" w:eastAsia="Arial" w:hAnsi="Arial"/>
          <w:sz w:val="18"/>
          <w:szCs w:val="18"/>
          <w:color w:val="auto"/>
        </w:rPr>
        <w:t>”) and no third party has alleged any such breach and the Company is unaware of any facts that would form a reasonable basis for such a claim. To the Company’s knowledge, no other party to the Licenses has breached or is currently in breach of any provision of the Licenses. Each of the Licenses is in full force and effect and constitutes a valid and binding agreement between the parties thereto, enforceable in accordance with its terms, and there has not occurred any breach or default under any such Licenses or any event that, with the giving of notice or lapse of time, would constitute a breach or default thereunder. Except as would not have a Material Adverse Effect, neither the Company nor any of its Subsidiaries has been and is currently involved in any disputes regarding the Licenses. To the Company’s knowledge, all patents licensed to the Company pursuant to the Licenses are valid, enforceable and being duly maintained. To the Company’s knowledge, all patent applications licensed to the Company pursuant to the Licenses are being duly prosecuted.</w:t>
      </w:r>
    </w:p>
    <w:p>
      <w:pPr>
        <w:spacing w:after="0" w:line="180" w:lineRule="exact"/>
        <w:rPr>
          <w:rFonts w:ascii="Arial" w:cs="Arial" w:eastAsia="Arial" w:hAnsi="Arial"/>
          <w:sz w:val="18"/>
          <w:szCs w:val="18"/>
          <w:color w:val="auto"/>
        </w:rPr>
      </w:pPr>
    </w:p>
    <w:p>
      <w:pPr>
        <w:ind w:right="200" w:firstLine="757"/>
        <w:spacing w:after="0" w:line="244" w:lineRule="auto"/>
        <w:tabs>
          <w:tab w:leader="none" w:pos="1540" w:val="left"/>
        </w:tabs>
        <w:numPr>
          <w:ilvl w:val="0"/>
          <w:numId w:val="29"/>
        </w:numPr>
        <w:rPr>
          <w:rFonts w:ascii="Arial" w:cs="Arial" w:eastAsia="Arial" w:hAnsi="Arial"/>
          <w:sz w:val="19"/>
          <w:szCs w:val="19"/>
          <w:color w:val="auto"/>
        </w:rPr>
      </w:pPr>
      <w:r>
        <w:rPr>
          <w:rFonts w:ascii="Arial" w:cs="Arial" w:eastAsia="Arial" w:hAnsi="Arial"/>
          <w:sz w:val="19"/>
          <w:szCs w:val="19"/>
          <w:color w:val="auto"/>
        </w:rPr>
        <w:t>(A) At the original effectiveness of the Registration Statement, (B) at the time of the most recent amendment thereto for the purposes of complying with Section 10(a)(3) of the Securities Act (whether such amendment was by post-effective amendment, incorporated report filed pursuant to Section 13 or 15(d) of the Exchange Act or form of prospectus), (C) at the time the Company or any person acting on its behalf (within the meaning, for this clause only, of Rule 163(c) under the Securities Act) made any offer relating to the Placement Shares in reliance on the exemption of Rule 163 under the Securities Act, and (D) as of the Applicable Time, the Company was and is a “well-known seasoned issuer” (as defined in Rule 405 under the Securities Act).</w:t>
      </w:r>
    </w:p>
    <w:p>
      <w:pPr>
        <w:spacing w:after="0" w:line="179" w:lineRule="exact"/>
        <w:rPr>
          <w:sz w:val="20"/>
          <w:szCs w:val="20"/>
          <w:color w:val="auto"/>
        </w:rPr>
      </w:pPr>
    </w:p>
    <w:p>
      <w:pPr>
        <w:ind w:firstLine="749"/>
        <w:spacing w:after="0" w:line="300" w:lineRule="auto"/>
        <w:rPr>
          <w:sz w:val="20"/>
          <w:szCs w:val="20"/>
          <w:color w:val="auto"/>
        </w:rPr>
      </w:pPr>
      <w:r>
        <w:rPr>
          <w:rFonts w:ascii="Arial" w:cs="Arial" w:eastAsia="Arial" w:hAnsi="Arial"/>
          <w:sz w:val="18"/>
          <w:szCs w:val="18"/>
          <w:color w:val="auto"/>
        </w:rPr>
        <w:t>Any certificate signed by any officer of the Company and delivered to the Agent or its counsel in connection with the offering of the Placement Shares shall be deemed a representation and warranty by the Company, as to matters covered thereby, to the Agent.</w:t>
      </w:r>
    </w:p>
    <w:p>
      <w:pPr>
        <w:spacing w:after="0" w:line="131" w:lineRule="exact"/>
        <w:rPr>
          <w:sz w:val="20"/>
          <w:szCs w:val="20"/>
          <w:color w:val="auto"/>
        </w:rPr>
      </w:pPr>
    </w:p>
    <w:p>
      <w:pPr>
        <w:ind w:left="1160" w:hanging="403"/>
        <w:spacing w:after="0"/>
        <w:tabs>
          <w:tab w:leader="none" w:pos="1160" w:val="left"/>
        </w:tabs>
        <w:numPr>
          <w:ilvl w:val="0"/>
          <w:numId w:val="30"/>
        </w:numPr>
        <w:rPr>
          <w:rFonts w:ascii="Arial" w:cs="Arial" w:eastAsia="Arial" w:hAnsi="Arial"/>
          <w:sz w:val="20"/>
          <w:szCs w:val="20"/>
          <w:color w:val="auto"/>
        </w:rPr>
      </w:pPr>
      <w:r>
        <w:rPr>
          <w:rFonts w:ascii="Arial" w:cs="Arial" w:eastAsia="Arial" w:hAnsi="Arial"/>
          <w:sz w:val="20"/>
          <w:szCs w:val="20"/>
          <w:u w:val="single" w:color="auto"/>
          <w:color w:val="auto"/>
        </w:rPr>
        <w:t>Covenants of the Company</w:t>
      </w:r>
      <w:r>
        <w:rPr>
          <w:rFonts w:ascii="Arial" w:cs="Arial" w:eastAsia="Arial" w:hAnsi="Arial"/>
          <w:sz w:val="20"/>
          <w:szCs w:val="20"/>
          <w:color w:val="auto"/>
        </w:rPr>
        <w:t>. The Company covenants and agrees with the Agent that:</w:t>
      </w:r>
    </w:p>
    <w:p>
      <w:pPr>
        <w:spacing w:after="0" w:line="202" w:lineRule="exact"/>
        <w:rPr>
          <w:sz w:val="20"/>
          <w:szCs w:val="20"/>
          <w:color w:val="auto"/>
        </w:rPr>
      </w:pPr>
    </w:p>
    <w:p>
      <w:pPr>
        <w:ind w:right="20" w:firstLine="757"/>
        <w:spacing w:after="0" w:line="253" w:lineRule="auto"/>
        <w:tabs>
          <w:tab w:leader="none" w:pos="1145" w:val="left"/>
        </w:tabs>
        <w:numPr>
          <w:ilvl w:val="0"/>
          <w:numId w:val="31"/>
        </w:numPr>
        <w:rPr>
          <w:rFonts w:ascii="Arial" w:cs="Arial" w:eastAsia="Arial" w:hAnsi="Arial"/>
          <w:sz w:val="18"/>
          <w:szCs w:val="18"/>
          <w:color w:val="auto"/>
        </w:rPr>
      </w:pPr>
      <w:r>
        <w:rPr>
          <w:rFonts w:ascii="Arial" w:cs="Arial" w:eastAsia="Arial" w:hAnsi="Arial"/>
          <w:sz w:val="18"/>
          <w:szCs w:val="18"/>
          <w:u w:val="single" w:color="auto"/>
          <w:color w:val="auto"/>
        </w:rPr>
        <w:t>Registration Statement Amendments</w:t>
      </w:r>
      <w:r>
        <w:rPr>
          <w:rFonts w:ascii="Arial" w:cs="Arial" w:eastAsia="Arial" w:hAnsi="Arial"/>
          <w:sz w:val="18"/>
          <w:szCs w:val="18"/>
          <w:color w:val="auto"/>
        </w:rPr>
        <w:t>. After the date of this Agreement and during any period in which the Prospectus relating to any Placement Shares is required to be delivered by the Agent under the Securities Act (including in circumstances where such requirement may be satisfied pursuant to Rule 172 under the Securities Act or a similar rule); (i) the Company will notify the Agent promptly of the time when any subsequent amendment to the Registration Statement, other than Incorporated Documents, has been filed with the Commission and/or has become effective or any subsequent supplement to the Prospectus, other than Incorporated Documents, has been filed and of any request by the Commission for any amendment or supplement to the Registration Statement or Prospectus or for additional information; (ii) the Company will prepare and file with the Commission, promptly upon the Agent’s request, any</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4" w:name="page25"/>
    <w:bookmarkEnd w:id="24"/>
    <w:p>
      <w:pPr>
        <w:ind w:right="20"/>
        <w:spacing w:after="0" w:line="253" w:lineRule="auto"/>
        <w:rPr>
          <w:sz w:val="20"/>
          <w:szCs w:val="20"/>
          <w:color w:val="auto"/>
        </w:rPr>
      </w:pPr>
      <w:r>
        <w:rPr>
          <w:rFonts w:ascii="Arial" w:cs="Arial" w:eastAsia="Arial" w:hAnsi="Arial"/>
          <w:sz w:val="18"/>
          <w:szCs w:val="18"/>
          <w:color w:val="auto"/>
        </w:rPr>
        <w:t>amendments or supplements to the Registration Statement or Prospectus that, in the Agent’s reasonable opinion, may be necessary or advisable in connection with the distribution of the Placement Shares by the Agent (provided, however, that the failure of the Agent to make such request shall not relieve the Company of any obligation or liability hereunder, or affect the Agent’s right to rely on the representations and warranties made by the Company in this Agreement and provided, further, that the only remedy the Agent shall have with respect to the failure by the Company to make such filing (but without limiting the Agent’s rights under Section 9 hereof) will be to cease making sales under this Agreement until such amendment or supplement is filed); (iii) the Company will not file any amendment or supplement to the Registration Statement or Prospectus, other than Incorporated Documents, relating to the Placement Shares or a security convertible into or exchangeable or exercisable for the Placement Shares unless a copy thereof has been submitted to the Agent within a reasonable period of time before the filing and the Agent has not reasonably objected thereto (provided, however, that the failure of the Agent to make such objection shall not relieve the Company of any obligation or liability hereunder, or affect the Agent’s right to rely on the representations and warranties made by the Company in this Agreement and provided, further, that the only remedy the Agent shall have with respect to the Company’s making such filing notwithstanding the Agent’s objection (but without limiting the Agent’s rights under Section 9 hereof) will be to cease making sales under this Agreement) and the Company will furnish to the Agent at the time of filing thereof a copy of any Incorporated Document, except for those documents available via EDGAR; and (iv) the Company will cause each amendment or supplement to the Prospectus, other than Incorporated Documents, to be filed with the Commission as required pursuant to the applicable paragraph of Rule 424(b) of the Securities Act and, in the case of any Incorporated Document, to be filed with the Commission as required pursuant to the Exchange Act, within the time period prescribed.</w:t>
      </w:r>
    </w:p>
    <w:p>
      <w:pPr>
        <w:spacing w:after="0" w:line="180" w:lineRule="exact"/>
        <w:rPr>
          <w:sz w:val="20"/>
          <w:szCs w:val="20"/>
          <w:color w:val="auto"/>
        </w:rPr>
      </w:pPr>
    </w:p>
    <w:p>
      <w:pPr>
        <w:ind w:right="140" w:firstLine="757"/>
        <w:spacing w:after="0" w:line="242" w:lineRule="auto"/>
        <w:tabs>
          <w:tab w:leader="none" w:pos="1145" w:val="left"/>
        </w:tabs>
        <w:numPr>
          <w:ilvl w:val="0"/>
          <w:numId w:val="32"/>
        </w:numPr>
        <w:rPr>
          <w:rFonts w:ascii="Arial" w:cs="Arial" w:eastAsia="Arial" w:hAnsi="Arial"/>
          <w:sz w:val="19"/>
          <w:szCs w:val="19"/>
          <w:color w:val="auto"/>
        </w:rPr>
      </w:pPr>
      <w:r>
        <w:rPr>
          <w:rFonts w:ascii="Arial" w:cs="Arial" w:eastAsia="Arial" w:hAnsi="Arial"/>
          <w:sz w:val="19"/>
          <w:szCs w:val="19"/>
          <w:u w:val="single" w:color="auto"/>
          <w:color w:val="auto"/>
        </w:rPr>
        <w:t>Notice of Commission Stop Orders</w:t>
      </w:r>
      <w:r>
        <w:rPr>
          <w:rFonts w:ascii="Arial" w:cs="Arial" w:eastAsia="Arial" w:hAnsi="Arial"/>
          <w:sz w:val="19"/>
          <w:szCs w:val="19"/>
          <w:color w:val="auto"/>
        </w:rPr>
        <w:t>. The Company will advise the Agent, promptly after it receives notice or obtains knowledge thereof, of the issuance or threatened issuance by the Commission of any stop order suspending the effectiveness of the Registration Statement, of the suspension of the qualification of the Placement Shares for offering or sale in any jurisdiction or of the initiation or threatening of any proceeding for any such purpose; and it will promptly use its commercially reasonable efforts to prevent the issuance of any stop order or to obtain its withdrawal if such a stop order should be issued. The Company will advise the Agent promptly after it receives any request by the Commission for any amendments to the Registration Statement or any amendment or supplements to the Prospectus or for additional information related to the offering of the Placement Shares or for additional information related to the Registration Statement or the Prospectus.</w:t>
      </w:r>
    </w:p>
    <w:p>
      <w:pPr>
        <w:spacing w:after="0" w:line="181" w:lineRule="exact"/>
        <w:rPr>
          <w:rFonts w:ascii="Arial" w:cs="Arial" w:eastAsia="Arial" w:hAnsi="Arial"/>
          <w:sz w:val="19"/>
          <w:szCs w:val="19"/>
          <w:color w:val="auto"/>
        </w:rPr>
      </w:pPr>
    </w:p>
    <w:p>
      <w:pPr>
        <w:ind w:firstLine="757"/>
        <w:spacing w:after="0" w:line="252" w:lineRule="auto"/>
        <w:tabs>
          <w:tab w:leader="none" w:pos="1145" w:val="left"/>
        </w:tabs>
        <w:numPr>
          <w:ilvl w:val="0"/>
          <w:numId w:val="32"/>
        </w:numPr>
        <w:rPr>
          <w:rFonts w:ascii="Arial" w:cs="Arial" w:eastAsia="Arial" w:hAnsi="Arial"/>
          <w:sz w:val="18"/>
          <w:szCs w:val="18"/>
          <w:color w:val="auto"/>
        </w:rPr>
      </w:pPr>
      <w:r>
        <w:rPr>
          <w:rFonts w:ascii="Arial" w:cs="Arial" w:eastAsia="Arial" w:hAnsi="Arial"/>
          <w:sz w:val="18"/>
          <w:szCs w:val="18"/>
          <w:u w:val="single" w:color="auto"/>
          <w:color w:val="auto"/>
        </w:rPr>
        <w:t>Delivery of Prospectus; Subsequent Changes</w:t>
      </w:r>
      <w:r>
        <w:rPr>
          <w:rFonts w:ascii="Arial" w:cs="Arial" w:eastAsia="Arial" w:hAnsi="Arial"/>
          <w:sz w:val="18"/>
          <w:szCs w:val="18"/>
          <w:color w:val="auto"/>
        </w:rPr>
        <w:t>. During any period in which the Prospectus relating to the Placement Shares is required to be delivered by the Agent under the Securities Act with respect to the offer and sale of the Placement Shares (including in circumstances where such requirement may be satisfied pursuant to Rule 172 under the Securities Act or a similar rule), the Company will comply with all requirements imposed upon it by the Securities Act, as from time to time in force, and will file on or before their respective due dates (taking into account any extensions available under the Exchange Act) all reports and any definitive proxy or information statements required to be filed by the Company with the Commission pursuant to Sections 13(a), 13(c), 14, 15(d) or any other provision of or under the Exchange Act. If during such period any event occurs as a result of which the Prospectus as then amended or supplemented would include an untrue statement of a material fact or omit to state a material fact necessary to make the statements therein, in the light of the circumstances then existing, not misleading, or if during such period it is necessary to amend or supplement the Registration Statement or Prospectus to comply with the Securities Act, the Company will promptly notify the Agent to suspend the offering of Placement Shares during such period and the Company will promptly amend or supplement the Registration Statement or Prospectus (at the expense of the</w:t>
      </w:r>
    </w:p>
    <w:p>
      <w:pPr>
        <w:spacing w:after="0" w:line="1" w:lineRule="exact"/>
        <w:rPr>
          <w:sz w:val="20"/>
          <w:szCs w:val="20"/>
          <w:color w:val="auto"/>
        </w:rPr>
      </w:pPr>
    </w:p>
    <w:p>
      <w:pPr>
        <w:ind w:right="440"/>
        <w:spacing w:after="0" w:line="225" w:lineRule="auto"/>
        <w:rPr>
          <w:sz w:val="20"/>
          <w:szCs w:val="20"/>
          <w:color w:val="auto"/>
        </w:rPr>
      </w:pPr>
      <w:r>
        <w:rPr>
          <w:rFonts w:ascii="Arial" w:cs="Arial" w:eastAsia="Arial" w:hAnsi="Arial"/>
          <w:sz w:val="20"/>
          <w:szCs w:val="20"/>
          <w:color w:val="auto"/>
        </w:rPr>
        <w:t>Company) so as to correct such statement or omission or effect such compliance. If the Company has omitted any information from the Registration Statement pursuant to Rule 430B under the Securities Act, it will use its best efforts to</w:t>
      </w:r>
    </w:p>
    <w:p>
      <w:pPr>
        <w:spacing w:after="0" w:line="1"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5" w:name="page26"/>
    <w:bookmarkEnd w:id="25"/>
    <w:p>
      <w:pPr>
        <w:ind w:right="240"/>
        <w:spacing w:after="0" w:line="247" w:lineRule="auto"/>
        <w:rPr>
          <w:sz w:val="20"/>
          <w:szCs w:val="20"/>
          <w:color w:val="auto"/>
        </w:rPr>
      </w:pPr>
      <w:r>
        <w:rPr>
          <w:rFonts w:ascii="Arial" w:cs="Arial" w:eastAsia="Arial" w:hAnsi="Arial"/>
          <w:sz w:val="20"/>
          <w:szCs w:val="20"/>
          <w:color w:val="auto"/>
        </w:rPr>
        <w:t>comply with the provisions thereof and make all requisite filings with the Commission pursuant to said Rule 430B and to notify the Agent promptly of all such filings if not available on EDGAR.</w:t>
      </w:r>
    </w:p>
    <w:p>
      <w:pPr>
        <w:spacing w:after="0" w:line="176" w:lineRule="exact"/>
        <w:rPr>
          <w:sz w:val="20"/>
          <w:szCs w:val="20"/>
          <w:color w:val="auto"/>
        </w:rPr>
      </w:pPr>
    </w:p>
    <w:p>
      <w:pPr>
        <w:ind w:right="80" w:firstLine="757"/>
        <w:spacing w:after="0" w:line="263" w:lineRule="auto"/>
        <w:tabs>
          <w:tab w:leader="none" w:pos="1145"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t>Listing of Placement Shares</w:t>
      </w:r>
      <w:r>
        <w:rPr>
          <w:rFonts w:ascii="Arial" w:cs="Arial" w:eastAsia="Arial" w:hAnsi="Arial"/>
          <w:sz w:val="18"/>
          <w:szCs w:val="18"/>
          <w:color w:val="auto"/>
        </w:rPr>
        <w:t>. During any period in which the Prospectus relating to the Placement Shares is required to be delivered by the Agent under the Securities Act with respect to the offer and sale of the Placement Shares (including in circumstances where such requirement may be satisfied pursuant to Rule 172 under the Securities Act or a similar rule), the Company will use its commercially reasonable efforts to cause the Placement Shares to be listed on Nasdaq. The Company will timely file with Nasdaq all material documents and notices required by Nasdaq of companies that have or will issue securities that are traded on Nasdaq.</w:t>
      </w:r>
    </w:p>
    <w:p>
      <w:pPr>
        <w:spacing w:after="0" w:line="161" w:lineRule="exact"/>
        <w:rPr>
          <w:rFonts w:ascii="Arial" w:cs="Arial" w:eastAsia="Arial" w:hAnsi="Arial"/>
          <w:sz w:val="18"/>
          <w:szCs w:val="18"/>
          <w:color w:val="auto"/>
        </w:rPr>
      </w:pPr>
    </w:p>
    <w:p>
      <w:pPr>
        <w:ind w:right="100" w:firstLine="757"/>
        <w:spacing w:after="0" w:line="257" w:lineRule="auto"/>
        <w:tabs>
          <w:tab w:leader="none" w:pos="1145"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t>Delivery of Registration Statement and Prospectus</w:t>
      </w:r>
      <w:r>
        <w:rPr>
          <w:rFonts w:ascii="Arial" w:cs="Arial" w:eastAsia="Arial" w:hAnsi="Arial"/>
          <w:sz w:val="18"/>
          <w:szCs w:val="18"/>
          <w:color w:val="auto"/>
        </w:rPr>
        <w:t xml:space="preserve">. The Company will furnish to the Agent and its counsel (at the expense of the Company) copies of the Registration Statement, the Prospectus (including all Incorporated Documents) and all amendments and supplements to the Registration Statement or Prospectus that are filed with the Commission during any period in which the Prospectus relating to the Placement Shares is required to be delivered under the Securities Act (including all Incorporated Documents filed with the Commission during such period), in each case as soon as reasonably practicable and in such quantities as the Agent may from time to time reasonably request and, at the Agent’s request, will also furnish copies of the Prospectus to each exchange or market on which sales of the Placement Shares may be made;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the Company shall not be required to furnish any document (other than the Prospectus) to the Agent to the extent such document is available on EDGAR.</w:t>
      </w:r>
    </w:p>
    <w:p>
      <w:pPr>
        <w:spacing w:after="0" w:line="170" w:lineRule="exact"/>
        <w:rPr>
          <w:rFonts w:ascii="Arial" w:cs="Arial" w:eastAsia="Arial" w:hAnsi="Arial"/>
          <w:sz w:val="18"/>
          <w:szCs w:val="18"/>
          <w:color w:val="auto"/>
        </w:rPr>
      </w:pPr>
    </w:p>
    <w:p>
      <w:pPr>
        <w:ind w:right="100" w:firstLine="757"/>
        <w:spacing w:after="0" w:line="237" w:lineRule="auto"/>
        <w:tabs>
          <w:tab w:leader="none" w:pos="1145" w:val="left"/>
        </w:tabs>
        <w:numPr>
          <w:ilvl w:val="0"/>
          <w:numId w:val="33"/>
        </w:numPr>
        <w:rPr>
          <w:rFonts w:ascii="Arial" w:cs="Arial" w:eastAsia="Arial" w:hAnsi="Arial"/>
          <w:sz w:val="20"/>
          <w:szCs w:val="20"/>
          <w:color w:val="auto"/>
        </w:rPr>
      </w:pPr>
      <w:r>
        <w:rPr>
          <w:rFonts w:ascii="Arial" w:cs="Arial" w:eastAsia="Arial" w:hAnsi="Arial"/>
          <w:sz w:val="20"/>
          <w:szCs w:val="20"/>
          <w:u w:val="single" w:color="auto"/>
          <w:color w:val="auto"/>
        </w:rPr>
        <w:t>Earnings Statement</w:t>
      </w:r>
      <w:r>
        <w:rPr>
          <w:rFonts w:ascii="Arial" w:cs="Arial" w:eastAsia="Arial" w:hAnsi="Arial"/>
          <w:sz w:val="20"/>
          <w:szCs w:val="20"/>
          <w:color w:val="auto"/>
        </w:rPr>
        <w:t>. The Company will make generally available to its security holders and to the Agent as soon as practicable, but in any event not later than 15 months after the end of the Company’s current fiscal quarter, an earnings statement covering a 12-month period that satisfies the provisions of Section 11(a) of and Rule 158 under the Securities Act.</w:t>
      </w:r>
    </w:p>
    <w:p>
      <w:pPr>
        <w:spacing w:after="0" w:line="182" w:lineRule="exact"/>
        <w:rPr>
          <w:rFonts w:ascii="Arial" w:cs="Arial" w:eastAsia="Arial" w:hAnsi="Arial"/>
          <w:sz w:val="20"/>
          <w:szCs w:val="20"/>
          <w:color w:val="auto"/>
        </w:rPr>
      </w:pPr>
    </w:p>
    <w:p>
      <w:pPr>
        <w:ind w:firstLine="757"/>
        <w:spacing w:after="0" w:line="286" w:lineRule="auto"/>
        <w:tabs>
          <w:tab w:leader="none" w:pos="1145" w:val="left"/>
        </w:tabs>
        <w:numPr>
          <w:ilvl w:val="0"/>
          <w:numId w:val="33"/>
        </w:numPr>
        <w:rPr>
          <w:rFonts w:ascii="Arial" w:cs="Arial" w:eastAsia="Arial" w:hAnsi="Arial"/>
          <w:sz w:val="16"/>
          <w:szCs w:val="16"/>
          <w:color w:val="auto"/>
        </w:rPr>
      </w:pPr>
      <w:r>
        <w:rPr>
          <w:rFonts w:ascii="Arial" w:cs="Arial" w:eastAsia="Arial" w:hAnsi="Arial"/>
          <w:sz w:val="16"/>
          <w:szCs w:val="16"/>
          <w:u w:val="single" w:color="auto"/>
          <w:color w:val="auto"/>
        </w:rPr>
        <w:t>Expenses</w:t>
      </w:r>
      <w:r>
        <w:rPr>
          <w:rFonts w:ascii="Arial" w:cs="Arial" w:eastAsia="Arial" w:hAnsi="Arial"/>
          <w:sz w:val="16"/>
          <w:szCs w:val="16"/>
          <w:color w:val="auto"/>
        </w:rPr>
        <w:t>. The Company, whether or not the transactions contemplated hereunder are consummated or this Agreement is terminated in accordance with the provisions of Section 11 hereunder, will pay all expenses incident to the performance of its obligations hereunder, including, but not limited to, expenses relating to (i) the preparation, printing and filing of the Registration Statement and each amendment and supplement thereto, of the Prospectus and of each amendment and supplement thereto and of this Agreement and such other documents as may be required in connection with the offering, purchase, sale, issuance or delivery of the Placement Shares, including the required Commission filing fees relating to the Placement Shares, (ii) the preparation, issuance, sale and delivery of the Placement Shares and any taxes due or payable in connection therewith, (iii) the qualification of the Placement Shares under securities laws in accordance with the provisions of Section 7(w) of this Agreement, including filing fees (provided, however, that any fees or disbursements of counsel for the Agent in connection therewith shall be paid by the Agent except as set forth in clauses (vii) and (viii) below), (iv) the printing and delivery to the Agent and its counsel of copies of the Prospectus and any amendments or supplements thereto, and of this Agreement, (v) the fees and expenses incurred in connection with the listing or qualification of the Placement Shares for trading on Nasdaq, (vi) the filing fees and expenses, if any, owed to the Commission or FINRA and the fees and expenses of any transfer agent or registrar for the Shares, (vii) the fees and associated expenses of the Agent’s outside legal counsel in connection with determining its compliance with the rules and regulations of FINRA, including any filings with FINRA’s Corporate Financing Department, in an amount not to exceed $15,000 (excluding FINRA filing fees referred to in clause (vi) above and in addition to the fees and disbursements referred to in clause (viii) below), and (viii) the reasonable fees and disbursements of the Agent’s outside legal counsel in an amount not to exceed $50,000 (in addition to the fees and associated</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color w:val="auto"/>
        </w:rPr>
        <w:t>expenses referred to in clause (vii) above).</w:t>
      </w:r>
    </w:p>
    <w:p>
      <w:pPr>
        <w:jc w:val="center"/>
        <w:ind w:right="-59"/>
        <w:spacing w:after="0"/>
        <w:rPr>
          <w:sz w:val="20"/>
          <w:szCs w:val="20"/>
          <w:color w:val="auto"/>
        </w:rPr>
      </w:pPr>
      <w:r>
        <w:rPr>
          <w:rFonts w:ascii="Arial" w:cs="Arial" w:eastAsia="Arial" w:hAnsi="Arial"/>
          <w:sz w:val="20"/>
          <w:szCs w:val="20"/>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6" w:name="page27"/>
    <w:bookmarkEnd w:id="26"/>
    <w:p>
      <w:pPr>
        <w:ind w:left="1160" w:hanging="403"/>
        <w:spacing w:after="0"/>
        <w:tabs>
          <w:tab w:leader="none" w:pos="1160" w:val="left"/>
        </w:tabs>
        <w:numPr>
          <w:ilvl w:val="0"/>
          <w:numId w:val="34"/>
        </w:numPr>
        <w:rPr>
          <w:rFonts w:ascii="Arial" w:cs="Arial" w:eastAsia="Arial" w:hAnsi="Arial"/>
          <w:sz w:val="19"/>
          <w:szCs w:val="19"/>
          <w:color w:val="auto"/>
        </w:rPr>
      </w:pPr>
      <w:r>
        <w:rPr>
          <w:rFonts w:ascii="Arial" w:cs="Arial" w:eastAsia="Arial" w:hAnsi="Arial"/>
          <w:sz w:val="19"/>
          <w:szCs w:val="19"/>
          <w:u w:val="single" w:color="auto"/>
          <w:color w:val="auto"/>
        </w:rPr>
        <w:t>Use of Proceeds</w:t>
      </w:r>
      <w:r>
        <w:rPr>
          <w:rFonts w:ascii="Arial" w:cs="Arial" w:eastAsia="Arial" w:hAnsi="Arial"/>
          <w:sz w:val="19"/>
          <w:szCs w:val="19"/>
          <w:color w:val="auto"/>
        </w:rPr>
        <w:t>. The Company will use the Net Proceeds as described in the Prospectus in the section entitled “Use of</w:t>
      </w:r>
    </w:p>
    <w:p>
      <w:pPr>
        <w:spacing w:after="0" w:line="13"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0"/>
          <w:szCs w:val="20"/>
          <w:color w:val="auto"/>
        </w:rPr>
        <w:t>Proceeds.”</w:t>
      </w:r>
    </w:p>
    <w:p>
      <w:pPr>
        <w:spacing w:after="0" w:line="186" w:lineRule="exact"/>
        <w:rPr>
          <w:rFonts w:ascii="Arial" w:cs="Arial" w:eastAsia="Arial" w:hAnsi="Arial"/>
          <w:sz w:val="19"/>
          <w:szCs w:val="19"/>
          <w:color w:val="auto"/>
        </w:rPr>
      </w:pPr>
    </w:p>
    <w:p>
      <w:pPr>
        <w:ind w:firstLine="757"/>
        <w:spacing w:after="0" w:line="253" w:lineRule="auto"/>
        <w:tabs>
          <w:tab w:leader="none" w:pos="1145"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t>Notice of Other Sales</w:t>
      </w:r>
      <w:r>
        <w:rPr>
          <w:rFonts w:ascii="Arial" w:cs="Arial" w:eastAsia="Arial" w:hAnsi="Arial"/>
          <w:sz w:val="18"/>
          <w:szCs w:val="18"/>
          <w:color w:val="auto"/>
        </w:rPr>
        <w:t xml:space="preserve">. Without the prior written consent of the Agent, the Company will not, directly or indirectly, offer to sell, sell, contract to sell, grant any option to sell or otherwise dispose of any Shares (other than the Placement Shares offered pursuant to this Agreement or the Shares offered pursuant to the Prior Sales Agreement) or securities convertible into or exchangeable or exercisable for Shares, warrants or any rights to purchase or acquire Shares during the period beginning on the fifth Trading Day immediately prior to the date on which any Placement Notice is delivered to Agent hereunder and ending on the second Trading Day immediately following the final Settlement Date with respect to Placement Shares sold pursuant to such Placement Notice (or, if the Placement Notice has been terminated or suspended prior to the sale of all Placement Shares covered by a Placement Notice, the date of such suspension or termination); and will not directly or indirectly in any other “at the market offering” or continuous equity transaction offer to sell, sell, contract to sell, grant any option to sell or otherwise dispose of any Shares (other than the Placement Shares offered pursuant to this Agreement) or securities convertible into or exchangeable or exercisable for Shares, warrants or any rights to purchase or acquire, Shares prior to the later of the termination of this Agreement and the sixtieth day immediately following the final Settlement Date with respect to Placement Shares sold pursuant to such Placement Notice;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such restrictions will not be required in connection with the Company’s issuance or sale of (i) Shares, options to purchase Shares, other securities under the Company’s existing equity incentive plans, or Shares issuable upon the exercise of options or vesting of other securities, pursuant to any employee or director stock option or benefits plan, stock ownership plan or dividend reinvestment plan (but not Shares subject to a waiver to exceed plan limits in its dividend reinvestment plan) of the Company whether now in effect or hereafter implemented, (ii) Shares issuable upon conversion of securities or the exercise of warrants, options or other rights in effect or outstanding, and disclosed in filings by the Company available on EDGAR or otherwise in writing to the Agent and (iii) Shares or securities convertible into or exchangeable for Shares as consideration for mergers, acquisitions, other business combinations or strategic alliances occurring after the date of this Agreement which are not issued for capital raising purposes.</w:t>
      </w:r>
    </w:p>
    <w:p>
      <w:pPr>
        <w:spacing w:after="0" w:line="174" w:lineRule="exact"/>
        <w:rPr>
          <w:rFonts w:ascii="Arial" w:cs="Arial" w:eastAsia="Arial" w:hAnsi="Arial"/>
          <w:sz w:val="18"/>
          <w:szCs w:val="18"/>
          <w:color w:val="auto"/>
        </w:rPr>
      </w:pPr>
    </w:p>
    <w:p>
      <w:pPr>
        <w:ind w:right="100" w:firstLine="757"/>
        <w:spacing w:after="0" w:line="234" w:lineRule="auto"/>
        <w:tabs>
          <w:tab w:leader="none" w:pos="1145" w:val="left"/>
        </w:tabs>
        <w:numPr>
          <w:ilvl w:val="0"/>
          <w:numId w:val="34"/>
        </w:numPr>
        <w:rPr>
          <w:rFonts w:ascii="Arial" w:cs="Arial" w:eastAsia="Arial" w:hAnsi="Arial"/>
          <w:sz w:val="20"/>
          <w:szCs w:val="20"/>
          <w:color w:val="auto"/>
        </w:rPr>
      </w:pPr>
      <w:r>
        <w:rPr>
          <w:rFonts w:ascii="Arial" w:cs="Arial" w:eastAsia="Arial" w:hAnsi="Arial"/>
          <w:sz w:val="20"/>
          <w:szCs w:val="20"/>
          <w:u w:val="single" w:color="auto"/>
          <w:color w:val="auto"/>
        </w:rPr>
        <w:t>Change of Circumstances</w:t>
      </w:r>
      <w:r>
        <w:rPr>
          <w:rFonts w:ascii="Arial" w:cs="Arial" w:eastAsia="Arial" w:hAnsi="Arial"/>
          <w:sz w:val="20"/>
          <w:szCs w:val="20"/>
          <w:color w:val="auto"/>
        </w:rPr>
        <w:t>. The Company will, at any time during a fiscal quarter in which the Company intends to tender a Placement Notice or sell Placement Shares, advise the Agent promptly after it shall have received notice or obtained knowledge of any information or fact that would alter or affect in any material respect any opinion, certificate, letter or other document provided or required to be provided to the Agent pursuant to this Agreement.</w:t>
      </w:r>
    </w:p>
    <w:p>
      <w:pPr>
        <w:spacing w:after="0" w:line="183" w:lineRule="exact"/>
        <w:rPr>
          <w:rFonts w:ascii="Arial" w:cs="Arial" w:eastAsia="Arial" w:hAnsi="Arial"/>
          <w:sz w:val="20"/>
          <w:szCs w:val="20"/>
          <w:color w:val="auto"/>
        </w:rPr>
      </w:pPr>
    </w:p>
    <w:p>
      <w:pPr>
        <w:ind w:right="40" w:firstLine="757"/>
        <w:spacing w:after="0" w:line="248" w:lineRule="auto"/>
        <w:tabs>
          <w:tab w:leader="none" w:pos="1145" w:val="left"/>
        </w:tabs>
        <w:numPr>
          <w:ilvl w:val="0"/>
          <w:numId w:val="34"/>
        </w:numPr>
        <w:rPr>
          <w:rFonts w:ascii="Arial" w:cs="Arial" w:eastAsia="Arial" w:hAnsi="Arial"/>
          <w:sz w:val="19"/>
          <w:szCs w:val="19"/>
          <w:color w:val="auto"/>
        </w:rPr>
      </w:pPr>
      <w:r>
        <w:rPr>
          <w:rFonts w:ascii="Arial" w:cs="Arial" w:eastAsia="Arial" w:hAnsi="Arial"/>
          <w:sz w:val="19"/>
          <w:szCs w:val="19"/>
          <w:u w:val="single" w:color="auto"/>
          <w:color w:val="auto"/>
        </w:rPr>
        <w:t>Due Diligence Cooperation</w:t>
      </w:r>
      <w:r>
        <w:rPr>
          <w:rFonts w:ascii="Arial" w:cs="Arial" w:eastAsia="Arial" w:hAnsi="Arial"/>
          <w:sz w:val="19"/>
          <w:szCs w:val="19"/>
          <w:color w:val="auto"/>
        </w:rPr>
        <w:t>. During the term of this Agreement, the Company will cooperate with any reasonable due diligence review conducted by the Agent, its affiliates agents and counsel from time to time in connection with the transactions contemplated hereby, including, without limitation, providing information and making available documents and senior corporate officers, during regular business hours and at the Company’s principal offices, as the Agent may reasonably request.</w:t>
      </w:r>
    </w:p>
    <w:p>
      <w:pPr>
        <w:spacing w:after="0" w:line="176" w:lineRule="exact"/>
        <w:rPr>
          <w:rFonts w:ascii="Arial" w:cs="Arial" w:eastAsia="Arial" w:hAnsi="Arial"/>
          <w:sz w:val="19"/>
          <w:szCs w:val="19"/>
          <w:color w:val="auto"/>
        </w:rPr>
      </w:pPr>
    </w:p>
    <w:p>
      <w:pPr>
        <w:ind w:right="20" w:firstLine="757"/>
        <w:spacing w:after="0" w:line="286" w:lineRule="auto"/>
        <w:tabs>
          <w:tab w:leader="none" w:pos="1145" w:val="left"/>
        </w:tabs>
        <w:numPr>
          <w:ilvl w:val="0"/>
          <w:numId w:val="34"/>
        </w:numPr>
        <w:rPr>
          <w:rFonts w:ascii="Arial" w:cs="Arial" w:eastAsia="Arial" w:hAnsi="Arial"/>
          <w:sz w:val="16"/>
          <w:szCs w:val="16"/>
          <w:color w:val="auto"/>
        </w:rPr>
      </w:pPr>
      <w:r>
        <w:rPr>
          <w:rFonts w:ascii="Arial" w:cs="Arial" w:eastAsia="Arial" w:hAnsi="Arial"/>
          <w:sz w:val="16"/>
          <w:szCs w:val="16"/>
          <w:u w:val="single" w:color="auto"/>
          <w:color w:val="auto"/>
        </w:rPr>
        <w:t>Required Filings Relating to Placement of Placement Shares</w:t>
      </w:r>
      <w:r>
        <w:rPr>
          <w:rFonts w:ascii="Arial" w:cs="Arial" w:eastAsia="Arial" w:hAnsi="Arial"/>
          <w:sz w:val="16"/>
          <w:szCs w:val="16"/>
          <w:color w:val="auto"/>
        </w:rPr>
        <w:t>. The Company agrees that on or prior to such dates as the Securities Act shall require, the Company will (i) file a prospectus supplement with the Commission under the applicable paragraph of Rule 424(b) under the Securities Act, which prospectus supplement will set forth, within the relevant period, the number or amount of Placement Shares sold through the Agent, the Net Proceeds to the Company and the compensation payable by the Company to the Agent with respect to</w:t>
      </w:r>
    </w:p>
    <w:p>
      <w:pPr>
        <w:spacing w:after="0" w:line="3" w:lineRule="exact"/>
        <w:rPr>
          <w:sz w:val="20"/>
          <w:szCs w:val="20"/>
          <w:color w:val="auto"/>
        </w:rPr>
      </w:pPr>
    </w:p>
    <w:p>
      <w:pPr>
        <w:ind w:right="380"/>
        <w:spacing w:after="0" w:line="281" w:lineRule="auto"/>
        <w:rPr>
          <w:sz w:val="20"/>
          <w:szCs w:val="20"/>
          <w:color w:val="auto"/>
        </w:rPr>
      </w:pPr>
      <w:r>
        <w:rPr>
          <w:rFonts w:ascii="Arial" w:cs="Arial" w:eastAsia="Arial" w:hAnsi="Arial"/>
          <w:sz w:val="16"/>
          <w:szCs w:val="16"/>
          <w:color w:val="auto"/>
        </w:rPr>
        <w:t xml:space="preserve">such Placement Shares, and (ii) deliver such number of copies of each such prospectus supplement to each exchange or market on which such sales were effected as may be required by the rules or regulations of such exchange or market; </w:t>
      </w:r>
      <w:r>
        <w:rPr>
          <w:rFonts w:ascii="Arial" w:cs="Arial" w:eastAsia="Arial" w:hAnsi="Arial"/>
          <w:sz w:val="16"/>
          <w:szCs w:val="16"/>
          <w:i w:val="1"/>
          <w:iCs w:val="1"/>
          <w:color w:val="auto"/>
        </w:rPr>
        <w:t>provided</w:t>
      </w:r>
      <w:r>
        <w:rPr>
          <w:rFonts w:ascii="Arial" w:cs="Arial" w:eastAsia="Arial" w:hAnsi="Arial"/>
          <w:sz w:val="16"/>
          <w:szCs w:val="16"/>
          <w:color w:val="auto"/>
        </w:rPr>
        <w:t>, that, unless a prospectus</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9" w:right="359" w:bottom="1440" w:gutter="0" w:footer="0" w:header="0"/>
        </w:sectPr>
      </w:pPr>
    </w:p>
    <w:bookmarkStart w:id="27" w:name="page28"/>
    <w:bookmarkEnd w:id="27"/>
    <w:p>
      <w:pPr>
        <w:ind w:right="120"/>
        <w:spacing w:after="0" w:line="234" w:lineRule="auto"/>
        <w:rPr>
          <w:sz w:val="20"/>
          <w:szCs w:val="20"/>
          <w:color w:val="auto"/>
        </w:rPr>
      </w:pPr>
      <w:r>
        <w:rPr>
          <w:rFonts w:ascii="Arial" w:cs="Arial" w:eastAsia="Arial" w:hAnsi="Arial"/>
          <w:sz w:val="20"/>
          <w:szCs w:val="20"/>
          <w:color w:val="auto"/>
        </w:rPr>
        <w:t>supplement containing such information is required to be filed under the Securities Act, the requirement of this Section 7(l) may be satisfied by Company’s inclusion in the Company’s Form 10-K or Form 10-Q, as applicable, of the number or amount of Placement Shares sold through the Agent, the Net Proceeds to the Company and the compensation payable by the Company to the Agent with respect to such Placement Shares during the relevant period.</w:t>
      </w:r>
    </w:p>
    <w:p>
      <w:pPr>
        <w:spacing w:after="0" w:line="184" w:lineRule="exact"/>
        <w:rPr>
          <w:sz w:val="20"/>
          <w:szCs w:val="20"/>
          <w:color w:val="auto"/>
        </w:rPr>
      </w:pPr>
    </w:p>
    <w:p>
      <w:pPr>
        <w:ind w:right="80" w:firstLine="757"/>
        <w:spacing w:after="0" w:line="246" w:lineRule="auto"/>
        <w:tabs>
          <w:tab w:leader="none" w:pos="1145" w:val="left"/>
        </w:tabs>
        <w:numPr>
          <w:ilvl w:val="0"/>
          <w:numId w:val="35"/>
        </w:numPr>
        <w:rPr>
          <w:rFonts w:ascii="Arial" w:cs="Arial" w:eastAsia="Arial" w:hAnsi="Arial"/>
          <w:sz w:val="20"/>
          <w:szCs w:val="20"/>
          <w:color w:val="auto"/>
        </w:rPr>
      </w:pPr>
      <w:r>
        <w:rPr>
          <w:rFonts w:ascii="Arial" w:cs="Arial" w:eastAsia="Arial" w:hAnsi="Arial"/>
          <w:sz w:val="20"/>
          <w:szCs w:val="20"/>
          <w:u w:val="single" w:color="auto"/>
          <w:color w:val="auto"/>
        </w:rPr>
        <w:t>Representation Dates; Certificate</w:t>
      </w:r>
      <w:r>
        <w:rPr>
          <w:rFonts w:ascii="Arial" w:cs="Arial" w:eastAsia="Arial" w:hAnsi="Arial"/>
          <w:sz w:val="20"/>
          <w:szCs w:val="20"/>
          <w:color w:val="auto"/>
        </w:rPr>
        <w:t>. On or prior to the date on which the Company first delivers a Placement Notice pursuant to this agreement (the “</w:t>
      </w:r>
      <w:r>
        <w:rPr>
          <w:rFonts w:ascii="Arial" w:cs="Arial" w:eastAsia="Arial" w:hAnsi="Arial"/>
          <w:sz w:val="20"/>
          <w:szCs w:val="20"/>
          <w:b w:val="1"/>
          <w:bCs w:val="1"/>
          <w:u w:val="single" w:color="auto"/>
          <w:color w:val="auto"/>
        </w:rPr>
        <w:t>First Placement Notice Date</w:t>
      </w:r>
      <w:r>
        <w:rPr>
          <w:rFonts w:ascii="Arial" w:cs="Arial" w:eastAsia="Arial" w:hAnsi="Arial"/>
          <w:sz w:val="20"/>
          <w:szCs w:val="20"/>
          <w:color w:val="auto"/>
        </w:rPr>
        <w:t>”) and each time the Company:</w:t>
      </w:r>
    </w:p>
    <w:p>
      <w:pPr>
        <w:spacing w:after="0" w:line="176" w:lineRule="exact"/>
        <w:rPr>
          <w:rFonts w:ascii="Arial" w:cs="Arial" w:eastAsia="Arial" w:hAnsi="Arial"/>
          <w:sz w:val="20"/>
          <w:szCs w:val="20"/>
          <w:color w:val="auto"/>
        </w:rPr>
      </w:pPr>
    </w:p>
    <w:p>
      <w:pPr>
        <w:ind w:right="220" w:firstLine="1505"/>
        <w:spacing w:after="0" w:line="234" w:lineRule="auto"/>
        <w:tabs>
          <w:tab w:leader="none" w:pos="1893" w:val="left"/>
        </w:tabs>
        <w:numPr>
          <w:ilvl w:val="1"/>
          <w:numId w:val="35"/>
        </w:numPr>
        <w:rPr>
          <w:rFonts w:ascii="Arial" w:cs="Arial" w:eastAsia="Arial" w:hAnsi="Arial"/>
          <w:sz w:val="20"/>
          <w:szCs w:val="20"/>
          <w:color w:val="auto"/>
        </w:rPr>
      </w:pPr>
      <w:r>
        <w:rPr>
          <w:rFonts w:ascii="Arial" w:cs="Arial" w:eastAsia="Arial" w:hAnsi="Arial"/>
          <w:sz w:val="20"/>
          <w:szCs w:val="20"/>
          <w:color w:val="auto"/>
        </w:rPr>
        <w:t>amends or supplements the Registration Statement or the Prospectus relating to the Placement Shares (other than a prospectus supplement filed in accordance with Section 7(l) of this Agreement) by means of a post-effective amendment, sticker or supplement but not by means of incorporation of document(s) by reference into the Registration Statement or the Prospectus relating to the Placement Shares;</w:t>
      </w:r>
    </w:p>
    <w:p>
      <w:pPr>
        <w:spacing w:after="0" w:line="183" w:lineRule="exact"/>
        <w:rPr>
          <w:rFonts w:ascii="Arial" w:cs="Arial" w:eastAsia="Arial" w:hAnsi="Arial"/>
          <w:sz w:val="20"/>
          <w:szCs w:val="20"/>
          <w:color w:val="auto"/>
        </w:rPr>
      </w:pPr>
    </w:p>
    <w:p>
      <w:pPr>
        <w:ind w:right="520" w:firstLine="1505"/>
        <w:spacing w:after="0" w:line="246" w:lineRule="auto"/>
        <w:tabs>
          <w:tab w:leader="none" w:pos="1893" w:val="left"/>
        </w:tabs>
        <w:numPr>
          <w:ilvl w:val="1"/>
          <w:numId w:val="35"/>
        </w:numPr>
        <w:rPr>
          <w:rFonts w:ascii="Arial" w:cs="Arial" w:eastAsia="Arial" w:hAnsi="Arial"/>
          <w:sz w:val="20"/>
          <w:szCs w:val="20"/>
          <w:color w:val="auto"/>
        </w:rPr>
      </w:pPr>
      <w:r>
        <w:rPr>
          <w:rFonts w:ascii="Arial" w:cs="Arial" w:eastAsia="Arial" w:hAnsi="Arial"/>
          <w:sz w:val="20"/>
          <w:szCs w:val="20"/>
          <w:color w:val="auto"/>
        </w:rPr>
        <w:t>files an annual report on Form 10-K under the Exchange Act (including any Form 10-K/A containing amended financial information or a material amendment to the previously filed Form 10-K);</w:t>
      </w:r>
    </w:p>
    <w:p>
      <w:pPr>
        <w:spacing w:after="0" w:line="176" w:lineRule="exact"/>
        <w:rPr>
          <w:rFonts w:ascii="Arial" w:cs="Arial" w:eastAsia="Arial" w:hAnsi="Arial"/>
          <w:sz w:val="20"/>
          <w:szCs w:val="20"/>
          <w:color w:val="auto"/>
        </w:rPr>
      </w:pPr>
    </w:p>
    <w:p>
      <w:pPr>
        <w:ind w:left="1900" w:hanging="395"/>
        <w:spacing w:after="0"/>
        <w:tabs>
          <w:tab w:leader="none" w:pos="1900" w:val="left"/>
        </w:tabs>
        <w:numPr>
          <w:ilvl w:val="1"/>
          <w:numId w:val="35"/>
        </w:numPr>
        <w:rPr>
          <w:rFonts w:ascii="Arial" w:cs="Arial" w:eastAsia="Arial" w:hAnsi="Arial"/>
          <w:sz w:val="20"/>
          <w:szCs w:val="20"/>
          <w:color w:val="auto"/>
        </w:rPr>
      </w:pPr>
      <w:r>
        <w:rPr>
          <w:rFonts w:ascii="Arial" w:cs="Arial" w:eastAsia="Arial" w:hAnsi="Arial"/>
          <w:sz w:val="20"/>
          <w:szCs w:val="20"/>
          <w:color w:val="auto"/>
        </w:rPr>
        <w:t>files a quarterly report on Form 10-Q under the Exchange Act; or</w:t>
      </w:r>
    </w:p>
    <w:p>
      <w:pPr>
        <w:spacing w:after="0" w:line="202" w:lineRule="exact"/>
        <w:rPr>
          <w:rFonts w:ascii="Arial" w:cs="Arial" w:eastAsia="Arial" w:hAnsi="Arial"/>
          <w:sz w:val="20"/>
          <w:szCs w:val="20"/>
          <w:color w:val="auto"/>
        </w:rPr>
      </w:pPr>
    </w:p>
    <w:p>
      <w:pPr>
        <w:jc w:val="both"/>
        <w:ind w:right="260" w:firstLine="1505"/>
        <w:spacing w:after="0" w:line="237" w:lineRule="auto"/>
        <w:tabs>
          <w:tab w:leader="none" w:pos="1893" w:val="left"/>
        </w:tabs>
        <w:numPr>
          <w:ilvl w:val="1"/>
          <w:numId w:val="35"/>
        </w:numPr>
        <w:rPr>
          <w:rFonts w:ascii="Arial" w:cs="Arial" w:eastAsia="Arial" w:hAnsi="Arial"/>
          <w:sz w:val="20"/>
          <w:szCs w:val="20"/>
          <w:color w:val="auto"/>
        </w:rPr>
      </w:pPr>
      <w:r>
        <w:rPr>
          <w:rFonts w:ascii="Arial" w:cs="Arial" w:eastAsia="Arial" w:hAnsi="Arial"/>
          <w:sz w:val="20"/>
          <w:szCs w:val="20"/>
          <w:color w:val="auto"/>
        </w:rPr>
        <w:t>files a current report on Form 8-K containing amended financial information (other than an earnings release that is “furnished” pursuant to Item 2.02 or Item 7.01 of Form 8-K) under the Exchange Act (each date of filing of one or more of the documents referred to in clauses (i) through (iv) shall be a “</w:t>
      </w:r>
      <w:r>
        <w:rPr>
          <w:rFonts w:ascii="Arial" w:cs="Arial" w:eastAsia="Arial" w:hAnsi="Arial"/>
          <w:sz w:val="20"/>
          <w:szCs w:val="20"/>
          <w:b w:val="1"/>
          <w:bCs w:val="1"/>
          <w:u w:val="single" w:color="auto"/>
          <w:color w:val="auto"/>
        </w:rPr>
        <w:t>Representation Date</w:t>
      </w:r>
      <w:r>
        <w:rPr>
          <w:rFonts w:ascii="Arial" w:cs="Arial" w:eastAsia="Arial" w:hAnsi="Arial"/>
          <w:sz w:val="20"/>
          <w:szCs w:val="20"/>
          <w:color w:val="auto"/>
        </w:rPr>
        <w:t>”),</w:t>
      </w:r>
    </w:p>
    <w:p>
      <w:pPr>
        <w:spacing w:after="0" w:line="18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 xml:space="preserve">the Company shall furnish the Agent (but in the case of clause (iv) above only if (1) a Placement Notice is pending or in effect and (2) the Agent requests such certificate within three Business Days after the filing of such Form 8-K with the Commission) with a certificate, in the form attached hereto as </w:t>
      </w:r>
      <w:r>
        <w:rPr>
          <w:rFonts w:ascii="Arial" w:cs="Arial" w:eastAsia="Arial" w:hAnsi="Arial"/>
          <w:sz w:val="18"/>
          <w:szCs w:val="18"/>
          <w:b w:val="1"/>
          <w:bCs w:val="1"/>
          <w:u w:val="single" w:color="auto"/>
          <w:color w:val="auto"/>
        </w:rPr>
        <w:t>Exhibit 7(m)</w:t>
      </w:r>
      <w:r>
        <w:rPr>
          <w:rFonts w:ascii="Arial" w:cs="Arial" w:eastAsia="Arial" w:hAnsi="Arial"/>
          <w:sz w:val="18"/>
          <w:szCs w:val="18"/>
          <w:color w:val="auto"/>
        </w:rPr>
        <w:t xml:space="preserve"> (modified, as necessary, to relate to the Registration Statement and the Prospectus as then amended or supplemented), within three Trading Days of any Representation Date. The requirement to provide a certificate under this Section 7(m) shall be waived for any Representation Date occurring at a time at which no Placement Notice is pending or in effect, which waiver shall continue until the earlier to occur of (1) the date the Company delivers a Placement Notice hereunder (which for such calendar quarter shall be considered a Representation Date) and (2) the next occurring Representation Date;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xml:space="preserve">, that such waiver shall not apply for any Representation Date on which the Company files its annual report on Form 10-K (including any Form 10-K/A containing amended financial information or a material amendment to the previously filed Form 10-K). Notwithstanding the foregoing, if the Company subsequently decides to sell Placement Shares following a Representation Date on which the Company relied on the waiver referred to in the previous sentence and did not provide the Agent with a certificate under this Section 7(m), then before the Company delivers a Placement Notice or the Agent sells any Placement Shares pursuant thereto, the Company shall provide the Agent with a certificate, in the form attached hereto as </w:t>
      </w:r>
      <w:r>
        <w:rPr>
          <w:rFonts w:ascii="Arial" w:cs="Arial" w:eastAsia="Arial" w:hAnsi="Arial"/>
          <w:sz w:val="18"/>
          <w:szCs w:val="18"/>
          <w:b w:val="1"/>
          <w:bCs w:val="1"/>
          <w:u w:val="single" w:color="auto"/>
          <w:color w:val="auto"/>
        </w:rPr>
        <w:t>Exhibit 7(m)</w:t>
      </w:r>
      <w:r>
        <w:rPr>
          <w:rFonts w:ascii="Arial" w:cs="Arial" w:eastAsia="Arial" w:hAnsi="Arial"/>
          <w:sz w:val="18"/>
          <w:szCs w:val="18"/>
          <w:color w:val="auto"/>
        </w:rPr>
        <w:t>, dated the date of such Placement Notice. Within three Trading Days of each Representation Date, the Company shall have furnished to the Agent such further information, certificates and documents as the Agent may reasonably request.</w:t>
      </w:r>
    </w:p>
    <w:p>
      <w:pPr>
        <w:spacing w:after="0" w:line="173" w:lineRule="exact"/>
        <w:rPr>
          <w:sz w:val="20"/>
          <w:szCs w:val="20"/>
          <w:color w:val="auto"/>
        </w:rPr>
      </w:pPr>
    </w:p>
    <w:p>
      <w:pPr>
        <w:ind w:right="60" w:firstLine="757"/>
        <w:spacing w:after="0" w:line="256" w:lineRule="auto"/>
        <w:tabs>
          <w:tab w:leader="none" w:pos="1145"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Legal Opinions</w:t>
      </w:r>
      <w:r>
        <w:rPr>
          <w:rFonts w:ascii="Arial" w:cs="Arial" w:eastAsia="Arial" w:hAnsi="Arial"/>
          <w:sz w:val="18"/>
          <w:szCs w:val="18"/>
          <w:color w:val="auto"/>
        </w:rPr>
        <w:t>. On or prior to the First Placement Notice Date and on any date on which the Company is obligated to deliver a certificate pursuant to Section 7(m) for which no waiver is applicable, the Company shall cause to be furnished to the Agent the written opinion and negative assurance letter of DLA Piper LLP (US), counsel to the Company, or such other counsel satisfactory to the Agent</w:t>
      </w:r>
    </w:p>
    <w:p>
      <w:pPr>
        <w:spacing w:after="0" w:line="2"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8" w:name="page29"/>
    <w:bookmarkEnd w:id="28"/>
    <w:p>
      <w:pPr>
        <w:ind w:right="20"/>
        <w:spacing w:after="0" w:line="231"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Company Counsel</w:t>
      </w:r>
      <w:r>
        <w:rPr>
          <w:rFonts w:ascii="Arial" w:cs="Arial" w:eastAsia="Arial" w:hAnsi="Arial"/>
          <w:sz w:val="20"/>
          <w:szCs w:val="20"/>
          <w:color w:val="auto"/>
        </w:rPr>
        <w:t xml:space="preserve">”), in form and substance satisfactory to the Agent and its counsel, dated the date that the opinion and negative assurance letter are required to be delivered, modified, as necessary, to relate to the Registration Statement and the Prospectus as then amended or supplemented;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w:t>
      </w:r>
      <w:r>
        <w:rPr>
          <w:rFonts w:ascii="Arial" w:cs="Arial" w:eastAsia="Arial" w:hAnsi="Arial"/>
          <w:sz w:val="20"/>
          <w:szCs w:val="20"/>
          <w:i w:val="1"/>
          <w:iCs w:val="1"/>
          <w:color w:val="auto"/>
        </w:rPr>
        <w:t>however</w:t>
      </w:r>
      <w:r>
        <w:rPr>
          <w:rFonts w:ascii="Arial" w:cs="Arial" w:eastAsia="Arial" w:hAnsi="Arial"/>
          <w:sz w:val="20"/>
          <w:szCs w:val="20"/>
          <w:color w:val="auto"/>
        </w:rPr>
        <w:t>, that in lieu of such opinion and negative assurance letter for subsequent Representation Dates, Company Counsel may furnish the Agent with a letter to the effect that the Agent may rely on a prior opinion or negative assurance letter delivered by such counsel under this Section 7(n) to the same extent as if it were dated the date of such letter (except that statements in such prior opinion or negative assurance letter shall be deemed to relate to the Registration Statement and the Prospectus as amended or supplemented at such Representation Date).</w:t>
      </w:r>
    </w:p>
    <w:p>
      <w:pPr>
        <w:spacing w:after="0" w:line="186" w:lineRule="exact"/>
        <w:rPr>
          <w:sz w:val="20"/>
          <w:szCs w:val="20"/>
          <w:color w:val="auto"/>
        </w:rPr>
      </w:pPr>
    </w:p>
    <w:p>
      <w:pPr>
        <w:ind w:firstLine="757"/>
        <w:spacing w:after="0" w:line="241" w:lineRule="auto"/>
        <w:tabs>
          <w:tab w:leader="none" w:pos="1145" w:val="left"/>
        </w:tabs>
        <w:numPr>
          <w:ilvl w:val="0"/>
          <w:numId w:val="37"/>
        </w:numPr>
        <w:rPr>
          <w:rFonts w:ascii="Arial" w:cs="Arial" w:eastAsia="Arial" w:hAnsi="Arial"/>
          <w:sz w:val="19"/>
          <w:szCs w:val="19"/>
          <w:color w:val="auto"/>
        </w:rPr>
      </w:pPr>
      <w:r>
        <w:rPr>
          <w:rFonts w:ascii="Arial" w:cs="Arial" w:eastAsia="Arial" w:hAnsi="Arial"/>
          <w:sz w:val="19"/>
          <w:szCs w:val="19"/>
          <w:u w:val="single" w:color="auto"/>
          <w:color w:val="auto"/>
        </w:rPr>
        <w:t>Intellectual Property Opinion</w:t>
      </w:r>
      <w:r>
        <w:rPr>
          <w:rFonts w:ascii="Arial" w:cs="Arial" w:eastAsia="Arial" w:hAnsi="Arial"/>
          <w:sz w:val="19"/>
          <w:szCs w:val="19"/>
          <w:color w:val="auto"/>
        </w:rPr>
        <w:t>. On or prior to the First Placement Notice Date and on any date on which the Company is obligated to deliver a certificate pursuant to Section 7(m) for which no waiver is applicable, the Company shall cause to be furnished to the Agent the written opinion of Maschoff Brennan, counsel for the Company with respect to intellectual property matters, or such other intellectual property counsel satisfactory to the Agent (“</w:t>
      </w:r>
      <w:r>
        <w:rPr>
          <w:rFonts w:ascii="Arial" w:cs="Arial" w:eastAsia="Arial" w:hAnsi="Arial"/>
          <w:sz w:val="19"/>
          <w:szCs w:val="19"/>
          <w:b w:val="1"/>
          <w:bCs w:val="1"/>
          <w:u w:val="single" w:color="auto"/>
          <w:color w:val="auto"/>
        </w:rPr>
        <w:t>Intellectual Property Counsel</w:t>
      </w:r>
      <w:r>
        <w:rPr>
          <w:rFonts w:ascii="Arial" w:cs="Arial" w:eastAsia="Arial" w:hAnsi="Arial"/>
          <w:sz w:val="19"/>
          <w:szCs w:val="19"/>
          <w:color w:val="auto"/>
        </w:rPr>
        <w:t xml:space="preserve">”), in form and substance satisfactory to the Agent and its counsel, dated the date that the opinion letter is required to be delivered, modified, as necessary, to relate to the Registration Statement and the Prospectus as then amended or supplemented;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in lieu of such written opinion for subsequent Representation Dates, Intellectual Property Counsel may furnish the Agent with a letter to the effect that the Agent may rely on a prior opinion letter delivered by such counsel under this Section 7(o) to the same extent as if it were dated the date of such opinion letter (except that statements in such prior opinion letter shall be deemed to relate to the Registration Statement and the Prospectus as amended or supplemented at such Representation Date).</w:t>
      </w:r>
    </w:p>
    <w:p>
      <w:pPr>
        <w:spacing w:after="0" w:line="182" w:lineRule="exact"/>
        <w:rPr>
          <w:rFonts w:ascii="Arial" w:cs="Arial" w:eastAsia="Arial" w:hAnsi="Arial"/>
          <w:sz w:val="19"/>
          <w:szCs w:val="19"/>
          <w:color w:val="auto"/>
        </w:rPr>
      </w:pPr>
    </w:p>
    <w:p>
      <w:pPr>
        <w:ind w:right="20" w:firstLine="757"/>
        <w:spacing w:after="0" w:line="239" w:lineRule="auto"/>
        <w:tabs>
          <w:tab w:leader="none" w:pos="1145" w:val="left"/>
        </w:tabs>
        <w:numPr>
          <w:ilvl w:val="0"/>
          <w:numId w:val="37"/>
        </w:numPr>
        <w:rPr>
          <w:rFonts w:ascii="Arial" w:cs="Arial" w:eastAsia="Arial" w:hAnsi="Arial"/>
          <w:sz w:val="19"/>
          <w:szCs w:val="19"/>
          <w:color w:val="auto"/>
        </w:rPr>
      </w:pPr>
      <w:r>
        <w:rPr>
          <w:rFonts w:ascii="Arial" w:cs="Arial" w:eastAsia="Arial" w:hAnsi="Arial"/>
          <w:sz w:val="19"/>
          <w:szCs w:val="19"/>
          <w:u w:val="single" w:color="auto"/>
          <w:color w:val="auto"/>
        </w:rPr>
        <w:t>Comfort Letter</w:t>
      </w:r>
      <w:r>
        <w:rPr>
          <w:rFonts w:ascii="Arial" w:cs="Arial" w:eastAsia="Arial" w:hAnsi="Arial"/>
          <w:sz w:val="19"/>
          <w:szCs w:val="19"/>
          <w:color w:val="auto"/>
        </w:rPr>
        <w:t>. On or prior to the First Placement Notice Date and on any date on which the Company is obligated to deliver a certificate pursuant to Section 7(m) for which no waiver is applicable, the Company shall cause its independent registered public accounting firm (and any other independent accountants whose report is included in the Registration Statement or the Prospectus) to furnish the Agent letters (the “</w:t>
      </w:r>
      <w:r>
        <w:rPr>
          <w:rFonts w:ascii="Arial" w:cs="Arial" w:eastAsia="Arial" w:hAnsi="Arial"/>
          <w:sz w:val="19"/>
          <w:szCs w:val="19"/>
          <w:b w:val="1"/>
          <w:bCs w:val="1"/>
          <w:u w:val="single" w:color="auto"/>
          <w:color w:val="auto"/>
        </w:rPr>
        <w:t>Comfort Letters</w:t>
      </w:r>
      <w:r>
        <w:rPr>
          <w:rFonts w:ascii="Arial" w:cs="Arial" w:eastAsia="Arial" w:hAnsi="Arial"/>
          <w:sz w:val="19"/>
          <w:szCs w:val="19"/>
          <w:color w:val="auto"/>
        </w:rPr>
        <w:t xml:space="preserve">”), dated the date the Comfort Letter is delivered, which shall meet the requirements set forth in this Section 7(p); </w:t>
      </w:r>
      <w:r>
        <w:rPr>
          <w:rFonts w:ascii="Arial" w:cs="Arial" w:eastAsia="Arial" w:hAnsi="Arial"/>
          <w:sz w:val="19"/>
          <w:szCs w:val="19"/>
          <w:i w:val="1"/>
          <w:iCs w:val="1"/>
          <w:color w:val="auto"/>
        </w:rPr>
        <w:t>provided</w:t>
      </w:r>
      <w:r>
        <w:rPr>
          <w:rFonts w:ascii="Arial" w:cs="Arial" w:eastAsia="Arial" w:hAnsi="Arial"/>
          <w:sz w:val="19"/>
          <w:szCs w:val="19"/>
          <w:color w:val="auto"/>
        </w:rPr>
        <w:t>, that if requested by the Agent, the Company shall cause a Comfort Letter to be furnished to the Agent within 10 Trading Days of the occurrence of any material transaction or event that necessitates the filing of additional, pro forma, amended or revised financial statements (including any restatement of previously issued financial statements). Each Comfort Letter shall be in form and substance satisfactory to the Agent and each Comfort Letter from the Company’s independent registered public accounting firm shall (i) confirm that they are an independent registered public accounting firm within the meaning of the Securities Act and the PCAOB, (ii) state, as of such date, the conclusions and findings of such firm with respect to the financial information and other matters ordinarily covered by accountants’ “comfort letters” to underwriters in connection with registered public offerings (the first such letter, the “</w:t>
      </w:r>
      <w:r>
        <w:rPr>
          <w:rFonts w:ascii="Arial" w:cs="Arial" w:eastAsia="Arial" w:hAnsi="Arial"/>
          <w:sz w:val="19"/>
          <w:szCs w:val="19"/>
          <w:b w:val="1"/>
          <w:bCs w:val="1"/>
          <w:u w:val="single" w:color="auto"/>
          <w:color w:val="auto"/>
        </w:rPr>
        <w:t>Initial Comfort</w:t>
      </w:r>
      <w:r>
        <w:rPr>
          <w:rFonts w:ascii="Arial" w:cs="Arial" w:eastAsia="Arial" w:hAnsi="Arial"/>
          <w:sz w:val="19"/>
          <w:szCs w:val="19"/>
          <w:color w:val="auto"/>
        </w:rPr>
        <w:t xml:space="preserve"> </w:t>
      </w:r>
      <w:r>
        <w:rPr>
          <w:rFonts w:ascii="Arial" w:cs="Arial" w:eastAsia="Arial" w:hAnsi="Arial"/>
          <w:sz w:val="19"/>
          <w:szCs w:val="19"/>
          <w:b w:val="1"/>
          <w:bCs w:val="1"/>
          <w:u w:val="single" w:color="auto"/>
          <w:color w:val="auto"/>
        </w:rPr>
        <w:t>Letter</w:t>
      </w:r>
      <w:r>
        <w:rPr>
          <w:rFonts w:ascii="Arial" w:cs="Arial" w:eastAsia="Arial" w:hAnsi="Arial"/>
          <w:sz w:val="19"/>
          <w:szCs w:val="19"/>
          <w:color w:val="auto"/>
        </w:rPr>
        <w:t>”) and (iii) update the Initial Comfort Letter with any information that would have been included in the Initial Comfort Letter had it</w:t>
      </w:r>
      <w:r>
        <w:rPr>
          <w:rFonts w:ascii="Arial" w:cs="Arial" w:eastAsia="Arial" w:hAnsi="Arial"/>
          <w:sz w:val="19"/>
          <w:szCs w:val="19"/>
          <w:b w:val="1"/>
          <w:bCs w:val="1"/>
          <w:color w:val="auto"/>
        </w:rPr>
        <w:t xml:space="preserve"> </w:t>
      </w:r>
      <w:r>
        <w:rPr>
          <w:rFonts w:ascii="Arial" w:cs="Arial" w:eastAsia="Arial" w:hAnsi="Arial"/>
          <w:sz w:val="19"/>
          <w:szCs w:val="19"/>
          <w:color w:val="auto"/>
        </w:rPr>
        <w:t>been given on such date and modified as necessary to relate to the Registration Statement and the Prospectus, as amended and supplemented to the date of such letter.</w:t>
      </w:r>
    </w:p>
    <w:p>
      <w:pPr>
        <w:spacing w:after="0" w:line="193" w:lineRule="exact"/>
        <w:rPr>
          <w:rFonts w:ascii="Arial" w:cs="Arial" w:eastAsia="Arial" w:hAnsi="Arial"/>
          <w:sz w:val="19"/>
          <w:szCs w:val="19"/>
          <w:color w:val="auto"/>
        </w:rPr>
      </w:pPr>
    </w:p>
    <w:p>
      <w:pPr>
        <w:ind w:right="20" w:firstLine="757"/>
        <w:spacing w:after="0" w:line="263" w:lineRule="auto"/>
        <w:tabs>
          <w:tab w:leader="none" w:pos="1145"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Market Activities</w:t>
      </w:r>
      <w:r>
        <w:rPr>
          <w:rFonts w:ascii="Arial" w:cs="Arial" w:eastAsia="Arial" w:hAnsi="Arial"/>
          <w:sz w:val="18"/>
          <w:szCs w:val="18"/>
          <w:color w:val="auto"/>
        </w:rPr>
        <w:t xml:space="preserve">. The Company will not, directly or indirectly, and will cause its officers, directors and Subsidiaries not to (i) take any action designed to cause or result in, or that constitutes or might reasonably be expected to constitute, the stabilization or manipulation of the price of any security of the Company to facilitate the sale or resale of Shares or (ii) sell, bid for, or purchase Shares in violation of Regulation M, or pay anyone any compensation for soliciting purchases of the Placement Shares other than the Agent;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the Company may bid for and purchase Shares in accordance with Rule 10b-18 under the Exchange Act.</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332105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5" w:right="359" w:bottom="1440" w:gutter="0" w:footer="0" w:header="0"/>
        </w:sectPr>
      </w:pPr>
    </w:p>
    <w:bookmarkStart w:id="29" w:name="page30"/>
    <w:bookmarkEnd w:id="29"/>
    <w:p>
      <w:pPr>
        <w:ind w:right="600" w:firstLine="757"/>
        <w:spacing w:after="0" w:line="247" w:lineRule="auto"/>
        <w:tabs>
          <w:tab w:leader="none" w:pos="1145" w:val="left"/>
        </w:tabs>
        <w:numPr>
          <w:ilvl w:val="0"/>
          <w:numId w:val="38"/>
        </w:numPr>
        <w:rPr>
          <w:rFonts w:ascii="Arial" w:cs="Arial" w:eastAsia="Arial" w:hAnsi="Arial"/>
          <w:sz w:val="20"/>
          <w:szCs w:val="20"/>
          <w:color w:val="auto"/>
        </w:rPr>
      </w:pPr>
      <w:r>
        <w:rPr>
          <w:rFonts w:ascii="Arial" w:cs="Arial" w:eastAsia="Arial" w:hAnsi="Arial"/>
          <w:sz w:val="20"/>
          <w:szCs w:val="20"/>
          <w:u w:val="single" w:color="auto"/>
          <w:color w:val="auto"/>
        </w:rPr>
        <w:t>Insurance</w:t>
      </w:r>
      <w:r>
        <w:rPr>
          <w:rFonts w:ascii="Arial" w:cs="Arial" w:eastAsia="Arial" w:hAnsi="Arial"/>
          <w:sz w:val="20"/>
          <w:szCs w:val="20"/>
          <w:color w:val="auto"/>
        </w:rPr>
        <w:t>. The Company and its Subsidiaries shall maintain, or cause to be maintained, insurance in such amounts and covering such risks as is reasonable and customary for the business for which it is engaged.</w:t>
      </w:r>
    </w:p>
    <w:p>
      <w:pPr>
        <w:spacing w:after="0" w:line="175" w:lineRule="exact"/>
        <w:rPr>
          <w:rFonts w:ascii="Arial" w:cs="Arial" w:eastAsia="Arial" w:hAnsi="Arial"/>
          <w:sz w:val="20"/>
          <w:szCs w:val="20"/>
          <w:color w:val="auto"/>
        </w:rPr>
      </w:pPr>
    </w:p>
    <w:p>
      <w:pPr>
        <w:ind w:right="320" w:firstLine="757"/>
        <w:spacing w:after="0" w:line="246" w:lineRule="auto"/>
        <w:tabs>
          <w:tab w:leader="none" w:pos="1145" w:val="left"/>
        </w:tabs>
        <w:numPr>
          <w:ilvl w:val="0"/>
          <w:numId w:val="38"/>
        </w:numPr>
        <w:rPr>
          <w:rFonts w:ascii="Arial" w:cs="Arial" w:eastAsia="Arial" w:hAnsi="Arial"/>
          <w:sz w:val="19"/>
          <w:szCs w:val="19"/>
          <w:color w:val="auto"/>
        </w:rPr>
      </w:pPr>
      <w:r>
        <w:rPr>
          <w:rFonts w:ascii="Arial" w:cs="Arial" w:eastAsia="Arial" w:hAnsi="Arial"/>
          <w:sz w:val="19"/>
          <w:szCs w:val="19"/>
          <w:u w:val="single" w:color="auto"/>
          <w:color w:val="auto"/>
        </w:rPr>
        <w:t>Compliance with Laws</w:t>
      </w:r>
      <w:r>
        <w:rPr>
          <w:rFonts w:ascii="Arial" w:cs="Arial" w:eastAsia="Arial" w:hAnsi="Arial"/>
          <w:sz w:val="19"/>
          <w:szCs w:val="19"/>
          <w:color w:val="auto"/>
        </w:rPr>
        <w:t>. The Company and each of its Subsidiaries shall maintain, or cause to be maintained, all material environmental Permits required by federal, state and local law in order to conduct their businesses as described in the Prospectus, and the Company and each of its Subsidiaries shall conduct their businesses, or cause their businesses to be conducted, in substantial compliance with such Permits and with applicable Environmental Laws, except where the failure to maintain or be in compliance with such Permits could not reasonably be expected to result in a Material Adverse Effect.</w:t>
      </w:r>
    </w:p>
    <w:p>
      <w:pPr>
        <w:spacing w:after="0" w:line="176" w:lineRule="exact"/>
        <w:rPr>
          <w:rFonts w:ascii="Arial" w:cs="Arial" w:eastAsia="Arial" w:hAnsi="Arial"/>
          <w:sz w:val="19"/>
          <w:szCs w:val="19"/>
          <w:color w:val="auto"/>
        </w:rPr>
      </w:pPr>
    </w:p>
    <w:p>
      <w:pPr>
        <w:ind w:firstLine="757"/>
        <w:spacing w:after="0" w:line="237" w:lineRule="auto"/>
        <w:tabs>
          <w:tab w:leader="none" w:pos="1145" w:val="left"/>
        </w:tabs>
        <w:numPr>
          <w:ilvl w:val="0"/>
          <w:numId w:val="38"/>
        </w:numPr>
        <w:rPr>
          <w:rFonts w:ascii="Arial" w:cs="Arial" w:eastAsia="Arial" w:hAnsi="Arial"/>
          <w:sz w:val="20"/>
          <w:szCs w:val="20"/>
          <w:color w:val="auto"/>
        </w:rPr>
      </w:pPr>
      <w:r>
        <w:rPr>
          <w:rFonts w:ascii="Arial" w:cs="Arial" w:eastAsia="Arial" w:hAnsi="Arial"/>
          <w:sz w:val="20"/>
          <w:szCs w:val="20"/>
          <w:u w:val="single" w:color="auto"/>
          <w:color w:val="auto"/>
        </w:rPr>
        <w:t>Investment Company Act</w:t>
      </w:r>
      <w:r>
        <w:rPr>
          <w:rFonts w:ascii="Arial" w:cs="Arial" w:eastAsia="Arial" w:hAnsi="Arial"/>
          <w:sz w:val="20"/>
          <w:szCs w:val="20"/>
          <w:color w:val="auto"/>
        </w:rPr>
        <w:t>. The Company will conduct its affairs in such a manner so as to reasonably ensure that neither it nor any of its Subsidiaries will be or become, at any time prior to the termination of this Agreement, an “investment company,” as such term is defined in the Investment Company Act.</w:t>
      </w:r>
    </w:p>
    <w:p>
      <w:pPr>
        <w:spacing w:after="0" w:line="182" w:lineRule="exact"/>
        <w:rPr>
          <w:rFonts w:ascii="Arial" w:cs="Arial" w:eastAsia="Arial" w:hAnsi="Arial"/>
          <w:sz w:val="20"/>
          <w:szCs w:val="20"/>
          <w:color w:val="auto"/>
        </w:rPr>
      </w:pPr>
    </w:p>
    <w:p>
      <w:pPr>
        <w:ind w:firstLine="757"/>
        <w:spacing w:after="0" w:line="237" w:lineRule="auto"/>
        <w:tabs>
          <w:tab w:leader="none" w:pos="1145" w:val="left"/>
        </w:tabs>
        <w:numPr>
          <w:ilvl w:val="0"/>
          <w:numId w:val="38"/>
        </w:numPr>
        <w:rPr>
          <w:rFonts w:ascii="Arial" w:cs="Arial" w:eastAsia="Arial" w:hAnsi="Arial"/>
          <w:sz w:val="20"/>
          <w:szCs w:val="20"/>
          <w:color w:val="auto"/>
        </w:rPr>
      </w:pPr>
      <w:r>
        <w:rPr>
          <w:rFonts w:ascii="Arial" w:cs="Arial" w:eastAsia="Arial" w:hAnsi="Arial"/>
          <w:sz w:val="20"/>
          <w:szCs w:val="20"/>
          <w:u w:val="single" w:color="auto"/>
          <w:color w:val="auto"/>
        </w:rPr>
        <w:t>Securities Act and Exchange Act</w:t>
      </w:r>
      <w:r>
        <w:rPr>
          <w:rFonts w:ascii="Arial" w:cs="Arial" w:eastAsia="Arial" w:hAnsi="Arial"/>
          <w:sz w:val="20"/>
          <w:szCs w:val="20"/>
          <w:color w:val="auto"/>
        </w:rPr>
        <w:t>. The Company will use its best efforts to comply with all requirements imposed upon it by the Securities Act and the Exchange Act as from time to time in force, so far as necessary to permit the sales of, or dealings in, the Placement Shares as contemplated by the provisions hereof and the Prospectus.</w:t>
      </w:r>
    </w:p>
    <w:p>
      <w:pPr>
        <w:spacing w:after="0" w:line="182" w:lineRule="exact"/>
        <w:rPr>
          <w:rFonts w:ascii="Arial" w:cs="Arial" w:eastAsia="Arial" w:hAnsi="Arial"/>
          <w:sz w:val="20"/>
          <w:szCs w:val="20"/>
          <w:color w:val="auto"/>
        </w:rPr>
      </w:pPr>
    </w:p>
    <w:p>
      <w:pPr>
        <w:ind w:right="140" w:firstLine="757"/>
        <w:spacing w:after="0" w:line="267" w:lineRule="auto"/>
        <w:tabs>
          <w:tab w:leader="none" w:pos="1145"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auto"/>
        </w:rPr>
        <w:t>No Offer to Sell</w:t>
      </w:r>
      <w:r>
        <w:rPr>
          <w:rFonts w:ascii="Arial" w:cs="Arial" w:eastAsia="Arial" w:hAnsi="Arial"/>
          <w:sz w:val="18"/>
          <w:szCs w:val="18"/>
          <w:color w:val="auto"/>
        </w:rPr>
        <w:t>. Other than a free writing prospectus (as defined in Rule 405 under the Securities Act) approved in advance by the Company and the Agent, neither the Agent nor the Company (including its agents and representatives, other than the Agent in its capacity as agent) will make, use, prepare, authorize, approve or refer to any written communication (as defined in Rule 405 under the Securities Act), required to be filed with the Commission, that constitutes an offer to sell or solicitation of an offer to buy Shares hereunder.</w:t>
      </w:r>
    </w:p>
    <w:p>
      <w:pPr>
        <w:spacing w:after="0" w:line="158" w:lineRule="exact"/>
        <w:rPr>
          <w:rFonts w:ascii="Arial" w:cs="Arial" w:eastAsia="Arial" w:hAnsi="Arial"/>
          <w:sz w:val="18"/>
          <w:szCs w:val="18"/>
          <w:color w:val="auto"/>
        </w:rPr>
      </w:pPr>
    </w:p>
    <w:p>
      <w:pPr>
        <w:ind w:right="20" w:firstLine="757"/>
        <w:spacing w:after="0" w:line="241" w:lineRule="auto"/>
        <w:tabs>
          <w:tab w:leader="none" w:pos="1145" w:val="left"/>
        </w:tabs>
        <w:numPr>
          <w:ilvl w:val="0"/>
          <w:numId w:val="38"/>
        </w:numPr>
        <w:rPr>
          <w:rFonts w:ascii="Arial" w:cs="Arial" w:eastAsia="Arial" w:hAnsi="Arial"/>
          <w:sz w:val="19"/>
          <w:szCs w:val="19"/>
          <w:color w:val="auto"/>
        </w:rPr>
      </w:pPr>
      <w:r>
        <w:rPr>
          <w:rFonts w:ascii="Arial" w:cs="Arial" w:eastAsia="Arial" w:hAnsi="Arial"/>
          <w:sz w:val="19"/>
          <w:szCs w:val="19"/>
          <w:u w:val="single" w:color="auto"/>
          <w:color w:val="auto"/>
        </w:rPr>
        <w:t>Blue Sky and Other Qualifications</w:t>
      </w:r>
      <w:r>
        <w:rPr>
          <w:rFonts w:ascii="Arial" w:cs="Arial" w:eastAsia="Arial" w:hAnsi="Arial"/>
          <w:sz w:val="19"/>
          <w:szCs w:val="19"/>
          <w:color w:val="auto"/>
        </w:rPr>
        <w:t xml:space="preserve">. The Company will use its commercially reasonable efforts, in cooperation with the Agent, to qualify the Placement Shares for offering and sale, or to obtain an exemption for the Placement Shares to be offered and sold, under the applicable securities laws of such states and other jurisdictions (domestic or foreign) as the Agent may designate and to maintain such qualifications and exemptions in effect for so long as required for the distribution of the Placement Shares (but in no event for less than one year from the date of this Agreement); </w:t>
      </w:r>
      <w:r>
        <w:rPr>
          <w:rFonts w:ascii="Arial" w:cs="Arial" w:eastAsia="Arial" w:hAnsi="Arial"/>
          <w:sz w:val="19"/>
          <w:szCs w:val="19"/>
          <w:i w:val="1"/>
          <w:iCs w:val="1"/>
          <w:color w:val="auto"/>
        </w:rPr>
        <w:t>provided, however</w:t>
      </w:r>
      <w:r>
        <w:rPr>
          <w:rFonts w:ascii="Arial" w:cs="Arial" w:eastAsia="Arial" w:hAnsi="Arial"/>
          <w:sz w:val="19"/>
          <w:szCs w:val="19"/>
          <w:color w:val="auto"/>
        </w:rPr>
        <w:t>, that the Company shall not be obligated to file any general consent to service of process or to qualify as a foreign corporation or as a dealer in securities in any jurisdiction in which it is not so qualified or to subject itself to taxation in respect of doing business in any jurisdiction in which it is not otherwise so subject. In each jurisdiction in which the Placement Shares have been so qualified or exempt, the Company will file such statements and reports as may be required by the laws of such jurisdiction to continue such qualification or exemption, as the case may be, in effect for so long as required for the distribution of the Placement Shares (but in no event for less than one year from the date of this Agreement).</w:t>
      </w:r>
    </w:p>
    <w:p>
      <w:pPr>
        <w:spacing w:after="0" w:line="182" w:lineRule="exact"/>
        <w:rPr>
          <w:rFonts w:ascii="Arial" w:cs="Arial" w:eastAsia="Arial" w:hAnsi="Arial"/>
          <w:sz w:val="19"/>
          <w:szCs w:val="19"/>
          <w:color w:val="auto"/>
        </w:rPr>
      </w:pPr>
    </w:p>
    <w:p>
      <w:pPr>
        <w:ind w:right="240" w:firstLine="757"/>
        <w:spacing w:after="0" w:line="286" w:lineRule="auto"/>
        <w:tabs>
          <w:tab w:leader="none" w:pos="1145" w:val="left"/>
        </w:tabs>
        <w:numPr>
          <w:ilvl w:val="0"/>
          <w:numId w:val="38"/>
        </w:numPr>
        <w:rPr>
          <w:rFonts w:ascii="Arial" w:cs="Arial" w:eastAsia="Arial" w:hAnsi="Arial"/>
          <w:sz w:val="16"/>
          <w:szCs w:val="16"/>
          <w:color w:val="auto"/>
        </w:rPr>
      </w:pPr>
      <w:r>
        <w:rPr>
          <w:rFonts w:ascii="Arial" w:cs="Arial" w:eastAsia="Arial" w:hAnsi="Arial"/>
          <w:sz w:val="16"/>
          <w:szCs w:val="16"/>
          <w:u w:val="single" w:color="auto"/>
          <w:color w:val="auto"/>
        </w:rPr>
        <w:t>Sarbanes-Oxley Act</w:t>
      </w:r>
      <w:r>
        <w:rPr>
          <w:rFonts w:ascii="Arial" w:cs="Arial" w:eastAsia="Arial" w:hAnsi="Arial"/>
          <w:sz w:val="16"/>
          <w:szCs w:val="16"/>
          <w:color w:val="auto"/>
        </w:rPr>
        <w:t>. The Company will maintain and keep accurate books and records reflecting its assets and maintain internal accounting controls in a manner designed to provide reasonable assurance regarding the reliability of financial reporting and the preparation of financial statements for external purposes in accordance with GAAP and including those policies and procedures that (i) pertain to the maintenance of records that in reasonable detail accurately and fairly reflect the transactions and dispositions of the assets of</w:t>
      </w:r>
    </w:p>
    <w:p>
      <w:pPr>
        <w:spacing w:after="0" w:line="3" w:lineRule="exact"/>
        <w:rPr>
          <w:sz w:val="20"/>
          <w:szCs w:val="20"/>
          <w:color w:val="auto"/>
        </w:rPr>
      </w:pPr>
    </w:p>
    <w:p>
      <w:pPr>
        <w:ind w:right="180"/>
        <w:spacing w:after="0" w:line="237" w:lineRule="auto"/>
        <w:rPr>
          <w:sz w:val="20"/>
          <w:szCs w:val="20"/>
          <w:color w:val="auto"/>
        </w:rPr>
      </w:pPr>
      <w:r>
        <w:rPr>
          <w:rFonts w:ascii="Arial" w:cs="Arial" w:eastAsia="Arial" w:hAnsi="Arial"/>
          <w:sz w:val="19"/>
          <w:szCs w:val="19"/>
          <w:color w:val="auto"/>
        </w:rPr>
        <w:t>the Company, (ii) provide reasonable assurance that transactions are recorded as necessary to permit the preparation of the Company’s financial statements in accordance with GAAP, (iii) that receipts and expenditures of the Company are being made only in accordance with management’s and the Company’s directors’ authorization, and (iv) provide reasonable assurance</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0" w:name="page31"/>
    <w:bookmarkEnd w:id="30"/>
    <w:p>
      <w:pPr>
        <w:ind w:right="20"/>
        <w:spacing w:after="0" w:line="241" w:lineRule="auto"/>
        <w:rPr>
          <w:sz w:val="20"/>
          <w:szCs w:val="20"/>
          <w:color w:val="auto"/>
        </w:rPr>
      </w:pPr>
      <w:r>
        <w:rPr>
          <w:rFonts w:ascii="Arial" w:cs="Arial" w:eastAsia="Arial" w:hAnsi="Arial"/>
          <w:sz w:val="19"/>
          <w:szCs w:val="19"/>
          <w:color w:val="auto"/>
        </w:rPr>
        <w:t>regarding prevention or timely detection of unauthorized acquisition, use or disposition of the Company’s assets that could have a material effect on its financial statements. The Company will maintain such controls and other procedures, including, without limitation, those required by Sections 302 and 906 of the Sarbanes-Oxley Act, and the applicable regulations thereunder that are designed to ensure that information required to be disclosed by the Company in the reports that it files or submits under the Exchange Act is recorded, processed, summarized and reported, within the time periods specified in the Commission’s rules and forms, including, without limitation, controls and procedures designed to ensure that information required to be disclosed by the Company in the reports that it files or submits under the Exchange Act is accumulated and communicated to the Company’s management, including its principal executive officer and principal financial officer, or persons performing similar functions, as appropriate to allow timely decisions regarding required disclosure and to ensure that material information relating to the Company is made known to it by others within the Company, particularly during the period in which such periodic reports are being prepared.</w:t>
      </w:r>
    </w:p>
    <w:p>
      <w:pPr>
        <w:spacing w:after="0" w:line="183" w:lineRule="exact"/>
        <w:rPr>
          <w:sz w:val="20"/>
          <w:szCs w:val="20"/>
          <w:color w:val="auto"/>
        </w:rPr>
      </w:pPr>
    </w:p>
    <w:p>
      <w:pPr>
        <w:ind w:left="1160" w:hanging="403"/>
        <w:spacing w:after="0"/>
        <w:tabs>
          <w:tab w:leader="none" w:pos="1160" w:val="left"/>
        </w:tabs>
        <w:numPr>
          <w:ilvl w:val="0"/>
          <w:numId w:val="39"/>
        </w:numPr>
        <w:rPr>
          <w:rFonts w:ascii="Arial" w:cs="Arial" w:eastAsia="Arial" w:hAnsi="Arial"/>
          <w:sz w:val="20"/>
          <w:szCs w:val="20"/>
          <w:color w:val="auto"/>
        </w:rPr>
      </w:pPr>
      <w:r>
        <w:rPr>
          <w:rFonts w:ascii="Arial" w:cs="Arial" w:eastAsia="Arial" w:hAnsi="Arial"/>
          <w:sz w:val="20"/>
          <w:szCs w:val="20"/>
          <w:color w:val="auto"/>
        </w:rPr>
        <w:t>[Reserved.]</w:t>
      </w:r>
    </w:p>
    <w:p>
      <w:pPr>
        <w:spacing w:after="0" w:line="202" w:lineRule="exact"/>
        <w:rPr>
          <w:rFonts w:ascii="Arial" w:cs="Arial" w:eastAsia="Arial" w:hAnsi="Arial"/>
          <w:sz w:val="20"/>
          <w:szCs w:val="20"/>
          <w:color w:val="auto"/>
        </w:rPr>
      </w:pPr>
    </w:p>
    <w:p>
      <w:pPr>
        <w:ind w:firstLine="757"/>
        <w:spacing w:after="0" w:line="256" w:lineRule="auto"/>
        <w:tabs>
          <w:tab w:leader="none" w:pos="1145"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auto"/>
        </w:rPr>
        <w:t>Renewal of Registration Statement.</w:t>
      </w:r>
      <w:r>
        <w:rPr>
          <w:rFonts w:ascii="Arial" w:cs="Arial" w:eastAsia="Arial" w:hAnsi="Arial"/>
          <w:sz w:val="18"/>
          <w:szCs w:val="18"/>
          <w:color w:val="auto"/>
        </w:rPr>
        <w:t xml:space="preserve"> If, immediately prior to the third anniversary of the initial effective date of the Registration Statement (the “</w:t>
      </w:r>
      <w:r>
        <w:rPr>
          <w:rFonts w:ascii="Arial" w:cs="Arial" w:eastAsia="Arial" w:hAnsi="Arial"/>
          <w:sz w:val="18"/>
          <w:szCs w:val="18"/>
          <w:b w:val="1"/>
          <w:bCs w:val="1"/>
          <w:u w:val="single" w:color="auto"/>
          <w:color w:val="auto"/>
        </w:rPr>
        <w:t>Renewal Date</w:t>
      </w:r>
      <w:r>
        <w:rPr>
          <w:rFonts w:ascii="Arial" w:cs="Arial" w:eastAsia="Arial" w:hAnsi="Arial"/>
          <w:sz w:val="18"/>
          <w:szCs w:val="18"/>
          <w:color w:val="auto"/>
        </w:rPr>
        <w:t>”), any of the Placement Shares remain unsold and this Agreement has not been terminated, the Company will, prior to the Renewal Date, file a new shelf registration statement or, if applicable, an automatic shelf registration statement relating to the Shares that may be offered and sold pursuant to this Agreement (which shall include a prospectus reflecting the number or amount of Placement Shares that may be offered and sold pursuant to this Agreement), in a form satisfactory to the Agent and its counsel, and, if such registration statement is not an automatic shelf registration statement, will use its best efforts to cause such registration statement to be declared effective within 180 days after the Renewal Date. The Company will take all other reasonable actions necessary or appropriate to permit the public offer and sale of the Placement Shares to continue as contemplated in the expired registration statement and this Agreement. From and after the effective date thereof, references herein to the “Registration Statement” shall include such new shelf registration statement or such new automatic shelf registration statement, as the case may be.</w:t>
      </w:r>
    </w:p>
    <w:p>
      <w:pPr>
        <w:spacing w:after="0" w:line="168" w:lineRule="exact"/>
        <w:rPr>
          <w:sz w:val="20"/>
          <w:szCs w:val="20"/>
          <w:color w:val="auto"/>
        </w:rPr>
      </w:pPr>
    </w:p>
    <w:p>
      <w:pPr>
        <w:ind w:right="100" w:firstLine="757"/>
        <w:spacing w:after="0" w:line="256" w:lineRule="auto"/>
        <w:tabs>
          <w:tab w:leader="none" w:pos="1145"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t>General Instruction I.B.6. of Form S-3</w:t>
      </w:r>
      <w:r>
        <w:rPr>
          <w:rFonts w:ascii="Arial" w:cs="Arial" w:eastAsia="Arial" w:hAnsi="Arial"/>
          <w:sz w:val="18"/>
          <w:szCs w:val="18"/>
          <w:color w:val="auto"/>
        </w:rPr>
        <w:t xml:space="preserve">. If, from and after the date of this Agreement, the Company is no longer eligible to use Form S-3 (including pursuant to General Instruction I.B.6.) at the time it files with the Commission an annual report on Form 10-K or any post-effective amendment to the Registration Statement, then it shall promptly notify the Agent and, within two Business Days after the date of filing of such annual report on Form 10-K or amendment to the Registration Statement, the Company shall file a new prospectus supplement with the Commission reflecting the number of Shares available to be offered and sold by the Company under this Agreement pursuant to General Instruction I.B.6. of Form S-3;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the Company may delay the filing of any such prospectus supplement for up to 30 days if, in the reasonable judgment of the Company, it is in the best interest of the Company to do so, provided that no Placement Notice is in effect or pending during such time. Until such time as the Company shall have corrected such misstatement or omission or effected such compliance, the Company shall not notify the Agent to resume the offering of Placement Shares.</w:t>
      </w:r>
    </w:p>
    <w:p>
      <w:pPr>
        <w:spacing w:after="0" w:line="172" w:lineRule="exact"/>
        <w:rPr>
          <w:rFonts w:ascii="Arial" w:cs="Arial" w:eastAsia="Arial" w:hAnsi="Arial"/>
          <w:sz w:val="18"/>
          <w:szCs w:val="18"/>
          <w:color w:val="auto"/>
        </w:rPr>
      </w:pPr>
    </w:p>
    <w:p>
      <w:pPr>
        <w:ind w:right="320" w:firstLine="757"/>
        <w:spacing w:after="0" w:line="246" w:lineRule="auto"/>
        <w:tabs>
          <w:tab w:leader="none" w:pos="1145" w:val="left"/>
        </w:tabs>
        <w:numPr>
          <w:ilvl w:val="0"/>
          <w:numId w:val="40"/>
        </w:numPr>
        <w:rPr>
          <w:rFonts w:ascii="Arial" w:cs="Arial" w:eastAsia="Arial" w:hAnsi="Arial"/>
          <w:sz w:val="20"/>
          <w:szCs w:val="20"/>
          <w:color w:val="auto"/>
        </w:rPr>
      </w:pPr>
      <w:r>
        <w:rPr>
          <w:rFonts w:ascii="Arial" w:cs="Arial" w:eastAsia="Arial" w:hAnsi="Arial"/>
          <w:sz w:val="20"/>
          <w:szCs w:val="20"/>
          <w:u w:val="single" w:color="auto"/>
          <w:color w:val="auto"/>
        </w:rPr>
        <w:t>Tax Indemnity</w:t>
      </w:r>
      <w:r>
        <w:rPr>
          <w:rFonts w:ascii="Arial" w:cs="Arial" w:eastAsia="Arial" w:hAnsi="Arial"/>
          <w:sz w:val="20"/>
          <w:szCs w:val="20"/>
          <w:color w:val="auto"/>
        </w:rPr>
        <w:t>. The Company will indemnify and hold harmless the Agent against any documentary, stamp or similar issue tax, including any interest and penalties, on the issue and sale of the Placement Shares.</w:t>
      </w:r>
    </w:p>
    <w:p>
      <w:pPr>
        <w:spacing w:after="0" w:line="176" w:lineRule="exact"/>
        <w:rPr>
          <w:rFonts w:ascii="Arial" w:cs="Arial" w:eastAsia="Arial" w:hAnsi="Arial"/>
          <w:sz w:val="20"/>
          <w:szCs w:val="20"/>
          <w:color w:val="auto"/>
        </w:rPr>
      </w:pPr>
    </w:p>
    <w:p>
      <w:pPr>
        <w:ind w:left="5520" w:right="120" w:hanging="4763"/>
        <w:spacing w:after="0" w:line="472" w:lineRule="auto"/>
        <w:tabs>
          <w:tab w:leader="none" w:pos="1148" w:val="left"/>
        </w:tabs>
        <w:numPr>
          <w:ilvl w:val="0"/>
          <w:numId w:val="40"/>
        </w:numPr>
        <w:rPr>
          <w:rFonts w:ascii="Arial" w:cs="Arial" w:eastAsia="Arial" w:hAnsi="Arial"/>
          <w:sz w:val="20"/>
          <w:szCs w:val="20"/>
          <w:color w:val="auto"/>
        </w:rPr>
      </w:pPr>
      <w:r>
        <w:rPr>
          <w:rFonts w:ascii="Arial" w:cs="Arial" w:eastAsia="Arial" w:hAnsi="Arial"/>
          <w:sz w:val="20"/>
          <w:szCs w:val="20"/>
          <w:u w:val="single" w:color="auto"/>
          <w:color w:val="auto"/>
        </w:rPr>
        <w:t>Transfer Agent</w:t>
      </w:r>
      <w:r>
        <w:rPr>
          <w:rFonts w:ascii="Arial" w:cs="Arial" w:eastAsia="Arial" w:hAnsi="Arial"/>
          <w:sz w:val="20"/>
          <w:szCs w:val="20"/>
          <w:color w:val="auto"/>
        </w:rPr>
        <w:t>. The Company has engaged and will maintain, at its sole expense, a transfer agent and registrar for the Shares.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177800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ind w:right="60" w:firstLine="757"/>
        <w:spacing w:after="0" w:line="267" w:lineRule="auto"/>
        <w:tabs>
          <w:tab w:leader="none" w:pos="1145"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Conditions to the Agent’s Obligations</w:t>
      </w:r>
      <w:r>
        <w:rPr>
          <w:rFonts w:ascii="Arial" w:cs="Arial" w:eastAsia="Arial" w:hAnsi="Arial"/>
          <w:sz w:val="18"/>
          <w:szCs w:val="18"/>
          <w:color w:val="auto"/>
        </w:rPr>
        <w:t>. The obligations of the Agent hereunder with respect to a Placement will be subject to the continuing accuracy and completeness of the representations and warranties made by the Company herein, to the due performance by the Company of its obligations hereunder, to the completion by the Agent of a due diligence review satisfactory to the Agent in its reasonable judgment, and to the continuing satisfaction (or waiver by the Agent in its sole discretion) of the following additional conditions:</w:t>
      </w:r>
    </w:p>
    <w:p>
      <w:pPr>
        <w:spacing w:after="0" w:line="160" w:lineRule="exact"/>
        <w:rPr>
          <w:sz w:val="20"/>
          <w:szCs w:val="20"/>
          <w:color w:val="auto"/>
        </w:rPr>
      </w:pPr>
    </w:p>
    <w:p>
      <w:pPr>
        <w:ind w:firstLine="757"/>
        <w:spacing w:after="0" w:line="230" w:lineRule="auto"/>
        <w:tabs>
          <w:tab w:leader="none" w:pos="1145" w:val="left"/>
        </w:tabs>
        <w:numPr>
          <w:ilvl w:val="0"/>
          <w:numId w:val="42"/>
        </w:numPr>
        <w:rPr>
          <w:rFonts w:ascii="Arial" w:cs="Arial" w:eastAsia="Arial" w:hAnsi="Arial"/>
          <w:sz w:val="20"/>
          <w:szCs w:val="20"/>
          <w:color w:val="auto"/>
        </w:rPr>
      </w:pPr>
      <w:r>
        <w:rPr>
          <w:rFonts w:ascii="Arial" w:cs="Arial" w:eastAsia="Arial" w:hAnsi="Arial"/>
          <w:sz w:val="20"/>
          <w:szCs w:val="20"/>
          <w:u w:val="single" w:color="auto"/>
          <w:color w:val="auto"/>
        </w:rPr>
        <w:t>Registration Statement Effective</w:t>
      </w:r>
      <w:r>
        <w:rPr>
          <w:rFonts w:ascii="Arial" w:cs="Arial" w:eastAsia="Arial" w:hAnsi="Arial"/>
          <w:sz w:val="20"/>
          <w:szCs w:val="20"/>
          <w:color w:val="auto"/>
        </w:rPr>
        <w:t>. The Registration Statement shall be effective and shall be available for all offers and sales of Placement Shares (i) that have been issued pursuant to all prior Placement Notices and (ii) that will be issued pursuant to any Placement Notice. The Company shall have paid the required Commission filing fees relating to the Placement Shares within the time required by Rule 456(b)(1)(i) under the Securities Act without regard to the proviso therein and otherwise in accordance with Rules 456(b) and 457(r) under the Securities Act (including, if applicable, by updating the “Calculation of Registration Fee” table in accordance with Rule 456(b)(1)(ii) either in a post-effective amendment to the Registration Statement or on the cover page of a prospectus filed pursuant to Rule 424(b) under the Securities Act).</w:t>
      </w:r>
    </w:p>
    <w:p>
      <w:pPr>
        <w:spacing w:after="0" w:line="185" w:lineRule="exact"/>
        <w:rPr>
          <w:rFonts w:ascii="Arial" w:cs="Arial" w:eastAsia="Arial" w:hAnsi="Arial"/>
          <w:sz w:val="20"/>
          <w:szCs w:val="20"/>
          <w:color w:val="auto"/>
        </w:rPr>
      </w:pPr>
    </w:p>
    <w:p>
      <w:pPr>
        <w:jc w:val="both"/>
        <w:ind w:right="440" w:firstLine="757"/>
        <w:spacing w:after="0" w:line="237" w:lineRule="auto"/>
        <w:tabs>
          <w:tab w:leader="none" w:pos="1145" w:val="left"/>
        </w:tabs>
        <w:numPr>
          <w:ilvl w:val="0"/>
          <w:numId w:val="42"/>
        </w:numPr>
        <w:rPr>
          <w:rFonts w:ascii="Arial" w:cs="Arial" w:eastAsia="Arial" w:hAnsi="Arial"/>
          <w:sz w:val="20"/>
          <w:szCs w:val="20"/>
          <w:color w:val="auto"/>
        </w:rPr>
      </w:pPr>
      <w:r>
        <w:rPr>
          <w:rFonts w:ascii="Arial" w:cs="Arial" w:eastAsia="Arial" w:hAnsi="Arial"/>
          <w:sz w:val="20"/>
          <w:szCs w:val="20"/>
          <w:u w:val="single" w:color="auto"/>
          <w:color w:val="auto"/>
        </w:rPr>
        <w:t>Prospectus Supplement</w:t>
      </w:r>
      <w:r>
        <w:rPr>
          <w:rFonts w:ascii="Arial" w:cs="Arial" w:eastAsia="Arial" w:hAnsi="Arial"/>
          <w:sz w:val="20"/>
          <w:szCs w:val="20"/>
          <w:color w:val="auto"/>
        </w:rPr>
        <w:t>. The Company shall have filed with the Commission the Prospectus Supplement pursuant to Rule 424(b) under the Securities Act not later than the Commission’s close of business on the second Business Day following the date of this Agreement.</w:t>
      </w:r>
    </w:p>
    <w:p>
      <w:pPr>
        <w:spacing w:after="0" w:line="182" w:lineRule="exact"/>
        <w:rPr>
          <w:rFonts w:ascii="Arial" w:cs="Arial" w:eastAsia="Arial" w:hAnsi="Arial"/>
          <w:sz w:val="20"/>
          <w:szCs w:val="20"/>
          <w:color w:val="auto"/>
        </w:rPr>
      </w:pPr>
    </w:p>
    <w:p>
      <w:pPr>
        <w:ind w:right="20" w:firstLine="757"/>
        <w:spacing w:after="0" w:line="289" w:lineRule="auto"/>
        <w:tabs>
          <w:tab w:leader="none" w:pos="1145" w:val="left"/>
        </w:tabs>
        <w:numPr>
          <w:ilvl w:val="0"/>
          <w:numId w:val="42"/>
        </w:numPr>
        <w:rPr>
          <w:rFonts w:ascii="Arial" w:cs="Arial" w:eastAsia="Arial" w:hAnsi="Arial"/>
          <w:sz w:val="16"/>
          <w:szCs w:val="16"/>
          <w:color w:val="auto"/>
        </w:rPr>
      </w:pPr>
      <w:r>
        <w:rPr>
          <w:rFonts w:ascii="Arial" w:cs="Arial" w:eastAsia="Arial" w:hAnsi="Arial"/>
          <w:sz w:val="16"/>
          <w:szCs w:val="16"/>
          <w:u w:val="single" w:color="auto"/>
          <w:color w:val="auto"/>
        </w:rPr>
        <w:t>No Material Notices</w:t>
      </w:r>
      <w:r>
        <w:rPr>
          <w:rFonts w:ascii="Arial" w:cs="Arial" w:eastAsia="Arial" w:hAnsi="Arial"/>
          <w:sz w:val="16"/>
          <w:szCs w:val="16"/>
          <w:color w:val="auto"/>
        </w:rPr>
        <w:t>. None of the following events shall have occurred and be continuing: (i) receipt by the Company or any of its Subsidiaries of any request for additional information from the Commission or any other federal or state governmental authority during the period of effectiveness of the Registration Statement, the response to which would require any post-effective amendments or supplements to the Registration Statement or the Prospectus; (ii) the issuance by the Commission or any other federal or state governmental authority of any stop order suspending the effectiveness of the Registration Statement or the initiation of any proceedings for that purpose; (iii) receipt by the Company or any of its Subsidiaries of any notification with respect to the suspension of the qualification or exemption from qualification of any of the Placement Shares for sale in any jurisdiction or the initiation or threatening of any proceeding for such purpose; or (iv) the occurrence of any event that makes any material statement made in the Registration Statement or the Prospectus or any material Incorporated Document untrue in any material respect or that requires the making of any changes in the Registration Statement, the Prospectus or Incorporated Documents so that, in the case of the Registration Statement, it will not contain any untrue statement of a material fact or omit to state any material fact required to be stated therein or necessary to make the statements therein not misleading and, in the case of the Prospectus, so that it will not contain any untrue statement of a material fact or omit to state any material fact required to be stated therein or necessary to make the statements therein, in the light of the circumstances under which they were made, not misleading.</w:t>
      </w:r>
    </w:p>
    <w:p>
      <w:pPr>
        <w:spacing w:after="0" w:line="365" w:lineRule="exact"/>
        <w:rPr>
          <w:rFonts w:ascii="Arial" w:cs="Arial" w:eastAsia="Arial" w:hAnsi="Arial"/>
          <w:sz w:val="16"/>
          <w:szCs w:val="16"/>
          <w:color w:val="auto"/>
        </w:rPr>
      </w:pPr>
    </w:p>
    <w:p>
      <w:pPr>
        <w:ind w:right="100" w:firstLine="757"/>
        <w:spacing w:after="0" w:line="234" w:lineRule="auto"/>
        <w:tabs>
          <w:tab w:leader="none" w:pos="1145" w:val="left"/>
        </w:tabs>
        <w:numPr>
          <w:ilvl w:val="0"/>
          <w:numId w:val="42"/>
        </w:numPr>
        <w:rPr>
          <w:rFonts w:ascii="Arial" w:cs="Arial" w:eastAsia="Arial" w:hAnsi="Arial"/>
          <w:sz w:val="20"/>
          <w:szCs w:val="20"/>
          <w:color w:val="auto"/>
        </w:rPr>
      </w:pPr>
      <w:r>
        <w:rPr>
          <w:rFonts w:ascii="Arial" w:cs="Arial" w:eastAsia="Arial" w:hAnsi="Arial"/>
          <w:sz w:val="20"/>
          <w:szCs w:val="20"/>
          <w:u w:val="single" w:color="auto"/>
          <w:color w:val="auto"/>
        </w:rPr>
        <w:t>No Misstatement or Material Omission</w:t>
      </w:r>
      <w:r>
        <w:rPr>
          <w:rFonts w:ascii="Arial" w:cs="Arial" w:eastAsia="Arial" w:hAnsi="Arial"/>
          <w:sz w:val="20"/>
          <w:szCs w:val="20"/>
          <w:color w:val="auto"/>
        </w:rPr>
        <w:t>. The Agent shall not have advised the Company that the Registration Statement or Prospectus, or any amendment or supplement thereto, contains an untrue statement of fact that in the Agent’s opinion is material, or omits to state a fact that in the Agent’s opinion is material and is required to be stated therein or is necessary to make the statements therein not misleading.</w:t>
      </w:r>
    </w:p>
    <w:p>
      <w:pPr>
        <w:spacing w:after="0" w:line="183" w:lineRule="exact"/>
        <w:rPr>
          <w:rFonts w:ascii="Arial" w:cs="Arial" w:eastAsia="Arial" w:hAnsi="Arial"/>
          <w:sz w:val="20"/>
          <w:szCs w:val="20"/>
          <w:color w:val="auto"/>
        </w:rPr>
      </w:pPr>
    </w:p>
    <w:p>
      <w:pPr>
        <w:ind w:left="1160" w:hanging="403"/>
        <w:spacing w:after="0"/>
        <w:tabs>
          <w:tab w:leader="none" w:pos="1160" w:val="left"/>
        </w:tabs>
        <w:numPr>
          <w:ilvl w:val="0"/>
          <w:numId w:val="42"/>
        </w:numPr>
        <w:rPr>
          <w:rFonts w:ascii="Arial" w:cs="Arial" w:eastAsia="Arial" w:hAnsi="Arial"/>
          <w:sz w:val="20"/>
          <w:szCs w:val="20"/>
          <w:color w:val="auto"/>
        </w:rPr>
      </w:pPr>
      <w:r>
        <w:rPr>
          <w:rFonts w:ascii="Arial" w:cs="Arial" w:eastAsia="Arial" w:hAnsi="Arial"/>
          <w:sz w:val="20"/>
          <w:szCs w:val="20"/>
          <w:u w:val="single" w:color="auto"/>
          <w:color w:val="auto"/>
        </w:rPr>
        <w:t>Material Changes</w:t>
      </w:r>
      <w:r>
        <w:rPr>
          <w:rFonts w:ascii="Arial" w:cs="Arial" w:eastAsia="Arial" w:hAnsi="Arial"/>
          <w:sz w:val="20"/>
          <w:szCs w:val="20"/>
          <w:color w:val="auto"/>
        </w:rPr>
        <w:t>. Except as contemplated in the Prospectus, or disclosed in the Company’s reports filed with the</w:t>
      </w:r>
    </w:p>
    <w:p>
      <w:pPr>
        <w:spacing w:after="0" w:line="2" w:lineRule="exact"/>
        <w:rPr>
          <w:sz w:val="20"/>
          <w:szCs w:val="20"/>
          <w:color w:val="auto"/>
        </w:rPr>
      </w:pPr>
    </w:p>
    <w:p>
      <w:pPr>
        <w:ind w:right="120"/>
        <w:spacing w:after="0" w:line="237" w:lineRule="auto"/>
        <w:rPr>
          <w:sz w:val="20"/>
          <w:szCs w:val="20"/>
          <w:color w:val="auto"/>
        </w:rPr>
      </w:pPr>
      <w:r>
        <w:rPr>
          <w:rFonts w:ascii="Arial" w:cs="Arial" w:eastAsia="Arial" w:hAnsi="Arial"/>
          <w:sz w:val="19"/>
          <w:szCs w:val="19"/>
          <w:color w:val="auto"/>
        </w:rPr>
        <w:t>Commission, there shall not have been any material adverse change, on a consolidated basis, in the authorized capital stock of the Company or any Material Adverse Effect or any development that could reasonably be expected to result in a Material Adverse Effect, or any downgrading in or withdrawal of the rating assigned to any of the Company’s securities (other than asset</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2" w:name="page33"/>
    <w:bookmarkEnd w:id="32"/>
    <w:p>
      <w:pPr>
        <w:ind w:right="300"/>
        <w:spacing w:after="0" w:line="267" w:lineRule="auto"/>
        <w:rPr>
          <w:sz w:val="20"/>
          <w:szCs w:val="20"/>
          <w:color w:val="auto"/>
        </w:rPr>
      </w:pPr>
      <w:r>
        <w:rPr>
          <w:rFonts w:ascii="Arial" w:cs="Arial" w:eastAsia="Arial" w:hAnsi="Arial"/>
          <w:sz w:val="18"/>
          <w:szCs w:val="18"/>
          <w:color w:val="auto"/>
        </w:rPr>
        <w:t>backed securities), if any, by any rating organization or a public announcement by any rating organization that it has under surveillance or review its rating of any of the Company’s securities (other than asset backed securities), if any, the effect of which, in the judgment of the Agent (without relieving the Company of any obligation or liability it may otherwise have), is so material as to make it impracticable or inadvisable to proceed with the offering of the Placement Shares on the terms and in the manner contemplated in the Prospectus.</w:t>
      </w:r>
    </w:p>
    <w:p>
      <w:pPr>
        <w:spacing w:after="0" w:line="160" w:lineRule="exact"/>
        <w:rPr>
          <w:sz w:val="20"/>
          <w:szCs w:val="20"/>
          <w:color w:val="auto"/>
        </w:rPr>
      </w:pPr>
    </w:p>
    <w:p>
      <w:pPr>
        <w:jc w:val="both"/>
        <w:ind w:right="160" w:firstLine="757"/>
        <w:spacing w:after="0" w:line="234" w:lineRule="auto"/>
        <w:tabs>
          <w:tab w:leader="none" w:pos="1145" w:val="left"/>
        </w:tabs>
        <w:numPr>
          <w:ilvl w:val="0"/>
          <w:numId w:val="43"/>
        </w:numPr>
        <w:rPr>
          <w:rFonts w:ascii="Arial" w:cs="Arial" w:eastAsia="Arial" w:hAnsi="Arial"/>
          <w:sz w:val="20"/>
          <w:szCs w:val="20"/>
          <w:color w:val="auto"/>
        </w:rPr>
      </w:pPr>
      <w:r>
        <w:rPr>
          <w:rFonts w:ascii="Arial" w:cs="Arial" w:eastAsia="Arial" w:hAnsi="Arial"/>
          <w:sz w:val="20"/>
          <w:szCs w:val="20"/>
          <w:u w:val="single" w:color="auto"/>
          <w:color w:val="auto"/>
        </w:rPr>
        <w:t>Company Counsel Legal Opinions</w:t>
      </w:r>
      <w:r>
        <w:rPr>
          <w:rFonts w:ascii="Arial" w:cs="Arial" w:eastAsia="Arial" w:hAnsi="Arial"/>
          <w:sz w:val="20"/>
          <w:szCs w:val="20"/>
          <w:color w:val="auto"/>
        </w:rPr>
        <w:t>. The Agent shall have received the opinions and negative assurance letters, as applicable, of Company Counsel and Intellectual Property Counsel required to be delivered pursuant to Section 7(n) and Section 7(o), as applicable, on or before the date on which such delivery of such opinions and negative assurance letters are required pursuant to Section 7(n) and Section 7(o), as applicable.</w:t>
      </w:r>
    </w:p>
    <w:p>
      <w:pPr>
        <w:spacing w:after="0" w:line="183" w:lineRule="exact"/>
        <w:rPr>
          <w:rFonts w:ascii="Arial" w:cs="Arial" w:eastAsia="Arial" w:hAnsi="Arial"/>
          <w:sz w:val="20"/>
          <w:szCs w:val="20"/>
          <w:color w:val="auto"/>
        </w:rPr>
      </w:pPr>
    </w:p>
    <w:p>
      <w:pPr>
        <w:jc w:val="both"/>
        <w:ind w:right="120" w:firstLine="757"/>
        <w:spacing w:after="0" w:line="234" w:lineRule="auto"/>
        <w:tabs>
          <w:tab w:leader="none" w:pos="1145" w:val="left"/>
        </w:tabs>
        <w:numPr>
          <w:ilvl w:val="0"/>
          <w:numId w:val="43"/>
        </w:numPr>
        <w:rPr>
          <w:rFonts w:ascii="Arial" w:cs="Arial" w:eastAsia="Arial" w:hAnsi="Arial"/>
          <w:sz w:val="20"/>
          <w:szCs w:val="20"/>
          <w:color w:val="auto"/>
        </w:rPr>
      </w:pPr>
      <w:r>
        <w:rPr>
          <w:rFonts w:ascii="Arial" w:cs="Arial" w:eastAsia="Arial" w:hAnsi="Arial"/>
          <w:sz w:val="20"/>
          <w:szCs w:val="20"/>
          <w:u w:val="single" w:color="auto"/>
          <w:color w:val="auto"/>
        </w:rPr>
        <w:t>Agent’s Counsel Legal Opinion</w:t>
      </w:r>
      <w:r>
        <w:rPr>
          <w:rFonts w:ascii="Arial" w:cs="Arial" w:eastAsia="Arial" w:hAnsi="Arial"/>
          <w:sz w:val="20"/>
          <w:szCs w:val="20"/>
          <w:color w:val="auto"/>
        </w:rPr>
        <w:t>. The Agent shall have received from Covington &amp; Burling LLP, counsel for the Agent, such opinion or opinions, on or before the date on which the delivery of the Company Counsel legal opinion is required pursuant to Section 7(n), with respect to such matters as the Agent may reasonably require, and the Company shall have furnished to such counsel such documents as they may request to enable them to pass upon such matters.</w:t>
      </w:r>
    </w:p>
    <w:p>
      <w:pPr>
        <w:spacing w:after="0" w:line="183" w:lineRule="exact"/>
        <w:rPr>
          <w:rFonts w:ascii="Arial" w:cs="Arial" w:eastAsia="Arial" w:hAnsi="Arial"/>
          <w:sz w:val="20"/>
          <w:szCs w:val="20"/>
          <w:color w:val="auto"/>
        </w:rPr>
      </w:pPr>
    </w:p>
    <w:p>
      <w:pPr>
        <w:ind w:right="440" w:firstLine="757"/>
        <w:spacing w:after="0" w:line="246" w:lineRule="auto"/>
        <w:tabs>
          <w:tab w:leader="none" w:pos="1145" w:val="left"/>
        </w:tabs>
        <w:numPr>
          <w:ilvl w:val="0"/>
          <w:numId w:val="43"/>
        </w:numPr>
        <w:rPr>
          <w:rFonts w:ascii="Arial" w:cs="Arial" w:eastAsia="Arial" w:hAnsi="Arial"/>
          <w:sz w:val="20"/>
          <w:szCs w:val="20"/>
          <w:color w:val="auto"/>
        </w:rPr>
      </w:pPr>
      <w:r>
        <w:rPr>
          <w:rFonts w:ascii="Arial" w:cs="Arial" w:eastAsia="Arial" w:hAnsi="Arial"/>
          <w:sz w:val="20"/>
          <w:szCs w:val="20"/>
          <w:u w:val="single" w:color="auto"/>
          <w:color w:val="auto"/>
        </w:rPr>
        <w:t>Comfort Letter</w:t>
      </w:r>
      <w:r>
        <w:rPr>
          <w:rFonts w:ascii="Arial" w:cs="Arial" w:eastAsia="Arial" w:hAnsi="Arial"/>
          <w:sz w:val="20"/>
          <w:szCs w:val="20"/>
          <w:color w:val="auto"/>
        </w:rPr>
        <w:t>. The Agent shall have received the Comfort Letter required to be delivered pursuant to Section 7(p) on or before the date on which such delivery of such Comfort Letter is required pursuant to Section 7(p).</w:t>
      </w:r>
    </w:p>
    <w:p>
      <w:pPr>
        <w:spacing w:after="0" w:line="176" w:lineRule="exact"/>
        <w:rPr>
          <w:rFonts w:ascii="Arial" w:cs="Arial" w:eastAsia="Arial" w:hAnsi="Arial"/>
          <w:sz w:val="20"/>
          <w:szCs w:val="20"/>
          <w:color w:val="auto"/>
        </w:rPr>
      </w:pPr>
    </w:p>
    <w:p>
      <w:pPr>
        <w:ind w:right="120" w:firstLine="757"/>
        <w:spacing w:after="0" w:line="246" w:lineRule="auto"/>
        <w:tabs>
          <w:tab w:leader="none" w:pos="1145" w:val="left"/>
        </w:tabs>
        <w:numPr>
          <w:ilvl w:val="0"/>
          <w:numId w:val="43"/>
        </w:numPr>
        <w:rPr>
          <w:rFonts w:ascii="Arial" w:cs="Arial" w:eastAsia="Arial" w:hAnsi="Arial"/>
          <w:sz w:val="20"/>
          <w:szCs w:val="20"/>
          <w:color w:val="auto"/>
        </w:rPr>
      </w:pPr>
      <w:r>
        <w:rPr>
          <w:rFonts w:ascii="Arial" w:cs="Arial" w:eastAsia="Arial" w:hAnsi="Arial"/>
          <w:sz w:val="20"/>
          <w:szCs w:val="20"/>
          <w:u w:val="single" w:color="auto"/>
          <w:color w:val="auto"/>
        </w:rPr>
        <w:t>Representation Certificate</w:t>
      </w:r>
      <w:r>
        <w:rPr>
          <w:rFonts w:ascii="Arial" w:cs="Arial" w:eastAsia="Arial" w:hAnsi="Arial"/>
          <w:sz w:val="20"/>
          <w:szCs w:val="20"/>
          <w:color w:val="auto"/>
        </w:rPr>
        <w:t>. The Agent shall have received the certificate required to be delivered pursuant to Section 7(m) on or before the date on which delivery of such certificate is required pursuant to Section 7(m).</w:t>
      </w:r>
    </w:p>
    <w:p>
      <w:pPr>
        <w:spacing w:after="0" w:line="176" w:lineRule="exact"/>
        <w:rPr>
          <w:rFonts w:ascii="Arial" w:cs="Arial" w:eastAsia="Arial" w:hAnsi="Arial"/>
          <w:sz w:val="20"/>
          <w:szCs w:val="20"/>
          <w:color w:val="auto"/>
        </w:rPr>
      </w:pPr>
    </w:p>
    <w:p>
      <w:pPr>
        <w:ind w:right="80" w:firstLine="757"/>
        <w:spacing w:after="0" w:line="258" w:lineRule="auto"/>
        <w:tabs>
          <w:tab w:leader="none" w:pos="1145"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Secretary’s Certificate</w:t>
      </w:r>
      <w:r>
        <w:rPr>
          <w:rFonts w:ascii="Arial" w:cs="Arial" w:eastAsia="Arial" w:hAnsi="Arial"/>
          <w:sz w:val="18"/>
          <w:szCs w:val="18"/>
          <w:color w:val="auto"/>
        </w:rPr>
        <w:t xml:space="preserve">. On or prior to the First Placement Notice Date, the Agent shall have received a certificate, signed on behalf of the Company by the Secretary of the Company and attested to by an executive officer of the Company, dated as of such date and in form and substance satisfactory to the Agent and its counsel, certifying as to (i) the amended and restated certificate of incorporation of the Company, (ii) the amended and restated bylaws of the Company, (iii) the resolutions of the board of directors of the Company or duly authorized committee thereof authorizing the execution, delivery and performance of this Agreement and the issuance and sale of the Placement Shares and (iv) the incumbency of the officers of the Company duly authorized to execute this Agreement and the other documents contemplated by this Agreement (including each of the officers set forth on </w:t>
      </w:r>
      <w:r>
        <w:rPr>
          <w:rFonts w:ascii="Arial" w:cs="Arial" w:eastAsia="Arial" w:hAnsi="Arial"/>
          <w:sz w:val="18"/>
          <w:szCs w:val="18"/>
          <w:b w:val="1"/>
          <w:bCs w:val="1"/>
          <w:u w:val="single" w:color="auto"/>
          <w:color w:val="auto"/>
        </w:rPr>
        <w:t>Schedule 2</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1160" w:hanging="403"/>
        <w:spacing w:after="0"/>
        <w:tabs>
          <w:tab w:leader="none" w:pos="1160" w:val="left"/>
        </w:tabs>
        <w:numPr>
          <w:ilvl w:val="0"/>
          <w:numId w:val="43"/>
        </w:numPr>
        <w:rPr>
          <w:rFonts w:ascii="Arial" w:cs="Arial" w:eastAsia="Arial" w:hAnsi="Arial"/>
          <w:sz w:val="20"/>
          <w:szCs w:val="20"/>
          <w:color w:val="auto"/>
        </w:rPr>
      </w:pPr>
      <w:r>
        <w:rPr>
          <w:rFonts w:ascii="Arial" w:cs="Arial" w:eastAsia="Arial" w:hAnsi="Arial"/>
          <w:sz w:val="20"/>
          <w:szCs w:val="20"/>
          <w:color w:val="auto"/>
        </w:rPr>
        <w:t>[Reserved.]</w:t>
      </w:r>
    </w:p>
    <w:p>
      <w:pPr>
        <w:spacing w:after="0" w:line="202" w:lineRule="exact"/>
        <w:rPr>
          <w:rFonts w:ascii="Arial" w:cs="Arial" w:eastAsia="Arial" w:hAnsi="Arial"/>
          <w:sz w:val="20"/>
          <w:szCs w:val="20"/>
          <w:color w:val="auto"/>
        </w:rPr>
      </w:pPr>
    </w:p>
    <w:p>
      <w:pPr>
        <w:ind w:right="200" w:firstLine="757"/>
        <w:spacing w:after="0" w:line="300" w:lineRule="auto"/>
        <w:tabs>
          <w:tab w:leader="none" w:pos="1145"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No Suspension</w:t>
      </w:r>
      <w:r>
        <w:rPr>
          <w:rFonts w:ascii="Arial" w:cs="Arial" w:eastAsia="Arial" w:hAnsi="Arial"/>
          <w:sz w:val="18"/>
          <w:szCs w:val="18"/>
          <w:color w:val="auto"/>
        </w:rPr>
        <w:t>. The Shares are duly listed, and admitted and authorized for trading, subject to official notice of issuance, on Nasdaq. Trading in the Shares shall not have been suspended on, and the Shares shall not have been delisted from, Nasdaq.</w:t>
      </w:r>
    </w:p>
    <w:p>
      <w:pPr>
        <w:spacing w:after="0" w:line="130" w:lineRule="exact"/>
        <w:rPr>
          <w:rFonts w:ascii="Arial" w:cs="Arial" w:eastAsia="Arial" w:hAnsi="Arial"/>
          <w:sz w:val="18"/>
          <w:szCs w:val="18"/>
          <w:color w:val="auto"/>
        </w:rPr>
      </w:pPr>
    </w:p>
    <w:p>
      <w:pPr>
        <w:ind w:firstLine="757"/>
        <w:spacing w:after="0" w:line="232" w:lineRule="auto"/>
        <w:tabs>
          <w:tab w:leader="none" w:pos="1145" w:val="left"/>
        </w:tabs>
        <w:numPr>
          <w:ilvl w:val="0"/>
          <w:numId w:val="43"/>
        </w:numPr>
        <w:rPr>
          <w:rFonts w:ascii="Arial" w:cs="Arial" w:eastAsia="Arial" w:hAnsi="Arial"/>
          <w:sz w:val="20"/>
          <w:szCs w:val="20"/>
          <w:color w:val="auto"/>
        </w:rPr>
      </w:pPr>
      <w:r>
        <w:rPr>
          <w:rFonts w:ascii="Arial" w:cs="Arial" w:eastAsia="Arial" w:hAnsi="Arial"/>
          <w:sz w:val="20"/>
          <w:szCs w:val="20"/>
          <w:u w:val="single" w:color="auto"/>
          <w:color w:val="auto"/>
        </w:rPr>
        <w:t>Other Materials</w:t>
      </w:r>
      <w:r>
        <w:rPr>
          <w:rFonts w:ascii="Arial" w:cs="Arial" w:eastAsia="Arial" w:hAnsi="Arial"/>
          <w:sz w:val="20"/>
          <w:szCs w:val="20"/>
          <w:color w:val="auto"/>
        </w:rPr>
        <w:t>. On each date on which the Company is required to deliver a certificate pursuant to Section 7(m), the Company shall have furnished to the Agent such appropriate further information, opinions, certificates, letters and other documents as the Agent may have reasonably requested. All such information, opinions, certificates, letters and other documents shall have been in compliance with the provisions hereof. The Company shall have furnished the Agent with conformed copies of such opinions, certificates, letters and other documents as the Agent may have reasonably requested.</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332105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3" w:name="page34"/>
    <w:bookmarkEnd w:id="33"/>
    <w:p>
      <w:pPr>
        <w:ind w:right="60" w:firstLine="757"/>
        <w:spacing w:after="0" w:line="276" w:lineRule="auto"/>
        <w:tabs>
          <w:tab w:leader="none" w:pos="1145"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t>Securities Act Filings Made</w:t>
      </w:r>
      <w:r>
        <w:rPr>
          <w:rFonts w:ascii="Arial" w:cs="Arial" w:eastAsia="Arial" w:hAnsi="Arial"/>
          <w:sz w:val="18"/>
          <w:szCs w:val="18"/>
          <w:color w:val="auto"/>
        </w:rPr>
        <w:t>. All filings with the Commission required by Rule 424(b) or Rule 433 under the Securities Act to have been filed prior to the issuance of any Placement Notice hereunder shall have been made within the applicable time period prescribed for such filing by Rule 424(b) (without reliance on Rule 424(b)(8) of the Securities Act) or Rule 433 under the Securities Act, as applicable.</w:t>
      </w:r>
    </w:p>
    <w:p>
      <w:pPr>
        <w:spacing w:after="0" w:line="151" w:lineRule="exact"/>
        <w:rPr>
          <w:rFonts w:ascii="Arial" w:cs="Arial" w:eastAsia="Arial" w:hAnsi="Arial"/>
          <w:sz w:val="18"/>
          <w:szCs w:val="18"/>
          <w:color w:val="auto"/>
        </w:rPr>
      </w:pPr>
    </w:p>
    <w:p>
      <w:pPr>
        <w:jc w:val="both"/>
        <w:ind w:firstLine="757"/>
        <w:spacing w:after="0" w:line="254" w:lineRule="auto"/>
        <w:tabs>
          <w:tab w:leader="none" w:pos="1145" w:val="left"/>
        </w:tabs>
        <w:numPr>
          <w:ilvl w:val="0"/>
          <w:numId w:val="44"/>
        </w:numPr>
        <w:rPr>
          <w:rFonts w:ascii="Arial" w:cs="Arial" w:eastAsia="Arial" w:hAnsi="Arial"/>
          <w:sz w:val="19"/>
          <w:szCs w:val="19"/>
          <w:color w:val="auto"/>
        </w:rPr>
      </w:pPr>
      <w:r>
        <w:rPr>
          <w:rFonts w:ascii="Arial" w:cs="Arial" w:eastAsia="Arial" w:hAnsi="Arial"/>
          <w:sz w:val="19"/>
          <w:szCs w:val="19"/>
          <w:u w:val="single" w:color="auto"/>
          <w:color w:val="auto"/>
        </w:rPr>
        <w:t>Approval for Listing</w:t>
      </w:r>
      <w:r>
        <w:rPr>
          <w:rFonts w:ascii="Arial" w:cs="Arial" w:eastAsia="Arial" w:hAnsi="Arial"/>
          <w:sz w:val="19"/>
          <w:szCs w:val="19"/>
          <w:color w:val="auto"/>
        </w:rPr>
        <w:t>. The Placement Shares shall either have been (i) approved for listing on Nasdaq, subject only to notice of issuance, or (ii) the Company shall have filed an application for listing of the Placement Shares on Nasdaq at, or prior to, the First Placement Notice Date and Nasdaq shall have reviewed such application and not provided any objections thereto.</w:t>
      </w:r>
    </w:p>
    <w:p>
      <w:pPr>
        <w:spacing w:after="0" w:line="170" w:lineRule="exact"/>
        <w:rPr>
          <w:rFonts w:ascii="Arial" w:cs="Arial" w:eastAsia="Arial" w:hAnsi="Arial"/>
          <w:sz w:val="19"/>
          <w:szCs w:val="19"/>
          <w:color w:val="auto"/>
        </w:rPr>
      </w:pPr>
    </w:p>
    <w:p>
      <w:pPr>
        <w:ind w:right="160" w:firstLine="757"/>
        <w:spacing w:after="0" w:line="272" w:lineRule="auto"/>
        <w:tabs>
          <w:tab w:leader="none" w:pos="1145" w:val="left"/>
        </w:tabs>
        <w:numPr>
          <w:ilvl w:val="0"/>
          <w:numId w:val="44"/>
        </w:numPr>
        <w:rPr>
          <w:rFonts w:ascii="Arial" w:cs="Arial" w:eastAsia="Arial" w:hAnsi="Arial"/>
          <w:sz w:val="19"/>
          <w:szCs w:val="19"/>
          <w:color w:val="auto"/>
        </w:rPr>
      </w:pPr>
      <w:r>
        <w:rPr>
          <w:rFonts w:ascii="Arial" w:cs="Arial" w:eastAsia="Arial" w:hAnsi="Arial"/>
          <w:sz w:val="19"/>
          <w:szCs w:val="19"/>
          <w:u w:val="single" w:color="auto"/>
          <w:color w:val="auto"/>
        </w:rPr>
        <w:t>FINRA</w:t>
      </w:r>
      <w:r>
        <w:rPr>
          <w:rFonts w:ascii="Arial" w:cs="Arial" w:eastAsia="Arial" w:hAnsi="Arial"/>
          <w:sz w:val="19"/>
          <w:szCs w:val="19"/>
          <w:color w:val="auto"/>
        </w:rPr>
        <w:t>. If the offering is required to be filed with FINRA, FINRA shall have raised no objection to the terms of the offering contemplated hereby and the amount of compensation allowable or payable to the Agent as described in the Prospectus.</w:t>
      </w:r>
    </w:p>
    <w:p>
      <w:pPr>
        <w:spacing w:after="0" w:line="152" w:lineRule="exact"/>
        <w:rPr>
          <w:rFonts w:ascii="Arial" w:cs="Arial" w:eastAsia="Arial" w:hAnsi="Arial"/>
          <w:sz w:val="19"/>
          <w:szCs w:val="19"/>
          <w:color w:val="auto"/>
        </w:rPr>
      </w:pPr>
    </w:p>
    <w:p>
      <w:pPr>
        <w:ind w:right="440" w:firstLine="757"/>
        <w:spacing w:after="0" w:line="246" w:lineRule="auto"/>
        <w:tabs>
          <w:tab w:leader="none" w:pos="1145" w:val="left"/>
        </w:tabs>
        <w:numPr>
          <w:ilvl w:val="0"/>
          <w:numId w:val="44"/>
        </w:numPr>
        <w:rPr>
          <w:rFonts w:ascii="Arial" w:cs="Arial" w:eastAsia="Arial" w:hAnsi="Arial"/>
          <w:sz w:val="20"/>
          <w:szCs w:val="20"/>
          <w:color w:val="auto"/>
        </w:rPr>
      </w:pPr>
      <w:r>
        <w:rPr>
          <w:rFonts w:ascii="Arial" w:cs="Arial" w:eastAsia="Arial" w:hAnsi="Arial"/>
          <w:sz w:val="20"/>
          <w:szCs w:val="20"/>
          <w:u w:val="single" w:color="auto"/>
          <w:color w:val="auto"/>
        </w:rPr>
        <w:t>No Termination Event</w:t>
      </w:r>
      <w:r>
        <w:rPr>
          <w:rFonts w:ascii="Arial" w:cs="Arial" w:eastAsia="Arial" w:hAnsi="Arial"/>
          <w:sz w:val="20"/>
          <w:szCs w:val="20"/>
          <w:color w:val="auto"/>
        </w:rPr>
        <w:t>. There shall not have occurred any event that would permit the Agent to terminate this Agreement pursuant to Section 11(a).</w:t>
      </w:r>
    </w:p>
    <w:p>
      <w:pPr>
        <w:spacing w:after="0" w:line="177" w:lineRule="exact"/>
        <w:rPr>
          <w:sz w:val="20"/>
          <w:szCs w:val="20"/>
          <w:color w:val="auto"/>
        </w:rPr>
      </w:pPr>
    </w:p>
    <w:p>
      <w:pPr>
        <w:ind w:left="1160" w:hanging="403"/>
        <w:spacing w:after="0"/>
        <w:tabs>
          <w:tab w:leader="none" w:pos="1160" w:val="left"/>
        </w:tabs>
        <w:numPr>
          <w:ilvl w:val="0"/>
          <w:numId w:val="45"/>
        </w:numPr>
        <w:rPr>
          <w:rFonts w:ascii="Arial" w:cs="Arial" w:eastAsia="Arial" w:hAnsi="Arial"/>
          <w:sz w:val="20"/>
          <w:szCs w:val="20"/>
          <w:color w:val="auto"/>
        </w:rPr>
      </w:pPr>
      <w:r>
        <w:rPr>
          <w:rFonts w:ascii="Arial" w:cs="Arial" w:eastAsia="Arial" w:hAnsi="Arial"/>
          <w:sz w:val="20"/>
          <w:szCs w:val="20"/>
          <w:u w:val="single" w:color="auto"/>
          <w:color w:val="auto"/>
        </w:rPr>
        <w:t>Indemnification and Contribution</w:t>
      </w:r>
      <w:r>
        <w:rPr>
          <w:rFonts w:ascii="Arial" w:cs="Arial" w:eastAsia="Arial" w:hAnsi="Arial"/>
          <w:sz w:val="20"/>
          <w:szCs w:val="20"/>
          <w:color w:val="auto"/>
        </w:rPr>
        <w:t>.</w:t>
      </w:r>
    </w:p>
    <w:p>
      <w:pPr>
        <w:spacing w:after="0" w:line="202" w:lineRule="exact"/>
        <w:rPr>
          <w:sz w:val="20"/>
          <w:szCs w:val="20"/>
          <w:color w:val="auto"/>
        </w:rPr>
      </w:pPr>
    </w:p>
    <w:p>
      <w:pPr>
        <w:ind w:firstLine="757"/>
        <w:spacing w:after="0" w:line="253" w:lineRule="auto"/>
        <w:tabs>
          <w:tab w:leader="none" w:pos="1145" w:val="left"/>
        </w:tabs>
        <w:numPr>
          <w:ilvl w:val="0"/>
          <w:numId w:val="46"/>
        </w:numPr>
        <w:rPr>
          <w:rFonts w:ascii="Arial" w:cs="Arial" w:eastAsia="Arial" w:hAnsi="Arial"/>
          <w:sz w:val="18"/>
          <w:szCs w:val="18"/>
          <w:color w:val="auto"/>
        </w:rPr>
      </w:pPr>
      <w:r>
        <w:rPr>
          <w:rFonts w:ascii="Arial" w:cs="Arial" w:eastAsia="Arial" w:hAnsi="Arial"/>
          <w:sz w:val="18"/>
          <w:szCs w:val="18"/>
          <w:u w:val="single" w:color="auto"/>
          <w:color w:val="auto"/>
        </w:rPr>
        <w:t>Company Indemnification</w:t>
      </w:r>
      <w:r>
        <w:rPr>
          <w:rFonts w:ascii="Arial" w:cs="Arial" w:eastAsia="Arial" w:hAnsi="Arial"/>
          <w:sz w:val="18"/>
          <w:szCs w:val="18"/>
          <w:color w:val="auto"/>
        </w:rPr>
        <w:t xml:space="preserve">. The Company agrees to indemnify and hold harmless the Agent, its affiliates and their respective partners, members, directors, officers, employees and agents, and each person, if any, who (i) controls the Agent within the meaning of Section 15 of the Securities Act or Section 20 of the Exchange Act or (ii) is controlled by or is under common control with the Agent, in each case from and against any and all losses, claims, liabilities, expenses and damages (including, but not limited to, any and all investigative, legal and other expenses reasonably incurred in connection with, and any and all amounts paid in settlement of (in accordance with this Section 9), any action, suit, investigation or proceeding between any of the indemnified parties and any indemnifying parties or between any indemnified party and any third party (including, without limitation, any governmental or self-regulatory authority, or otherwise, or any claim asserted or threatened)), as and when incurred, to which the Agent, or any such other person may become subject under the Securities Act, the Exchange Act or other federal or state statutory law or regulation, at common law or otherwise, insofar as such losses, claims, liabilities, expenses or damages arise out of or are based, directly or indirectly, on (x) any untrue statement or alleged untrue statement of a material fact contained in the Registration Statement or the Prospectus (or any amendment or supplement to the Registration Statement or the Prospectus) or in any free writing prospectus or in any application or other document executed by or on behalf of the Company or based on written information furnished by or on behalf of the Company filed in any jurisdiction in order to qualify the Shares under the securities laws thereof or filed with the Commission, (y) the omission or alleged omission to state in any such document a material fact required to be stated therein or necessary to make the statements therein (solely with respect to the Prospectus, in light of the circumstances under which they were made) not misleading or (z) any breach by any of the indemnifying parties of any of their respective representations, warranties or agreements contained in this Agreement;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this indemnity agreement shall not apply to the extent that such loss, claim, liability, expense or damage arises from the sale of the Placement Shares pursuant to this Agreement and is caused, directly or indirectly, by an untrue statement or omission, or alleged untrue statement or omission, made in reliance upon and in conformity with the Agent’s Information. This indemnity agreement will be in addition to any liability that the Company might otherwise have.</w:t>
      </w:r>
    </w:p>
    <w:p>
      <w:pPr>
        <w:spacing w:after="0" w:line="172" w:lineRule="exact"/>
        <w:rPr>
          <w:rFonts w:ascii="Arial" w:cs="Arial" w:eastAsia="Arial" w:hAnsi="Arial"/>
          <w:sz w:val="18"/>
          <w:szCs w:val="18"/>
          <w:color w:val="auto"/>
        </w:rPr>
      </w:pPr>
    </w:p>
    <w:p>
      <w:pPr>
        <w:ind w:right="20" w:firstLine="757"/>
        <w:spacing w:after="0" w:line="292" w:lineRule="auto"/>
        <w:tabs>
          <w:tab w:leader="none" w:pos="1145" w:val="left"/>
        </w:tabs>
        <w:numPr>
          <w:ilvl w:val="0"/>
          <w:numId w:val="46"/>
        </w:numPr>
        <w:rPr>
          <w:rFonts w:ascii="Arial" w:cs="Arial" w:eastAsia="Arial" w:hAnsi="Arial"/>
          <w:sz w:val="16"/>
          <w:szCs w:val="16"/>
          <w:color w:val="auto"/>
        </w:rPr>
      </w:pPr>
      <w:r>
        <w:rPr>
          <w:rFonts w:ascii="Arial" w:cs="Arial" w:eastAsia="Arial" w:hAnsi="Arial"/>
          <w:sz w:val="16"/>
          <w:szCs w:val="16"/>
          <w:u w:val="single" w:color="auto"/>
          <w:color w:val="auto"/>
        </w:rPr>
        <w:t>Agent Indemnification</w:t>
      </w:r>
      <w:r>
        <w:rPr>
          <w:rFonts w:ascii="Arial" w:cs="Arial" w:eastAsia="Arial" w:hAnsi="Arial"/>
          <w:sz w:val="16"/>
          <w:szCs w:val="16"/>
          <w:color w:val="auto"/>
        </w:rPr>
        <w:t>. The Agent agrees to indemnify and hold harmless the Company and its directors and each officer of the Company that signed the Registration Statement, and each person, if any, who (i) controls the Company within the meaning of Section 15</w:t>
      </w:r>
    </w:p>
    <w:p>
      <w:pPr>
        <w:spacing w:after="0" w:line="225" w:lineRule="auto"/>
        <w:rPr>
          <w:sz w:val="20"/>
          <w:szCs w:val="20"/>
          <w:color w:val="auto"/>
        </w:rPr>
      </w:pPr>
      <w:r>
        <w:rPr>
          <w:rFonts w:ascii="Arial" w:cs="Arial" w:eastAsia="Arial" w:hAnsi="Arial"/>
          <w:sz w:val="20"/>
          <w:szCs w:val="20"/>
          <w:color w:val="auto"/>
        </w:rPr>
        <w:t>of the Securities Act or Section 20 of the Exchange Act or (ii) is controlled by or is under common control with the Company against any and all</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4" w:name="page35"/>
    <w:bookmarkEnd w:id="34"/>
    <w:p>
      <w:pPr>
        <w:jc w:val="both"/>
        <w:ind w:right="240"/>
        <w:spacing w:after="0" w:line="276" w:lineRule="auto"/>
        <w:rPr>
          <w:sz w:val="20"/>
          <w:szCs w:val="20"/>
          <w:color w:val="auto"/>
        </w:rPr>
      </w:pPr>
      <w:r>
        <w:rPr>
          <w:rFonts w:ascii="Arial" w:cs="Arial" w:eastAsia="Arial" w:hAnsi="Arial"/>
          <w:sz w:val="18"/>
          <w:szCs w:val="18"/>
          <w:color w:val="auto"/>
        </w:rPr>
        <w:t>loss, liability, claim, damage and expense described in the indemnity contained in Section 9(a), as incurred, but only with respect to untrue statements or omissions, or alleged untrue statements or omissions, made in the Registration Statement (or any amendments thereto) or the Prospectus (or any amendment or supplement thereto) in reliance upon and in conformity with the Agent’s Information.</w:t>
      </w:r>
    </w:p>
    <w:p>
      <w:pPr>
        <w:spacing w:after="0" w:line="151" w:lineRule="exact"/>
        <w:rPr>
          <w:sz w:val="20"/>
          <w:szCs w:val="20"/>
          <w:color w:val="auto"/>
        </w:rPr>
      </w:pPr>
    </w:p>
    <w:p>
      <w:pPr>
        <w:ind w:firstLine="757"/>
        <w:spacing w:after="0" w:line="252" w:lineRule="auto"/>
        <w:tabs>
          <w:tab w:leader="none" w:pos="1145"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t>Procedure</w:t>
      </w:r>
      <w:r>
        <w:rPr>
          <w:rFonts w:ascii="Arial" w:cs="Arial" w:eastAsia="Arial" w:hAnsi="Arial"/>
          <w:sz w:val="18"/>
          <w:szCs w:val="18"/>
          <w:color w:val="auto"/>
        </w:rPr>
        <w:t>. Any party that proposes to assert the right to be indemnified under this Section 9 will, promptly after receipt of notice of commencement of any action against such party in respect of which a claim is to be made against an indemnifying party or parties under this Section 9, notify each such indemnifying party of the commencement of such action, enclosing a copy of all papers served, but the omission so to notify such indemnifying party will not relieve the indemnifying party from (i) any liability that it might have to any indemnified party otherwise than under this Section 9 and (ii) any liability that it may have to any indemnified party under the foregoing provision of this Section 9 unless, and only to the extent that, such omission results in the forfeiture of substantive rights or defenses by the indemnifying party. If any such action is brought against any indemnified party and it notifies the indemnifying party of its commencement, the indemnifying party will be entitled to participate in and, to the extent that it elects by delivering written notice to the indemnified party promptly after receiving notice of the commencement of the action from the indemnified party, jointly with any other indemnifying party similarly notified, to assume the defense of the action, with counsel reasonably satisfactory to the indemnified party, and after notice from the indemnifying party to the indemnified party of its election to assume the defense, the indemnifying party will not be liable to the indemnified party for any other legal expenses except as provided below and except for the reasonable costs of investigation subsequently incurred by the indemnified party in connection with the defense. The indemnified party will have the right to employ its own counsel in any such action, but the fees, expenses and other charges of such counsel will be at the expense of such indemnified party unless (1) the employment of counsel by the indemnified party has been authorized in writing by the indemnifying party, (2) the indemnified party has reasonably concluded (based on advice of counsel) that there may be legal defenses available to it or other indemnified parties that are different from or in addition to those available to the indemnifying party, (3) a conflict or potential conflict exists (based on advice of counsel to the indemnified party) between the indemnified party and the indemnifying party (in which case the indemnifying party will not have the right to direct the defense of such action on behalf of the indemnified party) or (4) the indemnifying party has not in fact employed counsel reasonably satisfactory to the indemnified party to assume the defense of such action within a reasonable time after receiving notice of the commencement of the action, in each of which cases the reasonable fees, disbursements and other charges of counsel will be at the expense of the indemnifying party or parties. It is understood that the indemnifying party or parties shall not, in connection with any proceeding or related proceedings in the same jurisdiction, be liable for the reasonable fees, disbursements and other charges of more than one separate firm (plus local counsel) admitted to practice in such jurisdiction at any one time for all such indemnified party or parties. All such fees, disbursements and other charges will be reimbursed by the indemnifying party promptly after the indemnifying party receives a written invoice relating to such fees, disbursements and other charges in reasonable detail. An indemnifying party will not, in any event, be liable for any settlement of any action or claim effected without its written consent. No indemnifying party shall, without the prior written consent of each indemnified party, settle or compromise or consent to the entry of any judgment in any pending or threatened claim, action or proceeding relating to the matters contemplated by this Section 9 (whether or not any indemnified party is a party thereto), unless such settlement, compromise or consent (1) includes an unconditional release of each indemnified party, in form and substance reasonably satisfactory to such indemnified party, from all liability arising out of such claim, action or proceeding and (2) does not include a statement as to or an admission of fault, culpability or a failure to act by or on behalf of any indemnified party.</w:t>
      </w:r>
    </w:p>
    <w:p>
      <w:pPr>
        <w:spacing w:after="0" w:line="173" w:lineRule="exact"/>
        <w:rPr>
          <w:rFonts w:ascii="Arial" w:cs="Arial" w:eastAsia="Arial" w:hAnsi="Arial"/>
          <w:sz w:val="18"/>
          <w:szCs w:val="18"/>
          <w:color w:val="auto"/>
        </w:rPr>
      </w:pPr>
    </w:p>
    <w:p>
      <w:pPr>
        <w:ind w:right="320" w:firstLine="757"/>
        <w:spacing w:after="0" w:line="233" w:lineRule="auto"/>
        <w:tabs>
          <w:tab w:leader="none" w:pos="1145" w:val="left"/>
        </w:tabs>
        <w:numPr>
          <w:ilvl w:val="0"/>
          <w:numId w:val="47"/>
        </w:numPr>
        <w:rPr>
          <w:rFonts w:ascii="Arial" w:cs="Arial" w:eastAsia="Arial" w:hAnsi="Arial"/>
          <w:sz w:val="20"/>
          <w:szCs w:val="20"/>
          <w:color w:val="auto"/>
        </w:rPr>
      </w:pPr>
      <w:r>
        <w:rPr>
          <w:rFonts w:ascii="Arial" w:cs="Arial" w:eastAsia="Arial" w:hAnsi="Arial"/>
          <w:sz w:val="20"/>
          <w:szCs w:val="20"/>
          <w:u w:val="single" w:color="auto"/>
          <w:color w:val="auto"/>
        </w:rPr>
        <w:t>Settlement Without Consent if Failure to Reimburse</w:t>
      </w:r>
      <w:r>
        <w:rPr>
          <w:rFonts w:ascii="Arial" w:cs="Arial" w:eastAsia="Arial" w:hAnsi="Arial"/>
          <w:sz w:val="20"/>
          <w:szCs w:val="20"/>
          <w:i w:val="1"/>
          <w:iCs w:val="1"/>
          <w:color w:val="auto"/>
        </w:rPr>
        <w:t>.</w:t>
      </w:r>
      <w:r>
        <w:rPr>
          <w:rFonts w:ascii="Arial" w:cs="Arial" w:eastAsia="Arial" w:hAnsi="Arial"/>
          <w:sz w:val="20"/>
          <w:szCs w:val="20"/>
          <w:color w:val="auto"/>
        </w:rPr>
        <w:t xml:space="preserve"> If an indemnified party shall have requested an indemnifying party to reimburse the indemnified party for reasonable fees and expenses of</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ind w:right="100"/>
        <w:spacing w:after="0" w:line="246" w:lineRule="auto"/>
        <w:rPr>
          <w:sz w:val="20"/>
          <w:szCs w:val="20"/>
          <w:color w:val="auto"/>
        </w:rPr>
      </w:pPr>
      <w:r>
        <w:rPr>
          <w:rFonts w:ascii="Arial" w:cs="Arial" w:eastAsia="Arial" w:hAnsi="Arial"/>
          <w:sz w:val="19"/>
          <w:szCs w:val="19"/>
          <w:color w:val="auto"/>
        </w:rPr>
        <w:t>counsel for which it is entitled to be reimbursed under this Section 9, such indemnifying party agrees that it shall be liable for any settlement of the nature contemplated by Section 9(a) effected without its written consent if (i) such settlement is entered into more than 45 days after receipt by such indemnifying party of the aforesaid request, (ii) such indemnifying party shall have received notice of the terms of such settlement at least 30 days prior to such settlement being entered into and (iii) such indemnifying party shall not have reimbursed such indemnified party in accordance with such request prior to the date of such settlement.</w:t>
      </w:r>
    </w:p>
    <w:p>
      <w:pPr>
        <w:spacing w:after="0" w:line="177" w:lineRule="exact"/>
        <w:rPr>
          <w:sz w:val="20"/>
          <w:szCs w:val="20"/>
          <w:color w:val="auto"/>
        </w:rPr>
      </w:pPr>
    </w:p>
    <w:p>
      <w:pPr>
        <w:ind w:firstLine="757"/>
        <w:spacing w:after="0" w:line="251" w:lineRule="auto"/>
        <w:tabs>
          <w:tab w:leader="none" w:pos="1145" w:val="left"/>
        </w:tabs>
        <w:numPr>
          <w:ilvl w:val="0"/>
          <w:numId w:val="48"/>
        </w:numPr>
        <w:rPr>
          <w:rFonts w:ascii="Arial" w:cs="Arial" w:eastAsia="Arial" w:hAnsi="Arial"/>
          <w:sz w:val="18"/>
          <w:szCs w:val="18"/>
          <w:color w:val="auto"/>
        </w:rPr>
      </w:pPr>
      <w:r>
        <w:rPr>
          <w:rFonts w:ascii="Arial" w:cs="Arial" w:eastAsia="Arial" w:hAnsi="Arial"/>
          <w:sz w:val="18"/>
          <w:szCs w:val="18"/>
          <w:u w:val="single" w:color="auto"/>
          <w:color w:val="auto"/>
        </w:rPr>
        <w:t>Contribution</w:t>
      </w:r>
      <w:r>
        <w:rPr>
          <w:rFonts w:ascii="Arial" w:cs="Arial" w:eastAsia="Arial" w:hAnsi="Arial"/>
          <w:sz w:val="18"/>
          <w:szCs w:val="18"/>
          <w:color w:val="auto"/>
        </w:rPr>
        <w:t xml:space="preserve">. In order to provide for just and equitable contribution in circumstances in which the indemnification provided for in the foregoing paragraphs of this Section 9 is applicable in accordance with its terms but for any reason is held to be unavailable or insufficient from the Company or the Agent, the Company and the Agent will contribute to the total losses, claims, liabilities, expenses and damages (including any investigative, legal and other expenses reasonably incurred in connection with, and any amount paid in settlement of, any action, suit, investigation or proceeding or any claim asserted, but after deducting any contribution received by the Company from persons other than the Agent, such as persons who control the Company within the meaning of the Securities Act, officers of the Company who signed the Registration Statement and directors of the Company, who also may be liable for contribution) to which the Company and the Agent may be subject in such proportion as shall be appropriate to reflect the relative benefits received by the Company on the one hand and the Agent on the other hand. The relative benefits received by the Company on the one hand and the Agent on the other hand shall be deemed to be in the same proportion as the total Net Proceeds from the sale of the Placement Shares (before deducting expenses) received by the Company bear to the total compensation received by the Agent from the sale of Placement Shares on behalf of the Company. If, but only if, the allocation provided by the foregoing sentence is not permitted by applicable law, the allocation of contribution shall be made in such proportion as is appropriate to reflect not only the relative benefits referred to in the foregoing sentence but also the relative fault of the Company, on the one hand, and the Agent, on the other hand, with respect to the statements or omission that resulted in such loss, claim, liability, expense or damage, or action, suit, investigation or proceeding in respect thereof, as well as any other relevant equitable considerations with respect to such offering. Such relative fault shall be determined by reference to, among other things, whether the untrue or alleged untrue statement of a material fact or omission or alleged omission to state a material fact relates to information supplied by the Company or the Agent, the intent of the parties and their relative knowledge, access to information and opportunity to correct or prevent such statement or omission. The Company and the Agent agree that it would not be just and equitable if contributions pursuant to this Section 9(e) were to be determined by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allocation or by any other method of allocation that does not take into account the equitable considerations referred to herein. The amount paid or payable by an indemnified party as a result of the loss, claim, liability, expense or damage, or action, suit, investigation or proceeding in respect thereof, referred to above in this Section 9(e) shall be deemed to include, for the purpose of this Section 9(e), any legal or other expenses reasonably incurred by such indemnified party in connection with investigating or defending any such action, suit, investigation, proceeding or claim to the extent consistent with this Section 9. Notwithstanding the foregoing provisions of this Section 9(e), the Agent shall not be required to contribute any amount in excess of the commissions received by it under this Agreement and no person found guilty of fraudulent misrepresentation (within the meaning of Section 11(f) of the Securities Act) will be entitled to contribution from any person who was not guilty of such fraudulent misrepresentation. For purposes of this Section 9(e), any person who controls a party to this Agreement within the meaning of Section 15 of the Securities Act or Section 20 of the Exchange Act, any affiliates of the Agent, any partners, members, directors, officers, employees and agents of the Agent and each person that is controlled by or under common control with the Agent will have the same rights to contribution as that party, and each officer of the Company who signed the Registration Statement will have the same rights to contribution as the Company, subject in each case to the provisions hereof. Any party entitled to contribution, promptly after receipt of notice of commencement of any action against such party in respect of which a claim for</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line="244" w:lineRule="auto"/>
        <w:rPr>
          <w:sz w:val="20"/>
          <w:szCs w:val="20"/>
          <w:color w:val="auto"/>
        </w:rPr>
      </w:pPr>
      <w:r>
        <w:rPr>
          <w:rFonts w:ascii="Arial" w:cs="Arial" w:eastAsia="Arial" w:hAnsi="Arial"/>
          <w:sz w:val="19"/>
          <w:szCs w:val="19"/>
          <w:color w:val="auto"/>
        </w:rPr>
        <w:t>contribution may be made under this Section 9(e), will notify any such party or parties from whom contribution may be sought, but the omission to so notify will not relieve that party or parties from whom contribution may be sought from any other obligation it or they may have under this Section 9(e) except to the extent that the failure to so notify such other party materially prejudiced the substantive rights or defenses of the party from whom contribution is sought. Except for a settlement entered into pursuant to the last sentence of Section 9(c) hereof or pursuant to Section 9(d) hereof, no party will be liable for contribution with respect to any action or claim settled without its written consent if such consent is required pursuant to Section 9(c) hereof.</w:t>
      </w:r>
    </w:p>
    <w:p>
      <w:pPr>
        <w:spacing w:after="0" w:line="180" w:lineRule="exact"/>
        <w:rPr>
          <w:sz w:val="20"/>
          <w:szCs w:val="20"/>
          <w:color w:val="auto"/>
        </w:rPr>
      </w:pPr>
    </w:p>
    <w:p>
      <w:pPr>
        <w:ind w:right="60" w:firstLine="757"/>
        <w:spacing w:after="0" w:line="232" w:lineRule="auto"/>
        <w:tabs>
          <w:tab w:leader="none" w:pos="1145" w:val="left"/>
        </w:tabs>
        <w:numPr>
          <w:ilvl w:val="0"/>
          <w:numId w:val="49"/>
        </w:numPr>
        <w:rPr>
          <w:rFonts w:ascii="Arial" w:cs="Arial" w:eastAsia="Arial" w:hAnsi="Arial"/>
          <w:sz w:val="20"/>
          <w:szCs w:val="20"/>
          <w:color w:val="auto"/>
        </w:rPr>
      </w:pPr>
      <w:r>
        <w:rPr>
          <w:rFonts w:ascii="Arial" w:cs="Arial" w:eastAsia="Arial" w:hAnsi="Arial"/>
          <w:sz w:val="20"/>
          <w:szCs w:val="20"/>
          <w:u w:val="single" w:color="auto"/>
          <w:color w:val="auto"/>
        </w:rPr>
        <w:t>Representations and Agreements to Survive Delivery</w:t>
      </w:r>
      <w:r>
        <w:rPr>
          <w:rFonts w:ascii="Arial" w:cs="Arial" w:eastAsia="Arial" w:hAnsi="Arial"/>
          <w:sz w:val="20"/>
          <w:szCs w:val="20"/>
          <w:color w:val="auto"/>
        </w:rPr>
        <w:t>. The indemnity and contribution agreements contained in Section 9 of this Agreement and all representations and warranties of the Company herein or in certificates delivered pursuant hereto shall survive, as of their respective dates, regardless of (i) any investigation made by or on behalf of the Agent, any controlling persons, or the Company (or any of their respective officers, directors, employees or controlling persons), (ii) delivery and acceptance of the Placement Shares and payment therefor or (iii) any termination of this Agreement.</w:t>
      </w:r>
    </w:p>
    <w:p>
      <w:pPr>
        <w:spacing w:after="0" w:line="184" w:lineRule="exact"/>
        <w:rPr>
          <w:rFonts w:ascii="Arial" w:cs="Arial" w:eastAsia="Arial" w:hAnsi="Arial"/>
          <w:sz w:val="20"/>
          <w:szCs w:val="20"/>
          <w:color w:val="auto"/>
        </w:rPr>
      </w:pPr>
    </w:p>
    <w:p>
      <w:pPr>
        <w:ind w:left="1160" w:hanging="403"/>
        <w:spacing w:after="0"/>
        <w:tabs>
          <w:tab w:leader="none" w:pos="1160" w:val="left"/>
        </w:tabs>
        <w:numPr>
          <w:ilvl w:val="0"/>
          <w:numId w:val="49"/>
        </w:numPr>
        <w:rPr>
          <w:rFonts w:ascii="Arial" w:cs="Arial" w:eastAsia="Arial" w:hAnsi="Arial"/>
          <w:sz w:val="20"/>
          <w:szCs w:val="20"/>
          <w:color w:val="auto"/>
        </w:rPr>
      </w:pPr>
      <w:r>
        <w:rPr>
          <w:rFonts w:ascii="Arial" w:cs="Arial" w:eastAsia="Arial" w:hAnsi="Arial"/>
          <w:sz w:val="20"/>
          <w:szCs w:val="20"/>
          <w:u w:val="single" w:color="auto"/>
          <w:color w:val="auto"/>
        </w:rPr>
        <w:t>Termination</w:t>
      </w:r>
      <w:r>
        <w:rPr>
          <w:rFonts w:ascii="Arial" w:cs="Arial" w:eastAsia="Arial" w:hAnsi="Arial"/>
          <w:sz w:val="20"/>
          <w:szCs w:val="20"/>
          <w:color w:val="auto"/>
        </w:rPr>
        <w:t>.</w:t>
      </w:r>
    </w:p>
    <w:p>
      <w:pPr>
        <w:spacing w:after="0" w:line="202" w:lineRule="exact"/>
        <w:rPr>
          <w:sz w:val="20"/>
          <w:szCs w:val="20"/>
          <w:color w:val="auto"/>
        </w:rPr>
      </w:pPr>
    </w:p>
    <w:p>
      <w:pPr>
        <w:ind w:firstLine="757"/>
        <w:spacing w:after="0" w:line="253" w:lineRule="auto"/>
        <w:tabs>
          <w:tab w:leader="none" w:pos="1145" w:val="left"/>
        </w:tabs>
        <w:numPr>
          <w:ilvl w:val="0"/>
          <w:numId w:val="50"/>
        </w:numPr>
        <w:rPr>
          <w:rFonts w:ascii="Arial" w:cs="Arial" w:eastAsia="Arial" w:hAnsi="Arial"/>
          <w:sz w:val="18"/>
          <w:szCs w:val="18"/>
          <w:color w:val="auto"/>
        </w:rPr>
      </w:pPr>
      <w:r>
        <w:rPr>
          <w:rFonts w:ascii="Arial" w:cs="Arial" w:eastAsia="Arial" w:hAnsi="Arial"/>
          <w:sz w:val="18"/>
          <w:szCs w:val="18"/>
          <w:color w:val="auto"/>
        </w:rPr>
        <w:t xml:space="preserve">The Agent shall have the right, by giving notice as hereinafter specified, at any time to terminate this Agreement if (i) any Material Adverse Effect, or any development that could reasonably be expected to result in a Material Adverse Effect, has occurred that, in the judgment of the Agent, may materially impair the ability of the Agent to sell the Placement Shares hereunder, (ii) the Company shall have failed, refused or been unable to perform any agreement on its part to be performed hereunder;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in the case of any failure of the Company to deliver (or cause another person to deliver) any certification, opinion or letter required under Section 7(m), Section 7(n), Section 7(o) or Section 7(p), the Agent’s right to terminate shall not arise unless such failure to deliver (or cause to be delivered) continues for more than 15 calendar days from the date such delivery was required, (iii) any other condition of the Agent’s obligations hereunder is not fulfilled, (iv) any suspension or limitation of trading in the Placement Shares or in securities generally on Nasdaq shall have occurred, (v) a general banking moratorium shall have been declared by any of United States federal or New York authorities, or (vi) there shall have occurred any outbreak or escalation of national or international hostilities or any crisis or calamity, or any change in the United States or international financial markets, or any substantial change or development involving a prospective substantial change in United States or international political, financial or economic conditions that, in the judgment of the Agent, may materially impair the ability of the Agent to sell the Placement Shares hereunder or to enforce contracts for the sale of securities. Any such termination shall be without liability of any party to any other party except that the provisions of Section 7(g), Section 9, Section 10, Section 16 and Section 17 hereof shall remain in full force and effect notwithstanding such termination. If the Agent elects to terminate this Agreement as provided in this Section 11(a), the Agent shall provide the required notice as specified in Section 12.</w:t>
      </w:r>
    </w:p>
    <w:p>
      <w:pPr>
        <w:spacing w:after="0" w:line="180" w:lineRule="exact"/>
        <w:rPr>
          <w:rFonts w:ascii="Arial" w:cs="Arial" w:eastAsia="Arial" w:hAnsi="Arial"/>
          <w:sz w:val="18"/>
          <w:szCs w:val="18"/>
          <w:color w:val="auto"/>
        </w:rPr>
      </w:pPr>
    </w:p>
    <w:p>
      <w:pPr>
        <w:ind w:right="200" w:firstLine="757"/>
        <w:spacing w:after="0" w:line="234" w:lineRule="auto"/>
        <w:tabs>
          <w:tab w:leader="none" w:pos="1145" w:val="left"/>
        </w:tabs>
        <w:numPr>
          <w:ilvl w:val="0"/>
          <w:numId w:val="50"/>
        </w:numPr>
        <w:rPr>
          <w:rFonts w:ascii="Arial" w:cs="Arial" w:eastAsia="Arial" w:hAnsi="Arial"/>
          <w:sz w:val="20"/>
          <w:szCs w:val="20"/>
          <w:color w:val="auto"/>
        </w:rPr>
      </w:pPr>
      <w:r>
        <w:rPr>
          <w:rFonts w:ascii="Arial" w:cs="Arial" w:eastAsia="Arial" w:hAnsi="Arial"/>
          <w:sz w:val="20"/>
          <w:szCs w:val="20"/>
          <w:color w:val="auto"/>
        </w:rPr>
        <w:t>The Company shall have the right, by giving 10 days’ prior notice as hereinafter specified, to terminate this Agreement in its sole discretion at any time after the date of this Agreement. Any such termination shall be without liability of any party to any other party except that the provisions of Section 7(g), Section 9, Section 10, Section 11(f), Section 16 and Section 17 hereof shall remain in full force and effect notwithstanding such termination.</w:t>
      </w:r>
    </w:p>
    <w:p>
      <w:pPr>
        <w:spacing w:after="0" w:line="183" w:lineRule="exact"/>
        <w:rPr>
          <w:rFonts w:ascii="Arial" w:cs="Arial" w:eastAsia="Arial" w:hAnsi="Arial"/>
          <w:sz w:val="20"/>
          <w:szCs w:val="20"/>
          <w:color w:val="auto"/>
        </w:rPr>
      </w:pPr>
    </w:p>
    <w:p>
      <w:pPr>
        <w:jc w:val="both"/>
        <w:ind w:right="80" w:firstLine="757"/>
        <w:spacing w:after="0" w:line="259" w:lineRule="auto"/>
        <w:tabs>
          <w:tab w:leader="none" w:pos="1145"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Agent shall have the right, by giving 10 days’ prior notice as hereinafter specified, to terminate this Agreement in its sole discretion at any time after the date of this Agreement. Any such termination shall be without liability of any party to any other party except</w:t>
      </w:r>
    </w:p>
    <w:p>
      <w:pPr>
        <w:spacing w:after="0" w:line="1" w:lineRule="exact"/>
        <w:rPr>
          <w:sz w:val="20"/>
          <w:szCs w:val="20"/>
          <w:color w:val="auto"/>
        </w:rPr>
      </w:pPr>
    </w:p>
    <w:p>
      <w:pPr>
        <w:ind w:right="40"/>
        <w:spacing w:after="0" w:line="225" w:lineRule="auto"/>
        <w:rPr>
          <w:sz w:val="20"/>
          <w:szCs w:val="20"/>
          <w:color w:val="auto"/>
        </w:rPr>
      </w:pPr>
      <w:r>
        <w:rPr>
          <w:rFonts w:ascii="Arial" w:cs="Arial" w:eastAsia="Arial" w:hAnsi="Arial"/>
          <w:sz w:val="20"/>
          <w:szCs w:val="20"/>
          <w:color w:val="auto"/>
        </w:rPr>
        <w:t>that the provisions of Section 7(g), Section 9, Section 10, Section 11(f), Section 16 and Section 17 hereof shall remain in full force and effect notwithstanding such termination.</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7" w:name="page38"/>
    <w:bookmarkEnd w:id="37"/>
    <w:p>
      <w:pPr>
        <w:ind w:right="40" w:firstLine="757"/>
        <w:spacing w:after="0" w:line="234" w:lineRule="auto"/>
        <w:tabs>
          <w:tab w:leader="none" w:pos="1145" w:val="left"/>
        </w:tabs>
        <w:numPr>
          <w:ilvl w:val="0"/>
          <w:numId w:val="51"/>
        </w:numPr>
        <w:rPr>
          <w:rFonts w:ascii="Arial" w:cs="Arial" w:eastAsia="Arial" w:hAnsi="Arial"/>
          <w:sz w:val="20"/>
          <w:szCs w:val="20"/>
          <w:color w:val="auto"/>
        </w:rPr>
      </w:pPr>
      <w:r>
        <w:rPr>
          <w:rFonts w:ascii="Arial" w:cs="Arial" w:eastAsia="Arial" w:hAnsi="Arial"/>
          <w:sz w:val="20"/>
          <w:szCs w:val="20"/>
          <w:color w:val="auto"/>
        </w:rPr>
        <w:t xml:space="preserve">Unless earlier terminated pursuant to this Section 11, this Agreement shall automatically terminate upon the issuance and sale of all of the Placement Shares through the Agent on the terms and subject to the conditions set forth herein;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the provisions of Section 7(g), Section 9, Section 10, Section 11(f), Section 16 and Section 17 hereof shall remain in full force and effect notwithstanding such termination.</w:t>
      </w:r>
    </w:p>
    <w:p>
      <w:pPr>
        <w:spacing w:after="0" w:line="183" w:lineRule="exact"/>
        <w:rPr>
          <w:rFonts w:ascii="Arial" w:cs="Arial" w:eastAsia="Arial" w:hAnsi="Arial"/>
          <w:sz w:val="20"/>
          <w:szCs w:val="20"/>
          <w:color w:val="auto"/>
        </w:rPr>
      </w:pPr>
    </w:p>
    <w:p>
      <w:pPr>
        <w:ind w:firstLine="757"/>
        <w:spacing w:after="0" w:line="275" w:lineRule="auto"/>
        <w:tabs>
          <w:tab w:leader="none" w:pos="1145" w:val="left"/>
        </w:tabs>
        <w:numPr>
          <w:ilvl w:val="0"/>
          <w:numId w:val="51"/>
        </w:numPr>
        <w:rPr>
          <w:rFonts w:ascii="Arial" w:cs="Arial" w:eastAsia="Arial" w:hAnsi="Arial"/>
          <w:sz w:val="18"/>
          <w:szCs w:val="18"/>
          <w:color w:val="auto"/>
        </w:rPr>
      </w:pPr>
      <w:r>
        <w:rPr>
          <w:rFonts w:ascii="Arial" w:cs="Arial" w:eastAsia="Arial" w:hAnsi="Arial"/>
          <w:sz w:val="18"/>
          <w:szCs w:val="18"/>
          <w:color w:val="auto"/>
        </w:rPr>
        <w:t xml:space="preserve">This Agreement shall remain in full force and effect unless terminated pursuant to Sections 11(a), (b), (c), or (d) above or otherwise by mutual agreement of the parties;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any such termination by mutual agreement shall in all cases be deemed to provide that Section 7(g), Section 9, Section 10, Section 11(f), Section 16 and Section 17 shall remain in full force and effect.</w:t>
      </w:r>
    </w:p>
    <w:p>
      <w:pPr>
        <w:spacing w:after="0" w:line="152" w:lineRule="exact"/>
        <w:rPr>
          <w:rFonts w:ascii="Arial" w:cs="Arial" w:eastAsia="Arial" w:hAnsi="Arial"/>
          <w:sz w:val="18"/>
          <w:szCs w:val="18"/>
          <w:color w:val="auto"/>
        </w:rPr>
      </w:pPr>
    </w:p>
    <w:p>
      <w:pPr>
        <w:ind w:right="60" w:firstLine="757"/>
        <w:spacing w:after="0" w:line="260" w:lineRule="auto"/>
        <w:tabs>
          <w:tab w:leader="none" w:pos="1145" w:val="left"/>
        </w:tabs>
        <w:numPr>
          <w:ilvl w:val="0"/>
          <w:numId w:val="51"/>
        </w:numPr>
        <w:rPr>
          <w:rFonts w:ascii="Arial" w:cs="Arial" w:eastAsia="Arial" w:hAnsi="Arial"/>
          <w:sz w:val="18"/>
          <w:szCs w:val="18"/>
          <w:color w:val="auto"/>
        </w:rPr>
      </w:pPr>
      <w:r>
        <w:rPr>
          <w:rFonts w:ascii="Arial" w:cs="Arial" w:eastAsia="Arial" w:hAnsi="Arial"/>
          <w:sz w:val="18"/>
          <w:szCs w:val="18"/>
          <w:color w:val="auto"/>
        </w:rPr>
        <w:t xml:space="preserve">Any termination of this Agreement shall be effective on the date specified in such notice of termination;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such termination shall not be effective until the close of business on the date of receipt of such notice by the Agent or the Company, as the case may be. If such termination shall occur prior to the Settlement Date for any sale of Placement Shares, such Placement Shares shall settle in accordance with the provisions of this Agreement. Upon termination of this Agreement, the Company shall not be required to pay to the Agent any discount or commission with respect to any Placement Shares not otherwise sold by the Agent under this Agreement; </w:t>
      </w: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however</w:t>
      </w:r>
      <w:r>
        <w:rPr>
          <w:rFonts w:ascii="Arial" w:cs="Arial" w:eastAsia="Arial" w:hAnsi="Arial"/>
          <w:sz w:val="18"/>
          <w:szCs w:val="18"/>
          <w:color w:val="auto"/>
        </w:rPr>
        <w:t>, that the Company shall remain obligated to reimburse the Agent’s expenses pursuant to Section 7(g).</w:t>
      </w:r>
    </w:p>
    <w:p>
      <w:pPr>
        <w:spacing w:after="0" w:line="167" w:lineRule="exact"/>
        <w:rPr>
          <w:sz w:val="20"/>
          <w:szCs w:val="20"/>
          <w:color w:val="auto"/>
        </w:rPr>
      </w:pPr>
    </w:p>
    <w:p>
      <w:pPr>
        <w:ind w:right="60" w:firstLine="757"/>
        <w:spacing w:after="0" w:line="300" w:lineRule="auto"/>
        <w:tabs>
          <w:tab w:leader="none" w:pos="1145" w:val="left"/>
        </w:tabs>
        <w:numPr>
          <w:ilvl w:val="0"/>
          <w:numId w:val="52"/>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All notices or other communications required or permitted to be given by any party to any other party pursuant to the terms of this Agreement shall be in writing, unless otherwise specified in this Agreement, and if sent to the Agent, shall be delivered to:</w:t>
      </w:r>
    </w:p>
    <w:p>
      <w:pPr>
        <w:spacing w:after="0" w:line="13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SVB Securities LLC</w:t>
      </w:r>
    </w:p>
    <w:p>
      <w:pPr>
        <w:ind w:left="660"/>
        <w:spacing w:after="0" w:line="182" w:lineRule="auto"/>
        <w:rPr>
          <w:sz w:val="20"/>
          <w:szCs w:val="20"/>
          <w:color w:val="auto"/>
        </w:rPr>
      </w:pPr>
      <w:r>
        <w:rPr>
          <w:rFonts w:ascii="Arial" w:cs="Arial" w:eastAsia="Arial" w:hAnsi="Arial"/>
          <w:sz w:val="19"/>
          <w:szCs w:val="19"/>
          <w:color w:val="auto"/>
        </w:rPr>
        <w:t>1301 Avenue of the Americas, 12</w:t>
      </w:r>
      <w:r>
        <w:rPr>
          <w:rFonts w:ascii="Arial" w:cs="Arial" w:eastAsia="Arial" w:hAnsi="Arial"/>
          <w:sz w:val="25"/>
          <w:szCs w:val="25"/>
          <w:color w:val="auto"/>
          <w:vertAlign w:val="superscript"/>
        </w:rPr>
        <w:t>th</w:t>
      </w:r>
      <w:r>
        <w:rPr>
          <w:rFonts w:ascii="Arial" w:cs="Arial" w:eastAsia="Arial" w:hAnsi="Arial"/>
          <w:sz w:val="19"/>
          <w:szCs w:val="19"/>
          <w:color w:val="auto"/>
        </w:rPr>
        <w:t xml:space="preserve"> Floor</w:t>
      </w:r>
    </w:p>
    <w:p>
      <w:pPr>
        <w:ind w:left="660"/>
        <w:spacing w:after="0" w:line="225" w:lineRule="auto"/>
        <w:rPr>
          <w:sz w:val="20"/>
          <w:szCs w:val="20"/>
          <w:color w:val="auto"/>
        </w:rPr>
      </w:pPr>
      <w:r>
        <w:rPr>
          <w:rFonts w:ascii="Arial" w:cs="Arial" w:eastAsia="Arial" w:hAnsi="Arial"/>
          <w:sz w:val="20"/>
          <w:szCs w:val="20"/>
          <w:color w:val="auto"/>
        </w:rPr>
        <w:t>New York, New York 10019</w:t>
      </w:r>
    </w:p>
    <w:p>
      <w:pPr>
        <w:ind w:left="660"/>
        <w:spacing w:after="0" w:line="225" w:lineRule="auto"/>
        <w:rPr>
          <w:sz w:val="20"/>
          <w:szCs w:val="20"/>
          <w:color w:val="auto"/>
        </w:rPr>
      </w:pPr>
      <w:r>
        <w:rPr>
          <w:rFonts w:ascii="Arial" w:cs="Arial" w:eastAsia="Arial" w:hAnsi="Arial"/>
          <w:sz w:val="20"/>
          <w:szCs w:val="20"/>
          <w:color w:val="auto"/>
        </w:rPr>
        <w:t>Attention: Peter M. Fry</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E-mail: peter.fry@svbleerink.com</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color w:val="auto"/>
        </w:rPr>
        <w:t>with copies (which shall not constitute notice) to:</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SVB Securities LLC</w:t>
      </w:r>
    </w:p>
    <w:p>
      <w:pPr>
        <w:ind w:left="660"/>
        <w:spacing w:after="0" w:line="182" w:lineRule="auto"/>
        <w:rPr>
          <w:sz w:val="20"/>
          <w:szCs w:val="20"/>
          <w:color w:val="auto"/>
        </w:rPr>
      </w:pPr>
      <w:r>
        <w:rPr>
          <w:rFonts w:ascii="Arial" w:cs="Arial" w:eastAsia="Arial" w:hAnsi="Arial"/>
          <w:sz w:val="19"/>
          <w:szCs w:val="19"/>
          <w:color w:val="auto"/>
        </w:rPr>
        <w:t>1301 Avenue of the Americas, 12</w:t>
      </w:r>
      <w:r>
        <w:rPr>
          <w:rFonts w:ascii="Arial" w:cs="Arial" w:eastAsia="Arial" w:hAnsi="Arial"/>
          <w:sz w:val="25"/>
          <w:szCs w:val="25"/>
          <w:color w:val="auto"/>
          <w:vertAlign w:val="superscript"/>
        </w:rPr>
        <w:t>th</w:t>
      </w:r>
      <w:r>
        <w:rPr>
          <w:rFonts w:ascii="Arial" w:cs="Arial" w:eastAsia="Arial" w:hAnsi="Arial"/>
          <w:sz w:val="19"/>
          <w:szCs w:val="19"/>
          <w:color w:val="auto"/>
        </w:rPr>
        <w:t xml:space="preserve"> Floor</w:t>
      </w:r>
    </w:p>
    <w:p>
      <w:pPr>
        <w:ind w:left="660"/>
        <w:spacing w:after="0" w:line="225" w:lineRule="auto"/>
        <w:rPr>
          <w:sz w:val="20"/>
          <w:szCs w:val="20"/>
          <w:color w:val="auto"/>
        </w:rPr>
      </w:pPr>
      <w:r>
        <w:rPr>
          <w:rFonts w:ascii="Arial" w:cs="Arial" w:eastAsia="Arial" w:hAnsi="Arial"/>
          <w:sz w:val="20"/>
          <w:szCs w:val="20"/>
          <w:color w:val="auto"/>
        </w:rPr>
        <w:t>New York, New York 10019</w:t>
      </w:r>
    </w:p>
    <w:p>
      <w:pPr>
        <w:ind w:left="660"/>
        <w:spacing w:after="0" w:line="225" w:lineRule="auto"/>
        <w:rPr>
          <w:sz w:val="20"/>
          <w:szCs w:val="20"/>
          <w:color w:val="auto"/>
        </w:rPr>
      </w:pPr>
      <w:r>
        <w:rPr>
          <w:rFonts w:ascii="Arial" w:cs="Arial" w:eastAsia="Arial" w:hAnsi="Arial"/>
          <w:sz w:val="20"/>
          <w:szCs w:val="20"/>
          <w:color w:val="auto"/>
        </w:rPr>
        <w:t>Attention: Stuart R. Nayman, Esq.</w:t>
      </w:r>
    </w:p>
    <w:p>
      <w:pPr>
        <w:ind w:left="660"/>
        <w:spacing w:after="0" w:line="226" w:lineRule="auto"/>
        <w:rPr>
          <w:sz w:val="20"/>
          <w:szCs w:val="20"/>
          <w:color w:val="auto"/>
        </w:rPr>
      </w:pPr>
      <w:r>
        <w:rPr>
          <w:rFonts w:ascii="Arial" w:cs="Arial" w:eastAsia="Arial" w:hAnsi="Arial"/>
          <w:sz w:val="20"/>
          <w:szCs w:val="20"/>
          <w:color w:val="auto"/>
        </w:rPr>
        <w:t>Facsimile: (646) 499-7051</w:t>
      </w:r>
    </w:p>
    <w:p>
      <w:pPr>
        <w:ind w:left="660"/>
        <w:spacing w:after="0"/>
        <w:rPr>
          <w:sz w:val="20"/>
          <w:szCs w:val="20"/>
          <w:color w:val="auto"/>
        </w:rPr>
      </w:pPr>
      <w:r>
        <w:rPr>
          <w:rFonts w:ascii="Arial" w:cs="Arial" w:eastAsia="Arial" w:hAnsi="Arial"/>
          <w:sz w:val="20"/>
          <w:szCs w:val="20"/>
          <w:color w:val="auto"/>
        </w:rPr>
        <w:t>E-mail: stuart.nayman@svbleerink.com</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and</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Covington &amp; Burling LLP</w:t>
      </w:r>
    </w:p>
    <w:p>
      <w:pPr>
        <w:ind w:left="660"/>
        <w:spacing w:after="0" w:line="227" w:lineRule="auto"/>
        <w:rPr>
          <w:sz w:val="20"/>
          <w:szCs w:val="20"/>
          <w:color w:val="auto"/>
        </w:rPr>
      </w:pPr>
      <w:r>
        <w:rPr>
          <w:rFonts w:ascii="Arial" w:cs="Arial" w:eastAsia="Arial" w:hAnsi="Arial"/>
          <w:sz w:val="20"/>
          <w:szCs w:val="20"/>
          <w:color w:val="auto"/>
        </w:rPr>
        <w:t>The New York Times Building</w:t>
      </w:r>
    </w:p>
    <w:p>
      <w:pPr>
        <w:ind w:left="660"/>
        <w:spacing w:after="0" w:line="225" w:lineRule="auto"/>
        <w:rPr>
          <w:sz w:val="20"/>
          <w:szCs w:val="20"/>
          <w:color w:val="auto"/>
        </w:rPr>
      </w:pPr>
      <w:r>
        <w:rPr>
          <w:rFonts w:ascii="Arial" w:cs="Arial" w:eastAsia="Arial" w:hAnsi="Arial"/>
          <w:sz w:val="20"/>
          <w:szCs w:val="20"/>
          <w:color w:val="auto"/>
        </w:rPr>
        <w:t>620 Eighth Avenue</w:t>
      </w:r>
    </w:p>
    <w:p>
      <w:pPr>
        <w:ind w:left="660"/>
        <w:spacing w:after="0" w:line="226" w:lineRule="auto"/>
        <w:rPr>
          <w:sz w:val="20"/>
          <w:szCs w:val="20"/>
          <w:color w:val="auto"/>
        </w:rPr>
      </w:pPr>
      <w:r>
        <w:rPr>
          <w:rFonts w:ascii="Arial" w:cs="Arial" w:eastAsia="Arial" w:hAnsi="Arial"/>
          <w:sz w:val="20"/>
          <w:szCs w:val="20"/>
          <w:color w:val="auto"/>
        </w:rPr>
        <w:t>New York, New York 10018</w:t>
      </w:r>
    </w:p>
    <w:p>
      <w:pPr>
        <w:ind w:left="660"/>
        <w:spacing w:after="0" w:line="225" w:lineRule="auto"/>
        <w:rPr>
          <w:sz w:val="20"/>
          <w:szCs w:val="20"/>
          <w:color w:val="auto"/>
        </w:rPr>
      </w:pPr>
      <w:r>
        <w:rPr>
          <w:rFonts w:ascii="Arial" w:cs="Arial" w:eastAsia="Arial" w:hAnsi="Arial"/>
          <w:sz w:val="20"/>
          <w:szCs w:val="20"/>
          <w:color w:val="auto"/>
        </w:rPr>
        <w:t>Attention: Brian Rosenzweig, Esq.</w:t>
      </w:r>
    </w:p>
    <w:p>
      <w:pPr>
        <w:ind w:left="660"/>
        <w:spacing w:after="0" w:line="226" w:lineRule="auto"/>
        <w:rPr>
          <w:sz w:val="20"/>
          <w:szCs w:val="20"/>
          <w:color w:val="auto"/>
        </w:rPr>
      </w:pPr>
      <w:r>
        <w:rPr>
          <w:rFonts w:ascii="Arial" w:cs="Arial" w:eastAsia="Arial" w:hAnsi="Arial"/>
          <w:sz w:val="20"/>
          <w:szCs w:val="20"/>
          <w:color w:val="auto"/>
        </w:rPr>
        <w:t>Facsimile: (646) 441-9108</w:t>
      </w:r>
    </w:p>
    <w:p>
      <w:pPr>
        <w:ind w:left="660"/>
        <w:spacing w:after="0"/>
        <w:rPr>
          <w:sz w:val="20"/>
          <w:szCs w:val="20"/>
          <w:color w:val="auto"/>
        </w:rPr>
      </w:pPr>
      <w:r>
        <w:rPr>
          <w:rFonts w:ascii="Arial" w:cs="Arial" w:eastAsia="Arial" w:hAnsi="Arial"/>
          <w:sz w:val="20"/>
          <w:szCs w:val="20"/>
          <w:color w:val="auto"/>
        </w:rPr>
        <w:t>E-mail: brosenzweig@cov.com</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color w:val="auto"/>
        </w:rPr>
        <w:t>and if to the Company, shall be delivered to:</w:t>
      </w:r>
    </w:p>
    <w:p>
      <w:pPr>
        <w:spacing w:after="0" w:line="2"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9" w:right="359" w:bottom="1440" w:gutter="0" w:footer="0" w:header="0"/>
        </w:sectPr>
      </w:pPr>
    </w:p>
    <w:bookmarkStart w:id="38" w:name="page39"/>
    <w:bookmarkEnd w:id="38"/>
    <w:p>
      <w:pPr>
        <w:ind w:left="760"/>
        <w:spacing w:after="0"/>
        <w:rPr>
          <w:sz w:val="20"/>
          <w:szCs w:val="20"/>
          <w:color w:val="auto"/>
        </w:rPr>
      </w:pPr>
      <w:r>
        <w:rPr>
          <w:rFonts w:ascii="Arial" w:cs="Arial" w:eastAsia="Arial" w:hAnsi="Arial"/>
          <w:sz w:val="20"/>
          <w:szCs w:val="20"/>
          <w:color w:val="auto"/>
        </w:rPr>
        <w:t>Axsome Therapeutics, Inc.</w:t>
      </w:r>
    </w:p>
    <w:p>
      <w:pPr>
        <w:ind w:left="760"/>
        <w:spacing w:after="0" w:line="227" w:lineRule="auto"/>
        <w:rPr>
          <w:sz w:val="20"/>
          <w:szCs w:val="20"/>
          <w:color w:val="auto"/>
        </w:rPr>
      </w:pPr>
      <w:r>
        <w:rPr>
          <w:rFonts w:ascii="Arial" w:cs="Arial" w:eastAsia="Arial" w:hAnsi="Arial"/>
          <w:sz w:val="20"/>
          <w:szCs w:val="20"/>
          <w:color w:val="auto"/>
        </w:rPr>
        <w:t>22 Cortlandt Street</w:t>
      </w:r>
    </w:p>
    <w:p>
      <w:pPr>
        <w:ind w:left="760"/>
        <w:spacing w:after="0" w:line="225" w:lineRule="auto"/>
        <w:rPr>
          <w:sz w:val="20"/>
          <w:szCs w:val="20"/>
          <w:color w:val="auto"/>
        </w:rPr>
      </w:pPr>
      <w:r>
        <w:rPr>
          <w:rFonts w:ascii="Arial" w:cs="Arial" w:eastAsia="Arial" w:hAnsi="Arial"/>
          <w:sz w:val="20"/>
          <w:szCs w:val="20"/>
          <w:color w:val="auto"/>
        </w:rPr>
        <w:t>16th Floor</w:t>
      </w:r>
    </w:p>
    <w:p>
      <w:pPr>
        <w:ind w:left="760"/>
        <w:spacing w:after="0" w:line="226" w:lineRule="auto"/>
        <w:rPr>
          <w:sz w:val="20"/>
          <w:szCs w:val="20"/>
          <w:color w:val="auto"/>
        </w:rPr>
      </w:pPr>
      <w:r>
        <w:rPr>
          <w:rFonts w:ascii="Arial" w:cs="Arial" w:eastAsia="Arial" w:hAnsi="Arial"/>
          <w:sz w:val="20"/>
          <w:szCs w:val="20"/>
          <w:color w:val="auto"/>
        </w:rPr>
        <w:t>New York, New York 10007</w:t>
      </w:r>
    </w:p>
    <w:p>
      <w:pPr>
        <w:ind w:left="760"/>
        <w:spacing w:after="0" w:line="225" w:lineRule="auto"/>
        <w:rPr>
          <w:sz w:val="20"/>
          <w:szCs w:val="20"/>
          <w:color w:val="auto"/>
        </w:rPr>
      </w:pPr>
      <w:r>
        <w:rPr>
          <w:rFonts w:ascii="Arial" w:cs="Arial" w:eastAsia="Arial" w:hAnsi="Arial"/>
          <w:sz w:val="20"/>
          <w:szCs w:val="20"/>
          <w:color w:val="auto"/>
        </w:rPr>
        <w:t>Attention: Chief Executive Officer</w:t>
      </w:r>
    </w:p>
    <w:p>
      <w:pPr>
        <w:spacing w:after="0" w:line="1" w:lineRule="exact"/>
        <w:rPr>
          <w:sz w:val="20"/>
          <w:szCs w:val="20"/>
          <w:color w:val="auto"/>
        </w:rPr>
      </w:pPr>
    </w:p>
    <w:p>
      <w:pPr>
        <w:ind w:left="760"/>
        <w:spacing w:after="0"/>
        <w:rPr>
          <w:sz w:val="20"/>
          <w:szCs w:val="20"/>
          <w:color w:val="auto"/>
        </w:rPr>
      </w:pPr>
      <w:r>
        <w:rPr>
          <w:rFonts w:ascii="Arial" w:cs="Arial" w:eastAsia="Arial" w:hAnsi="Arial"/>
          <w:sz w:val="20"/>
          <w:szCs w:val="20"/>
          <w:color w:val="auto"/>
        </w:rPr>
        <w:t>Facsimile: (212) 320-0245</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color w:val="auto"/>
        </w:rPr>
        <w:t>with copies (which shall not constitute notice) to:</w:t>
      </w:r>
    </w:p>
    <w:p>
      <w:pPr>
        <w:spacing w:after="0" w:line="202" w:lineRule="exact"/>
        <w:rPr>
          <w:sz w:val="20"/>
          <w:szCs w:val="20"/>
          <w:color w:val="auto"/>
        </w:rPr>
      </w:pPr>
    </w:p>
    <w:p>
      <w:pPr>
        <w:ind w:left="760"/>
        <w:spacing w:after="0"/>
        <w:rPr>
          <w:sz w:val="20"/>
          <w:szCs w:val="20"/>
          <w:color w:val="auto"/>
        </w:rPr>
      </w:pPr>
      <w:r>
        <w:rPr>
          <w:rFonts w:ascii="Arial" w:cs="Arial" w:eastAsia="Arial" w:hAnsi="Arial"/>
          <w:sz w:val="20"/>
          <w:szCs w:val="20"/>
          <w:color w:val="auto"/>
        </w:rPr>
        <w:t>DLA Piper LLP (US)</w:t>
      </w:r>
    </w:p>
    <w:p>
      <w:pPr>
        <w:ind w:left="760"/>
        <w:spacing w:after="0" w:line="227" w:lineRule="auto"/>
        <w:rPr>
          <w:sz w:val="20"/>
          <w:szCs w:val="20"/>
          <w:color w:val="auto"/>
        </w:rPr>
      </w:pPr>
      <w:r>
        <w:rPr>
          <w:rFonts w:ascii="Arial" w:cs="Arial" w:eastAsia="Arial" w:hAnsi="Arial"/>
          <w:sz w:val="20"/>
          <w:szCs w:val="20"/>
          <w:color w:val="auto"/>
        </w:rPr>
        <w:t>51 John F. Kennedy Parkway, Suite 120</w:t>
      </w:r>
    </w:p>
    <w:p>
      <w:pPr>
        <w:ind w:left="760"/>
        <w:spacing w:after="0" w:line="225" w:lineRule="auto"/>
        <w:rPr>
          <w:sz w:val="20"/>
          <w:szCs w:val="20"/>
          <w:color w:val="auto"/>
        </w:rPr>
      </w:pPr>
      <w:r>
        <w:rPr>
          <w:rFonts w:ascii="Arial" w:cs="Arial" w:eastAsia="Arial" w:hAnsi="Arial"/>
          <w:sz w:val="20"/>
          <w:szCs w:val="20"/>
          <w:color w:val="auto"/>
        </w:rPr>
        <w:t>Short Hills, New Jersey 07078</w:t>
      </w:r>
    </w:p>
    <w:p>
      <w:pPr>
        <w:ind w:left="760"/>
        <w:spacing w:after="0" w:line="226" w:lineRule="auto"/>
        <w:rPr>
          <w:sz w:val="20"/>
          <w:szCs w:val="20"/>
          <w:color w:val="auto"/>
        </w:rPr>
      </w:pPr>
      <w:r>
        <w:rPr>
          <w:rFonts w:ascii="Arial" w:cs="Arial" w:eastAsia="Arial" w:hAnsi="Arial"/>
          <w:sz w:val="20"/>
          <w:szCs w:val="20"/>
          <w:color w:val="auto"/>
        </w:rPr>
        <w:t>Attention: Emilio Ragosa, Esq.</w:t>
      </w:r>
    </w:p>
    <w:p>
      <w:pPr>
        <w:ind w:left="760"/>
        <w:spacing w:after="0" w:line="225" w:lineRule="auto"/>
        <w:rPr>
          <w:sz w:val="20"/>
          <w:szCs w:val="20"/>
          <w:color w:val="auto"/>
        </w:rPr>
      </w:pPr>
      <w:r>
        <w:rPr>
          <w:rFonts w:ascii="Arial" w:cs="Arial" w:eastAsia="Arial" w:hAnsi="Arial"/>
          <w:sz w:val="20"/>
          <w:szCs w:val="20"/>
          <w:color w:val="auto"/>
        </w:rPr>
        <w:t>Facsimile: (973) 215-2804</w:t>
      </w:r>
    </w:p>
    <w:p>
      <w:pPr>
        <w:spacing w:after="0" w:line="1" w:lineRule="exact"/>
        <w:rPr>
          <w:sz w:val="20"/>
          <w:szCs w:val="20"/>
          <w:color w:val="auto"/>
        </w:rPr>
      </w:pPr>
    </w:p>
    <w:p>
      <w:pPr>
        <w:ind w:left="760"/>
        <w:spacing w:after="0"/>
        <w:rPr>
          <w:sz w:val="20"/>
          <w:szCs w:val="20"/>
          <w:color w:val="auto"/>
        </w:rPr>
      </w:pPr>
      <w:r>
        <w:rPr>
          <w:rFonts w:ascii="Arial" w:cs="Arial" w:eastAsia="Arial" w:hAnsi="Arial"/>
          <w:sz w:val="20"/>
          <w:szCs w:val="20"/>
          <w:color w:val="auto"/>
        </w:rPr>
        <w:t>E-mail: emilio.ragosa@dlapiper.com</w:t>
      </w:r>
    </w:p>
    <w:p>
      <w:pPr>
        <w:spacing w:after="0" w:line="200" w:lineRule="exact"/>
        <w:rPr>
          <w:sz w:val="20"/>
          <w:szCs w:val="20"/>
          <w:color w:val="auto"/>
        </w:rPr>
      </w:pPr>
    </w:p>
    <w:p>
      <w:pPr>
        <w:spacing w:after="0" w:line="202" w:lineRule="exact"/>
        <w:rPr>
          <w:sz w:val="20"/>
          <w:szCs w:val="20"/>
          <w:color w:val="auto"/>
        </w:rPr>
      </w:pPr>
    </w:p>
    <w:p>
      <w:pPr>
        <w:spacing w:after="0" w:line="243" w:lineRule="auto"/>
        <w:rPr>
          <w:sz w:val="20"/>
          <w:szCs w:val="20"/>
          <w:color w:val="auto"/>
        </w:rPr>
      </w:pPr>
      <w:r>
        <w:rPr>
          <w:rFonts w:ascii="Arial" w:cs="Arial" w:eastAsia="Arial" w:hAnsi="Arial"/>
          <w:sz w:val="19"/>
          <w:szCs w:val="19"/>
          <w:color w:val="auto"/>
        </w:rPr>
        <w:t>Each party to this Agreement may change such address for notices by sending to the parties to this Agreement written notice of a new address for such purpose. Each such notice or other communication shall be deemed given (i) when delivered personally or by verifiable facsimile transmission (with an original to follow) on or before 4:30 P.M., New York City time, on a Business Day, or, if such day is not a Business Day, on the next succeeding Business Day, (ii) by Electronic Notice as set forth in the next paragraph, (iii) on the next Business Day after timely delivery to a nationally-recognized overnight courier or (iv) on the Business Day actually received if deposited in the U.S. mail (certified or registered mail, return receipt requested, postage prepaid). For purposes of this Agreement, “</w:t>
      </w:r>
      <w:r>
        <w:rPr>
          <w:rFonts w:ascii="Arial" w:cs="Arial" w:eastAsia="Arial" w:hAnsi="Arial"/>
          <w:sz w:val="19"/>
          <w:szCs w:val="19"/>
          <w:b w:val="1"/>
          <w:bCs w:val="1"/>
          <w:u w:val="single" w:color="auto"/>
          <w:color w:val="auto"/>
        </w:rPr>
        <w:t>Business Day</w:t>
      </w:r>
      <w:r>
        <w:rPr>
          <w:rFonts w:ascii="Arial" w:cs="Arial" w:eastAsia="Arial" w:hAnsi="Arial"/>
          <w:sz w:val="19"/>
          <w:szCs w:val="19"/>
          <w:color w:val="auto"/>
        </w:rPr>
        <w:t>” shall mean any day on which the Nasdaq and commercial banks in the City of New York are open for business.</w:t>
      </w:r>
    </w:p>
    <w:p>
      <w:pPr>
        <w:spacing w:after="0" w:line="173"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An electronic communication (“</w:t>
      </w:r>
      <w:r>
        <w:rPr>
          <w:rFonts w:ascii="Arial" w:cs="Arial" w:eastAsia="Arial" w:hAnsi="Arial"/>
          <w:sz w:val="18"/>
          <w:szCs w:val="18"/>
          <w:b w:val="1"/>
          <w:bCs w:val="1"/>
          <w:u w:val="single" w:color="auto"/>
          <w:color w:val="auto"/>
        </w:rPr>
        <w:t>Electronic Notice</w:t>
      </w:r>
      <w:r>
        <w:rPr>
          <w:rFonts w:ascii="Arial" w:cs="Arial" w:eastAsia="Arial" w:hAnsi="Arial"/>
          <w:sz w:val="18"/>
          <w:szCs w:val="18"/>
          <w:color w:val="auto"/>
        </w:rPr>
        <w:t>”) shall be deemed written notice for purposes of this Section 12 if sent to the electronic mail address specified by the receiving party in this Section 12. Electronic Notice shall be deemed received at the time the party sending Electronic Notice receives actual acknowledgment of receipt from the person whom the notice is sent, other than via auto-reply. Any party receiving Electronic Notice may request and shall be entitled to receive the notice on paper, in a nonelectronic form (“</w:t>
      </w:r>
      <w:r>
        <w:rPr>
          <w:rFonts w:ascii="Arial" w:cs="Arial" w:eastAsia="Arial" w:hAnsi="Arial"/>
          <w:sz w:val="18"/>
          <w:szCs w:val="18"/>
          <w:b w:val="1"/>
          <w:bCs w:val="1"/>
          <w:u w:val="single" w:color="auto"/>
          <w:color w:val="auto"/>
        </w:rPr>
        <w:t>Nonelectronic</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Notice</w:t>
      </w:r>
      <w:r>
        <w:rPr>
          <w:rFonts w:ascii="Arial" w:cs="Arial" w:eastAsia="Arial" w:hAnsi="Arial"/>
          <w:sz w:val="18"/>
          <w:szCs w:val="18"/>
          <w:color w:val="auto"/>
        </w:rPr>
        <w:t>”), which shall be sent to the requesting party within 10 days of receipt of the written request for Nonelectronic Notice.</w:t>
      </w:r>
    </w:p>
    <w:p>
      <w:pPr>
        <w:spacing w:after="0" w:line="164" w:lineRule="exact"/>
        <w:rPr>
          <w:sz w:val="20"/>
          <w:szCs w:val="20"/>
          <w:color w:val="auto"/>
        </w:rPr>
      </w:pPr>
    </w:p>
    <w:p>
      <w:pPr>
        <w:ind w:right="180" w:firstLine="757"/>
        <w:spacing w:after="0" w:line="294" w:lineRule="auto"/>
        <w:tabs>
          <w:tab w:leader="none" w:pos="1145" w:val="left"/>
        </w:tabs>
        <w:numPr>
          <w:ilvl w:val="0"/>
          <w:numId w:val="53"/>
        </w:numPr>
        <w:rPr>
          <w:rFonts w:ascii="Arial" w:cs="Arial" w:eastAsia="Arial" w:hAnsi="Arial"/>
          <w:sz w:val="16"/>
          <w:szCs w:val="16"/>
          <w:color w:val="auto"/>
        </w:rPr>
      </w:pPr>
      <w:r>
        <w:rPr>
          <w:rFonts w:ascii="Arial" w:cs="Arial" w:eastAsia="Arial" w:hAnsi="Arial"/>
          <w:sz w:val="16"/>
          <w:szCs w:val="16"/>
          <w:u w:val="single" w:color="auto"/>
          <w:color w:val="auto"/>
        </w:rPr>
        <w:t>Successors and Assigns</w:t>
      </w:r>
      <w:r>
        <w:rPr>
          <w:rFonts w:ascii="Arial" w:cs="Arial" w:eastAsia="Arial" w:hAnsi="Arial"/>
          <w:sz w:val="16"/>
          <w:szCs w:val="16"/>
          <w:color w:val="auto"/>
        </w:rPr>
        <w:t xml:space="preserve">. This Agreement shall inure to the benefit of and be binding upon the Company and the Agent and their respective successors and the affiliates, controlling persons, officers, directors and other persons referred to in Section 9 hereof. References to any of the parties contained in this Agreement shall be deemed to include the successors and permitted assigns of each such party. Nothing in this Agreement, express or implied, is intended to confer upon any party other than the parties hereto, the persons referred to in the preceding sentence and their respective successors and permitted assigns any rights, remedies, obligations or liabilities under or by reason of this Agreement, except as expressly provided in this Agreement. Neither party may assign its rights or obligations under this Agreement without the prior written consent of the other party; </w:t>
      </w:r>
      <w:r>
        <w:rPr>
          <w:rFonts w:ascii="Arial" w:cs="Arial" w:eastAsia="Arial" w:hAnsi="Arial"/>
          <w:sz w:val="16"/>
          <w:szCs w:val="16"/>
          <w:i w:val="1"/>
          <w:iCs w:val="1"/>
          <w:color w:val="auto"/>
        </w:rPr>
        <w:t>provided, however</w:t>
      </w:r>
      <w:r>
        <w:rPr>
          <w:rFonts w:ascii="Arial" w:cs="Arial" w:eastAsia="Arial" w:hAnsi="Arial"/>
          <w:sz w:val="16"/>
          <w:szCs w:val="16"/>
          <w:color w:val="auto"/>
        </w:rPr>
        <w:t>, that the Agent may assign its rights and obligations hereunder to an affiliate of the Agent without obtaining the Company’s consent, so long as such affiliate is a registered broker-dealer.</w:t>
      </w:r>
    </w:p>
    <w:p>
      <w:pPr>
        <w:spacing w:after="0" w:line="140" w:lineRule="exact"/>
        <w:rPr>
          <w:rFonts w:ascii="Arial" w:cs="Arial" w:eastAsia="Arial" w:hAnsi="Arial"/>
          <w:sz w:val="16"/>
          <w:szCs w:val="16"/>
          <w:color w:val="auto"/>
        </w:rPr>
      </w:pPr>
    </w:p>
    <w:p>
      <w:pPr>
        <w:ind w:right="180" w:firstLine="757"/>
        <w:spacing w:after="0" w:line="259" w:lineRule="auto"/>
        <w:tabs>
          <w:tab w:leader="none" w:pos="1145" w:val="left"/>
        </w:tabs>
        <w:numPr>
          <w:ilvl w:val="0"/>
          <w:numId w:val="53"/>
        </w:numPr>
        <w:rPr>
          <w:rFonts w:ascii="Arial" w:cs="Arial" w:eastAsia="Arial" w:hAnsi="Arial"/>
          <w:sz w:val="18"/>
          <w:szCs w:val="18"/>
          <w:color w:val="auto"/>
        </w:rPr>
      </w:pPr>
      <w:r>
        <w:rPr>
          <w:rFonts w:ascii="Arial" w:cs="Arial" w:eastAsia="Arial" w:hAnsi="Arial"/>
          <w:sz w:val="18"/>
          <w:szCs w:val="18"/>
          <w:u w:val="single" w:color="auto"/>
          <w:color w:val="auto"/>
        </w:rPr>
        <w:t>Adjustments for Share Splits</w:t>
      </w:r>
      <w:r>
        <w:rPr>
          <w:rFonts w:ascii="Arial" w:cs="Arial" w:eastAsia="Arial" w:hAnsi="Arial"/>
          <w:sz w:val="18"/>
          <w:szCs w:val="18"/>
          <w:color w:val="auto"/>
        </w:rPr>
        <w:t>. The parties acknowledge and agree that all share-related numbers contained in this Agreement shall be adjusted to take into account any share split, share dividend or similar event effected with respect to the Shares.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39" w:name="page40"/>
    <w:bookmarkEnd w:id="39"/>
    <w:p>
      <w:pPr>
        <w:ind w:left="-40" w:firstLine="757"/>
        <w:spacing w:after="0" w:line="239" w:lineRule="auto"/>
        <w:tabs>
          <w:tab w:leader="none" w:pos="1105" w:val="left"/>
        </w:tabs>
        <w:numPr>
          <w:ilvl w:val="0"/>
          <w:numId w:val="54"/>
        </w:numPr>
        <w:rPr>
          <w:rFonts w:ascii="Arial" w:cs="Arial" w:eastAsia="Arial" w:hAnsi="Arial"/>
          <w:sz w:val="19"/>
          <w:szCs w:val="19"/>
          <w:color w:val="auto"/>
        </w:rPr>
      </w:pPr>
      <w:r>
        <w:rPr>
          <w:rFonts w:ascii="Arial" w:cs="Arial" w:eastAsia="Arial" w:hAnsi="Arial"/>
          <w:sz w:val="19"/>
          <w:szCs w:val="19"/>
          <w:u w:val="single" w:color="auto"/>
          <w:color w:val="auto"/>
        </w:rPr>
        <w:t>Entire Agreement; Amendment; Severability; Waiver</w:t>
      </w:r>
      <w:r>
        <w:rPr>
          <w:rFonts w:ascii="Arial" w:cs="Arial" w:eastAsia="Arial" w:hAnsi="Arial"/>
          <w:sz w:val="19"/>
          <w:szCs w:val="19"/>
          <w:color w:val="auto"/>
        </w:rPr>
        <w:t xml:space="preserve">. This Agreement (including all schedules (as amended pursuant to this Agreement) and exhibits attached hereto and Placement Notices issued pursuant hereto) constitutes the entire agreement and supersedes all other prior and contemporaneous agreements and undertakings, both written and oral, among the parties hereto with regard to the subject matter hereof. Neither this Agreement nor any term hereof may be amended except pursuant to a written instrument executed by the Company and the Agent;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xml:space="preserve">, that </w:t>
      </w:r>
      <w:r>
        <w:rPr>
          <w:rFonts w:ascii="Arial" w:cs="Arial" w:eastAsia="Arial" w:hAnsi="Arial"/>
          <w:sz w:val="19"/>
          <w:szCs w:val="19"/>
          <w:b w:val="1"/>
          <w:bCs w:val="1"/>
          <w:u w:val="single" w:color="auto"/>
          <w:color w:val="auto"/>
        </w:rPr>
        <w:t>Schedule 2</w:t>
      </w:r>
      <w:r>
        <w:rPr>
          <w:rFonts w:ascii="Arial" w:cs="Arial" w:eastAsia="Arial" w:hAnsi="Arial"/>
          <w:sz w:val="19"/>
          <w:szCs w:val="19"/>
          <w:color w:val="auto"/>
        </w:rPr>
        <w:t xml:space="preserve"> of this Agreement may be amended by either party from time to time by sending a notice containing a revised </w:t>
      </w:r>
      <w:r>
        <w:rPr>
          <w:rFonts w:ascii="Arial" w:cs="Arial" w:eastAsia="Arial" w:hAnsi="Arial"/>
          <w:sz w:val="19"/>
          <w:szCs w:val="19"/>
          <w:b w:val="1"/>
          <w:bCs w:val="1"/>
          <w:u w:val="single" w:color="auto"/>
          <w:color w:val="auto"/>
        </w:rPr>
        <w:t>Schedule 2</w:t>
      </w:r>
      <w:r>
        <w:rPr>
          <w:rFonts w:ascii="Arial" w:cs="Arial" w:eastAsia="Arial" w:hAnsi="Arial"/>
          <w:sz w:val="19"/>
          <w:szCs w:val="19"/>
          <w:color w:val="auto"/>
        </w:rPr>
        <w:t xml:space="preserve"> to the other party in the manner provided in Section 12 and, upon such amendment, all references herein to </w:t>
      </w:r>
      <w:r>
        <w:rPr>
          <w:rFonts w:ascii="Arial" w:cs="Arial" w:eastAsia="Arial" w:hAnsi="Arial"/>
          <w:sz w:val="19"/>
          <w:szCs w:val="19"/>
          <w:b w:val="1"/>
          <w:bCs w:val="1"/>
          <w:u w:val="single" w:color="auto"/>
          <w:color w:val="auto"/>
        </w:rPr>
        <w:t>Schedule 2</w:t>
      </w:r>
      <w:r>
        <w:rPr>
          <w:rFonts w:ascii="Arial" w:cs="Arial" w:eastAsia="Arial" w:hAnsi="Arial"/>
          <w:sz w:val="19"/>
          <w:szCs w:val="19"/>
          <w:color w:val="auto"/>
        </w:rPr>
        <w:t xml:space="preserve"> shall automatically be deemed to refer to such amended </w:t>
      </w:r>
      <w:r>
        <w:rPr>
          <w:rFonts w:ascii="Arial" w:cs="Arial" w:eastAsia="Arial" w:hAnsi="Arial"/>
          <w:sz w:val="19"/>
          <w:szCs w:val="19"/>
          <w:b w:val="1"/>
          <w:bCs w:val="1"/>
          <w:u w:val="single" w:color="auto"/>
          <w:color w:val="auto"/>
        </w:rPr>
        <w:t>Schedule 2</w:t>
      </w:r>
      <w:r>
        <w:rPr>
          <w:rFonts w:ascii="Arial" w:cs="Arial" w:eastAsia="Arial" w:hAnsi="Arial"/>
          <w:sz w:val="19"/>
          <w:szCs w:val="19"/>
          <w:color w:val="auto"/>
        </w:rPr>
        <w:t>. In the event that any one or more of the provisions contained herein, or the application thereof in any circumstance, is held invalid, illegal or unenforceable as written by a court of competent jurisdiction, then such provision shall be given full force and effect to the fullest possible extent that it is valid, legal and enforceable, and the remainder of the terms and provisions herein shall be construed as if such invalid, illegal or unenforceable term or provision was not contained herein, but only to the extent that giving effect to such provision and the remainder of the terms and provisions hereof shall be in accordance with the intent of the parties as reflected in this Agreement. No implied waiver by a party shall arise in the absence of a waiver in writing signed by such party. No failure or delay in exercising any right, power, or privilege hereunder shall operate as a waiver thereof, nor shall any single or partial exercise thereof preclude any other or further exercise thereof or the exercise of any right, power, or privilege hereunder.</w:t>
      </w:r>
    </w:p>
    <w:p>
      <w:pPr>
        <w:spacing w:after="0" w:line="186" w:lineRule="exact"/>
        <w:rPr>
          <w:rFonts w:ascii="Arial" w:cs="Arial" w:eastAsia="Arial" w:hAnsi="Arial"/>
          <w:sz w:val="19"/>
          <w:szCs w:val="19"/>
          <w:color w:val="auto"/>
        </w:rPr>
      </w:pPr>
    </w:p>
    <w:p>
      <w:pPr>
        <w:ind w:left="-40" w:right="80" w:firstLine="757"/>
        <w:spacing w:after="0" w:line="232" w:lineRule="auto"/>
        <w:tabs>
          <w:tab w:leader="none" w:pos="1105" w:val="left"/>
        </w:tabs>
        <w:numPr>
          <w:ilvl w:val="0"/>
          <w:numId w:val="54"/>
        </w:numPr>
        <w:rPr>
          <w:rFonts w:ascii="Arial" w:cs="Arial" w:eastAsia="Arial" w:hAnsi="Arial"/>
          <w:sz w:val="20"/>
          <w:szCs w:val="20"/>
          <w:color w:val="auto"/>
        </w:rPr>
      </w:pPr>
      <w:r>
        <w:rPr>
          <w:rFonts w:ascii="Arial" w:cs="Arial" w:eastAsia="Arial" w:hAnsi="Arial"/>
          <w:sz w:val="20"/>
          <w:szCs w:val="20"/>
          <w:b w:val="1"/>
          <w:bCs w:val="1"/>
          <w:u w:val="single" w:color="auto"/>
          <w:color w:val="auto"/>
        </w:rPr>
        <w:t>GOVERNING LAW AND TIME; WAIVER OF JURY TRIAL</w:t>
      </w:r>
      <w:r>
        <w:rPr>
          <w:rFonts w:ascii="Arial" w:cs="Arial" w:eastAsia="Arial" w:hAnsi="Arial"/>
          <w:sz w:val="20"/>
          <w:szCs w:val="20"/>
          <w:b w:val="1"/>
          <w:bCs w:val="1"/>
          <w:color w:val="auto"/>
        </w:rPr>
        <w:t>. THIS AGREEMENT SHALL BE GOVERNED BY AND CONSTRUED IN ACCORDANCE WITH THE LAWS OF THE STATE OF NEW YORK WITHOUT REGARD TO THE PRINCIPLES OF CONFLICTS OF LAWS. SPECIFIED TIMES OF DAY REFER TO NEW YORK CITY TIME. EACH PARTY HEREBY IRREVOCABLY WAIVES, TO THE FULLEST EXTENT PERMITTED BY APPLICABLE LAW, ANY AND ALL RIGHT TO TRIAL BY JURY IN ANY LEGAL PROCEEDING ARISING OUT OF OR RELATING TO THIS AGREEMENT OR THE TRANSACTIONS CONTEMPLATED HEREBY.</w:t>
      </w:r>
    </w:p>
    <w:p>
      <w:pPr>
        <w:spacing w:after="0" w:line="184" w:lineRule="exact"/>
        <w:rPr>
          <w:rFonts w:ascii="Arial" w:cs="Arial" w:eastAsia="Arial" w:hAnsi="Arial"/>
          <w:sz w:val="20"/>
          <w:szCs w:val="20"/>
          <w:color w:val="auto"/>
        </w:rPr>
      </w:pPr>
    </w:p>
    <w:p>
      <w:pPr>
        <w:ind w:left="-40" w:right="60" w:firstLine="757"/>
        <w:spacing w:after="0" w:line="241" w:lineRule="auto"/>
        <w:tabs>
          <w:tab w:leader="none" w:pos="1105" w:val="left"/>
        </w:tabs>
        <w:numPr>
          <w:ilvl w:val="0"/>
          <w:numId w:val="54"/>
        </w:numPr>
        <w:rPr>
          <w:rFonts w:ascii="Arial" w:cs="Arial" w:eastAsia="Arial" w:hAnsi="Arial"/>
          <w:sz w:val="19"/>
          <w:szCs w:val="19"/>
          <w:color w:val="auto"/>
        </w:rPr>
      </w:pPr>
      <w:r>
        <w:rPr>
          <w:rFonts w:ascii="Arial" w:cs="Arial" w:eastAsia="Arial" w:hAnsi="Arial"/>
          <w:sz w:val="19"/>
          <w:szCs w:val="19"/>
          <w:u w:val="single" w:color="auto"/>
          <w:color w:val="auto"/>
        </w:rPr>
        <w:t>Consent to Jurisdiction</w:t>
      </w:r>
      <w:r>
        <w:rPr>
          <w:rFonts w:ascii="Arial" w:cs="Arial" w:eastAsia="Arial" w:hAnsi="Arial"/>
          <w:sz w:val="19"/>
          <w:szCs w:val="19"/>
          <w:color w:val="auto"/>
        </w:rPr>
        <w:t>. Each party hereby irrevocably submits to the exclusive jurisdiction of the state and federal courts sitting in the City of New York, Borough of Manhattan, for the adjudication of any dispute hereunder or in connection with any of the transactions contemplated hereby, and hereby irrevocably waives, and agrees not to assert in any suit, action or proceeding, any claim that it is not personally subject to the jurisdiction of any such court, that such suit, action or proceeding is brought in an inconvenient forum, or that the venue of such suit, action or proceeding is improper. Each party hereby irrevocably waives personal service of process and consents to process being served in any such suit, action or proceeding by mailing a copy (certified or registered mail, return receipt requested) to such party at the address in effect for notices under Section 12 of this Agreement and agrees that such service shall constitute good and sufficient notice of process and notice thereof. Nothing contained herein shall be deemed to limit in any way any right to serve process in any manner permitted by law.</w:t>
      </w:r>
    </w:p>
    <w:p>
      <w:pPr>
        <w:spacing w:after="0" w:line="185" w:lineRule="exact"/>
        <w:rPr>
          <w:rFonts w:ascii="Arial" w:cs="Arial" w:eastAsia="Arial" w:hAnsi="Arial"/>
          <w:sz w:val="19"/>
          <w:szCs w:val="19"/>
          <w:color w:val="auto"/>
        </w:rPr>
      </w:pPr>
    </w:p>
    <w:p>
      <w:pPr>
        <w:ind w:left="1120" w:hanging="403"/>
        <w:spacing w:after="0"/>
        <w:tabs>
          <w:tab w:leader="none" w:pos="1120" w:val="left"/>
        </w:tabs>
        <w:numPr>
          <w:ilvl w:val="0"/>
          <w:numId w:val="54"/>
        </w:numPr>
        <w:rPr>
          <w:rFonts w:ascii="Arial" w:cs="Arial" w:eastAsia="Arial" w:hAnsi="Arial"/>
          <w:sz w:val="20"/>
          <w:szCs w:val="20"/>
          <w:color w:val="auto"/>
        </w:rPr>
      </w:pPr>
      <w:r>
        <w:rPr>
          <w:rFonts w:ascii="Arial" w:cs="Arial" w:eastAsia="Arial" w:hAnsi="Arial"/>
          <w:sz w:val="20"/>
          <w:szCs w:val="20"/>
          <w:u w:val="single" w:color="auto"/>
          <w:color w:val="auto"/>
        </w:rPr>
        <w:t>Construction</w:t>
      </w:r>
      <w:r>
        <w:rPr>
          <w:rFonts w:ascii="Arial" w:cs="Arial" w:eastAsia="Arial" w:hAnsi="Arial"/>
          <w:sz w:val="20"/>
          <w:szCs w:val="20"/>
          <w:color w:val="auto"/>
        </w:rPr>
        <w:t>.</w:t>
      </w:r>
    </w:p>
    <w:p>
      <w:pPr>
        <w:spacing w:after="0" w:line="202" w:lineRule="exact"/>
        <w:rPr>
          <w:sz w:val="20"/>
          <w:szCs w:val="20"/>
          <w:color w:val="auto"/>
        </w:rPr>
      </w:pPr>
    </w:p>
    <w:p>
      <w:pPr>
        <w:ind w:left="1120" w:hanging="403"/>
        <w:spacing w:after="0"/>
        <w:tabs>
          <w:tab w:leader="none" w:pos="1120" w:val="left"/>
        </w:tabs>
        <w:numPr>
          <w:ilvl w:val="0"/>
          <w:numId w:val="55"/>
        </w:numPr>
        <w:rPr>
          <w:rFonts w:ascii="Arial" w:cs="Arial" w:eastAsia="Arial" w:hAnsi="Arial"/>
          <w:sz w:val="20"/>
          <w:szCs w:val="20"/>
          <w:color w:val="auto"/>
        </w:rPr>
      </w:pPr>
      <w:r>
        <w:rPr>
          <w:rFonts w:ascii="Arial" w:cs="Arial" w:eastAsia="Arial" w:hAnsi="Arial"/>
          <w:sz w:val="20"/>
          <w:szCs w:val="20"/>
          <w:color w:val="auto"/>
        </w:rPr>
        <w:t>The section and exhibit headings herein are for convenience only and shall not affect the construction hereof.</w:t>
      </w:r>
    </w:p>
    <w:p>
      <w:pPr>
        <w:spacing w:after="0" w:line="202" w:lineRule="exact"/>
        <w:rPr>
          <w:rFonts w:ascii="Arial" w:cs="Arial" w:eastAsia="Arial" w:hAnsi="Arial"/>
          <w:sz w:val="20"/>
          <w:szCs w:val="20"/>
          <w:color w:val="auto"/>
        </w:rPr>
      </w:pPr>
    </w:p>
    <w:p>
      <w:pPr>
        <w:ind w:left="1120" w:hanging="403"/>
        <w:spacing w:after="0"/>
        <w:tabs>
          <w:tab w:leader="none" w:pos="1120" w:val="left"/>
        </w:tabs>
        <w:numPr>
          <w:ilvl w:val="0"/>
          <w:numId w:val="55"/>
        </w:numPr>
        <w:rPr>
          <w:rFonts w:ascii="Arial" w:cs="Arial" w:eastAsia="Arial" w:hAnsi="Arial"/>
          <w:sz w:val="20"/>
          <w:szCs w:val="20"/>
          <w:color w:val="auto"/>
        </w:rPr>
      </w:pPr>
      <w:r>
        <w:rPr>
          <w:rFonts w:ascii="Arial" w:cs="Arial" w:eastAsia="Arial" w:hAnsi="Arial"/>
          <w:sz w:val="20"/>
          <w:szCs w:val="20"/>
          <w:color w:val="auto"/>
        </w:rPr>
        <w:t>Words defined in the singular shall have a comparable meaning when used in the plural, and vice versa.</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332105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60" w:top="339" w:right="359" w:bottom="1440" w:gutter="0" w:footer="0" w:header="0"/>
        </w:sectPr>
      </w:pPr>
    </w:p>
    <w:bookmarkStart w:id="40" w:name="page41"/>
    <w:bookmarkEnd w:id="40"/>
    <w:p>
      <w:pPr>
        <w:ind w:right="20" w:firstLine="757"/>
        <w:spacing w:after="0" w:line="247" w:lineRule="auto"/>
        <w:tabs>
          <w:tab w:leader="none" w:pos="1145" w:val="left"/>
        </w:tabs>
        <w:numPr>
          <w:ilvl w:val="0"/>
          <w:numId w:val="56"/>
        </w:numPr>
        <w:rPr>
          <w:rFonts w:ascii="Arial" w:cs="Arial" w:eastAsia="Arial" w:hAnsi="Arial"/>
          <w:sz w:val="20"/>
          <w:szCs w:val="20"/>
          <w:color w:val="auto"/>
        </w:rPr>
      </w:pPr>
      <w:r>
        <w:rPr>
          <w:rFonts w:ascii="Arial" w:cs="Arial" w:eastAsia="Arial" w:hAnsi="Arial"/>
          <w:sz w:val="20"/>
          <w:szCs w:val="20"/>
          <w:color w:val="auto"/>
        </w:rPr>
        <w:t>The words “hereof,” “hereto,” “herein” and “hereunder” and words of similar import, when used in this Agreement, shall refer to this Agreement as a whole and not to any particular provision of this Agreement.</w:t>
      </w:r>
    </w:p>
    <w:p>
      <w:pPr>
        <w:spacing w:after="0" w:line="175" w:lineRule="exact"/>
        <w:rPr>
          <w:rFonts w:ascii="Arial" w:cs="Arial" w:eastAsia="Arial" w:hAnsi="Arial"/>
          <w:sz w:val="20"/>
          <w:szCs w:val="20"/>
          <w:color w:val="auto"/>
        </w:rPr>
      </w:pPr>
    </w:p>
    <w:p>
      <w:pPr>
        <w:ind w:right="260" w:firstLine="757"/>
        <w:spacing w:after="0" w:line="246" w:lineRule="auto"/>
        <w:tabs>
          <w:tab w:leader="none" w:pos="1145" w:val="left"/>
        </w:tabs>
        <w:numPr>
          <w:ilvl w:val="0"/>
          <w:numId w:val="56"/>
        </w:numPr>
        <w:rPr>
          <w:rFonts w:ascii="Arial" w:cs="Arial" w:eastAsia="Arial" w:hAnsi="Arial"/>
          <w:sz w:val="20"/>
          <w:szCs w:val="20"/>
          <w:color w:val="auto"/>
        </w:rPr>
      </w:pPr>
      <w:r>
        <w:rPr>
          <w:rFonts w:ascii="Arial" w:cs="Arial" w:eastAsia="Arial" w:hAnsi="Arial"/>
          <w:sz w:val="20"/>
          <w:szCs w:val="20"/>
          <w:color w:val="auto"/>
        </w:rPr>
        <w:t>Wherever the word “include,” “includes” or “including” is used in this Agreement, it shall be deemed to be followed by the words “without limitation.”</w:t>
      </w:r>
    </w:p>
    <w:p>
      <w:pPr>
        <w:spacing w:after="0" w:line="176" w:lineRule="exact"/>
        <w:rPr>
          <w:rFonts w:ascii="Arial" w:cs="Arial" w:eastAsia="Arial" w:hAnsi="Arial"/>
          <w:sz w:val="20"/>
          <w:szCs w:val="20"/>
          <w:color w:val="auto"/>
        </w:rPr>
      </w:pPr>
    </w:p>
    <w:p>
      <w:pPr>
        <w:ind w:left="1160" w:hanging="403"/>
        <w:spacing w:after="0"/>
        <w:tabs>
          <w:tab w:leader="none" w:pos="1160" w:val="left"/>
        </w:tabs>
        <w:numPr>
          <w:ilvl w:val="0"/>
          <w:numId w:val="56"/>
        </w:numPr>
        <w:rPr>
          <w:rFonts w:ascii="Arial" w:cs="Arial" w:eastAsia="Arial" w:hAnsi="Arial"/>
          <w:sz w:val="20"/>
          <w:szCs w:val="20"/>
          <w:color w:val="auto"/>
        </w:rPr>
      </w:pPr>
      <w:r>
        <w:rPr>
          <w:rFonts w:ascii="Arial" w:cs="Arial" w:eastAsia="Arial" w:hAnsi="Arial"/>
          <w:sz w:val="20"/>
          <w:szCs w:val="20"/>
          <w:color w:val="auto"/>
        </w:rPr>
        <w:t>References herein to any gender shall include each other gender.</w:t>
      </w:r>
    </w:p>
    <w:p>
      <w:pPr>
        <w:spacing w:after="0" w:line="202" w:lineRule="exact"/>
        <w:rPr>
          <w:rFonts w:ascii="Arial" w:cs="Arial" w:eastAsia="Arial" w:hAnsi="Arial"/>
          <w:sz w:val="20"/>
          <w:szCs w:val="20"/>
          <w:color w:val="auto"/>
        </w:rPr>
      </w:pPr>
    </w:p>
    <w:p>
      <w:pPr>
        <w:ind w:right="360" w:firstLine="757"/>
        <w:spacing w:after="0" w:line="234" w:lineRule="auto"/>
        <w:tabs>
          <w:tab w:leader="none" w:pos="1145" w:val="left"/>
        </w:tabs>
        <w:numPr>
          <w:ilvl w:val="0"/>
          <w:numId w:val="56"/>
        </w:numPr>
        <w:rPr>
          <w:rFonts w:ascii="Arial" w:cs="Arial" w:eastAsia="Arial" w:hAnsi="Arial"/>
          <w:sz w:val="20"/>
          <w:szCs w:val="20"/>
          <w:color w:val="auto"/>
        </w:rPr>
      </w:pPr>
      <w:r>
        <w:rPr>
          <w:rFonts w:ascii="Arial" w:cs="Arial" w:eastAsia="Arial" w:hAnsi="Arial"/>
          <w:sz w:val="20"/>
          <w:szCs w:val="20"/>
          <w:color w:val="auto"/>
        </w:rPr>
        <w:t>References herein to any law, statute, ordinance, code, regulation, rule or other requirement of any governmental authority shall be deemed to refer to such law, statute, ordinance, code, regulation, rule or other requirement of any governmental authority as amended, reenacted, supplemented or superseded in whole or in part and in effect from time to time and also to all rules and regulations promulgated thereunder.</w:t>
      </w:r>
    </w:p>
    <w:p>
      <w:pPr>
        <w:spacing w:after="0" w:line="183" w:lineRule="exact"/>
        <w:rPr>
          <w:sz w:val="20"/>
          <w:szCs w:val="20"/>
          <w:color w:val="auto"/>
        </w:rPr>
      </w:pPr>
    </w:p>
    <w:p>
      <w:pPr>
        <w:ind w:firstLine="757"/>
        <w:spacing w:after="0" w:line="241" w:lineRule="auto"/>
        <w:tabs>
          <w:tab w:leader="none" w:pos="1145" w:val="left"/>
        </w:tabs>
        <w:numPr>
          <w:ilvl w:val="0"/>
          <w:numId w:val="57"/>
        </w:numPr>
        <w:rPr>
          <w:rFonts w:ascii="Arial" w:cs="Arial" w:eastAsia="Arial" w:hAnsi="Arial"/>
          <w:sz w:val="19"/>
          <w:szCs w:val="19"/>
          <w:color w:val="auto"/>
        </w:rPr>
      </w:pPr>
      <w:r>
        <w:rPr>
          <w:rFonts w:ascii="Arial" w:cs="Arial" w:eastAsia="Arial" w:hAnsi="Arial"/>
          <w:sz w:val="19"/>
          <w:szCs w:val="19"/>
          <w:u w:val="single" w:color="auto"/>
          <w:color w:val="auto"/>
        </w:rPr>
        <w:t>Permitted Free Writing Prospectuses</w:t>
      </w:r>
      <w:r>
        <w:rPr>
          <w:rFonts w:ascii="Arial" w:cs="Arial" w:eastAsia="Arial" w:hAnsi="Arial"/>
          <w:sz w:val="19"/>
          <w:szCs w:val="19"/>
          <w:color w:val="auto"/>
        </w:rPr>
        <w:t>. The Company represents, warrants and agrees that, unless it obtains the prior written consent of the Agent, which consent shall not be unreasonably withheld, conditioned or delayed, and the Agent represents, warrants and agrees that, unless it obtains the prior written consent of the Company, which consent shall not be unreasonably withheld, conditioned or delayed, it has not made and will not make any offer relating to the Placement Shares that would constitute an issuer free writing prospectus, or that would otherwise constitute a free writing prospectus (as defined in Rule 405 under the Securities Act), required to be filed with the Commission. Any such free writing prospectus consented to by the Agent or by the Company, as the case may be, is hereinafter referred to as a “</w:t>
      </w:r>
      <w:r>
        <w:rPr>
          <w:rFonts w:ascii="Arial" w:cs="Arial" w:eastAsia="Arial" w:hAnsi="Arial"/>
          <w:sz w:val="19"/>
          <w:szCs w:val="19"/>
          <w:b w:val="1"/>
          <w:bCs w:val="1"/>
          <w:u w:val="single" w:color="auto"/>
          <w:color w:val="auto"/>
        </w:rPr>
        <w:t>Permitted Free Writing Prospectus</w:t>
      </w:r>
      <w:r>
        <w:rPr>
          <w:rFonts w:ascii="Arial" w:cs="Arial" w:eastAsia="Arial" w:hAnsi="Arial"/>
          <w:sz w:val="19"/>
          <w:szCs w:val="19"/>
          <w:color w:val="auto"/>
        </w:rPr>
        <w:t>.” The Company represents and warrants that it has treated and agrees that it will treat each Permitted Free Writing Prospectus as an issuer free writing prospectus, and that it has complied and will comply with the requirements of Rule 433 applicable to any Permitted Free Writing Prospectus, including timely filing with the Commission where required, legending and record keeping.</w:t>
      </w:r>
    </w:p>
    <w:p>
      <w:pPr>
        <w:spacing w:after="0" w:line="182" w:lineRule="exact"/>
        <w:rPr>
          <w:rFonts w:ascii="Arial" w:cs="Arial" w:eastAsia="Arial" w:hAnsi="Arial"/>
          <w:sz w:val="19"/>
          <w:szCs w:val="19"/>
          <w:color w:val="auto"/>
        </w:rPr>
      </w:pPr>
    </w:p>
    <w:p>
      <w:pPr>
        <w:ind w:left="1160" w:hanging="403"/>
        <w:spacing w:after="0"/>
        <w:tabs>
          <w:tab w:leader="none" w:pos="1160" w:val="left"/>
        </w:tabs>
        <w:numPr>
          <w:ilvl w:val="0"/>
          <w:numId w:val="57"/>
        </w:numPr>
        <w:rPr>
          <w:rFonts w:ascii="Arial" w:cs="Arial" w:eastAsia="Arial" w:hAnsi="Arial"/>
          <w:sz w:val="20"/>
          <w:szCs w:val="20"/>
          <w:color w:val="auto"/>
        </w:rPr>
      </w:pPr>
      <w:r>
        <w:rPr>
          <w:rFonts w:ascii="Arial" w:cs="Arial" w:eastAsia="Arial" w:hAnsi="Arial"/>
          <w:sz w:val="20"/>
          <w:szCs w:val="20"/>
          <w:u w:val="single" w:color="auto"/>
          <w:color w:val="auto"/>
        </w:rPr>
        <w:t>Absence of Fiduciary Relationship</w:t>
      </w:r>
      <w:r>
        <w:rPr>
          <w:rFonts w:ascii="Arial" w:cs="Arial" w:eastAsia="Arial" w:hAnsi="Arial"/>
          <w:sz w:val="20"/>
          <w:szCs w:val="20"/>
          <w:color w:val="auto"/>
        </w:rPr>
        <w:t>. The Company acknowledges and agrees that:</w:t>
      </w:r>
    </w:p>
    <w:p>
      <w:pPr>
        <w:spacing w:after="0" w:line="202" w:lineRule="exact"/>
        <w:rPr>
          <w:sz w:val="20"/>
          <w:szCs w:val="20"/>
          <w:color w:val="auto"/>
        </w:rPr>
      </w:pPr>
    </w:p>
    <w:p>
      <w:pPr>
        <w:ind w:right="120" w:firstLine="757"/>
        <w:spacing w:after="0" w:line="244" w:lineRule="auto"/>
        <w:tabs>
          <w:tab w:leader="none" w:pos="1145" w:val="left"/>
        </w:tabs>
        <w:numPr>
          <w:ilvl w:val="0"/>
          <w:numId w:val="58"/>
        </w:numPr>
        <w:rPr>
          <w:rFonts w:ascii="Arial" w:cs="Arial" w:eastAsia="Arial" w:hAnsi="Arial"/>
          <w:sz w:val="19"/>
          <w:szCs w:val="19"/>
          <w:color w:val="auto"/>
        </w:rPr>
      </w:pPr>
      <w:r>
        <w:rPr>
          <w:rFonts w:ascii="Arial" w:cs="Arial" w:eastAsia="Arial" w:hAnsi="Arial"/>
          <w:sz w:val="19"/>
          <w:szCs w:val="19"/>
          <w:color w:val="auto"/>
        </w:rPr>
        <w:t>the Agent has been retained to act as sales agent in connection with the sale of the Placement Shares, the Agent has acted at arms’ length and no fiduciary or advisory relationship between the Company or any of its respective affiliates, stockholders (or other equity holders), creditors or employees or any other party, on the one hand, and the Agent, on the other hand, has been or will be created in respect of any of the transactions contemplated by this Agreement, irrespective of whether the Agent has advised or is advising the Company on other matters and the Agent has no duties or obligations to the Company with respect to the transactions contemplated by this Agreement except the obligations expressly set forth herein;</w:t>
      </w:r>
    </w:p>
    <w:p>
      <w:pPr>
        <w:spacing w:after="0" w:line="179" w:lineRule="exact"/>
        <w:rPr>
          <w:rFonts w:ascii="Arial" w:cs="Arial" w:eastAsia="Arial" w:hAnsi="Arial"/>
          <w:sz w:val="19"/>
          <w:szCs w:val="19"/>
          <w:color w:val="auto"/>
        </w:rPr>
      </w:pPr>
    </w:p>
    <w:p>
      <w:pPr>
        <w:ind w:right="200" w:firstLine="757"/>
        <w:spacing w:after="0" w:line="246" w:lineRule="auto"/>
        <w:tabs>
          <w:tab w:leader="none" w:pos="1145" w:val="left"/>
        </w:tabs>
        <w:numPr>
          <w:ilvl w:val="0"/>
          <w:numId w:val="58"/>
        </w:numPr>
        <w:rPr>
          <w:rFonts w:ascii="Arial" w:cs="Arial" w:eastAsia="Arial" w:hAnsi="Arial"/>
          <w:sz w:val="20"/>
          <w:szCs w:val="20"/>
          <w:color w:val="auto"/>
        </w:rPr>
      </w:pPr>
      <w:r>
        <w:rPr>
          <w:rFonts w:ascii="Arial" w:cs="Arial" w:eastAsia="Arial" w:hAnsi="Arial"/>
          <w:sz w:val="20"/>
          <w:szCs w:val="20"/>
          <w:color w:val="auto"/>
        </w:rPr>
        <w:t>the Company is capable of evaluating, and understanding and understands and accepts, the terms, risks and conditions of the transactions contemplated by this Agreement;</w:t>
      </w:r>
    </w:p>
    <w:p>
      <w:pPr>
        <w:spacing w:after="0" w:line="176" w:lineRule="exact"/>
        <w:rPr>
          <w:rFonts w:ascii="Arial" w:cs="Arial" w:eastAsia="Arial" w:hAnsi="Arial"/>
          <w:sz w:val="20"/>
          <w:szCs w:val="20"/>
          <w:color w:val="auto"/>
        </w:rPr>
      </w:pPr>
    </w:p>
    <w:p>
      <w:pPr>
        <w:ind w:firstLine="757"/>
        <w:spacing w:after="0" w:line="237" w:lineRule="auto"/>
        <w:tabs>
          <w:tab w:leader="none" w:pos="1145" w:val="left"/>
        </w:tabs>
        <w:numPr>
          <w:ilvl w:val="0"/>
          <w:numId w:val="58"/>
        </w:numPr>
        <w:rPr>
          <w:rFonts w:ascii="Arial" w:cs="Arial" w:eastAsia="Arial" w:hAnsi="Arial"/>
          <w:sz w:val="20"/>
          <w:szCs w:val="20"/>
          <w:color w:val="auto"/>
        </w:rPr>
      </w:pPr>
      <w:r>
        <w:rPr>
          <w:rFonts w:ascii="Arial" w:cs="Arial" w:eastAsia="Arial" w:hAnsi="Arial"/>
          <w:sz w:val="20"/>
          <w:szCs w:val="20"/>
          <w:color w:val="auto"/>
        </w:rPr>
        <w:t>neither the Agent nor its affiliates have provided any legal, accounting, regulatory or tax advice with respect to the transactions contemplated by this Agreement and it has consulted its own legal, accounting, regulatory and tax advisors to the extent it has deemed appropriate;</w:t>
      </w:r>
    </w:p>
    <w:p>
      <w:pPr>
        <w:spacing w:after="0" w:line="182" w:lineRule="exact"/>
        <w:rPr>
          <w:rFonts w:ascii="Arial" w:cs="Arial" w:eastAsia="Arial" w:hAnsi="Arial"/>
          <w:sz w:val="20"/>
          <w:szCs w:val="20"/>
          <w:color w:val="auto"/>
        </w:rPr>
      </w:pPr>
    </w:p>
    <w:p>
      <w:pPr>
        <w:ind w:left="1160" w:hanging="403"/>
        <w:spacing w:after="0"/>
        <w:tabs>
          <w:tab w:leader="none" w:pos="1160" w:val="left"/>
        </w:tabs>
        <w:numPr>
          <w:ilvl w:val="0"/>
          <w:numId w:val="58"/>
        </w:numPr>
        <w:rPr>
          <w:rFonts w:ascii="Arial" w:cs="Arial" w:eastAsia="Arial" w:hAnsi="Arial"/>
          <w:sz w:val="16"/>
          <w:szCs w:val="16"/>
          <w:color w:val="auto"/>
        </w:rPr>
      </w:pPr>
      <w:r>
        <w:rPr>
          <w:rFonts w:ascii="Arial" w:cs="Arial" w:eastAsia="Arial" w:hAnsi="Arial"/>
          <w:sz w:val="16"/>
          <w:szCs w:val="16"/>
          <w:color w:val="auto"/>
        </w:rPr>
        <w:t>the Company has been advised and is aware that the Agent and its affiliates are engaged in a broad range of transactions which</w:t>
      </w:r>
    </w:p>
    <w:p>
      <w:pPr>
        <w:spacing w:after="0" w:line="48" w:lineRule="exact"/>
        <w:rPr>
          <w:sz w:val="20"/>
          <w:szCs w:val="20"/>
          <w:color w:val="auto"/>
        </w:rPr>
      </w:pPr>
    </w:p>
    <w:p>
      <w:pPr>
        <w:ind w:right="100"/>
        <w:spacing w:after="0" w:line="225" w:lineRule="auto"/>
        <w:rPr>
          <w:sz w:val="20"/>
          <w:szCs w:val="20"/>
          <w:color w:val="auto"/>
        </w:rPr>
      </w:pPr>
      <w:r>
        <w:rPr>
          <w:rFonts w:ascii="Arial" w:cs="Arial" w:eastAsia="Arial" w:hAnsi="Arial"/>
          <w:sz w:val="20"/>
          <w:szCs w:val="20"/>
          <w:color w:val="auto"/>
        </w:rPr>
        <w:t>may involve interests that differ from those of the Company and that the Agent and its affiliates have no obligation to disclose such interests and transactions to the Company by virtue of any fiduciary, advisory or agency relationship or otherwise; and</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41" w:name="page42"/>
    <w:bookmarkEnd w:id="41"/>
    <w:p>
      <w:pPr>
        <w:ind w:firstLine="757"/>
        <w:spacing w:after="0" w:line="232" w:lineRule="auto"/>
        <w:tabs>
          <w:tab w:leader="none" w:pos="1145" w:val="left"/>
        </w:tabs>
        <w:numPr>
          <w:ilvl w:val="0"/>
          <w:numId w:val="59"/>
        </w:numPr>
        <w:rPr>
          <w:rFonts w:ascii="Arial" w:cs="Arial" w:eastAsia="Arial" w:hAnsi="Arial"/>
          <w:sz w:val="20"/>
          <w:szCs w:val="20"/>
          <w:color w:val="auto"/>
        </w:rPr>
      </w:pPr>
      <w:r>
        <w:rPr>
          <w:rFonts w:ascii="Arial" w:cs="Arial" w:eastAsia="Arial" w:hAnsi="Arial"/>
          <w:sz w:val="20"/>
          <w:szCs w:val="20"/>
          <w:color w:val="auto"/>
        </w:rPr>
        <w:t>the Company waives, to the fullest extent permitted by law, any claims it may have against the Agent or its affiliates for breach of fiduciary duty or alleged breach of fiduciary duty in connection with the transactions contemplated by this Agreement and agrees that the Agent and its affiliates shall have no liability (whether direct or indirect) to the Company in respect of such a fiduciary claim or to any person asserting a fiduciary duty claim on behalf of or in right of the Company, including stockholders (or other equity holders), creditors or employees of the Company.</w:t>
      </w:r>
    </w:p>
    <w:p>
      <w:pPr>
        <w:spacing w:after="0" w:line="184" w:lineRule="exact"/>
        <w:rPr>
          <w:sz w:val="20"/>
          <w:szCs w:val="20"/>
          <w:color w:val="auto"/>
        </w:rPr>
      </w:pPr>
    </w:p>
    <w:p>
      <w:pPr>
        <w:ind w:firstLine="757"/>
        <w:spacing w:after="0" w:line="237" w:lineRule="auto"/>
        <w:tabs>
          <w:tab w:leader="none" w:pos="1145" w:val="left"/>
        </w:tabs>
        <w:numPr>
          <w:ilvl w:val="0"/>
          <w:numId w:val="60"/>
        </w:numPr>
        <w:rPr>
          <w:rFonts w:ascii="Arial" w:cs="Arial" w:eastAsia="Arial" w:hAnsi="Arial"/>
          <w:sz w:val="20"/>
          <w:szCs w:val="20"/>
          <w:color w:val="auto"/>
        </w:rPr>
      </w:pPr>
      <w:r>
        <w:rPr>
          <w:rFonts w:ascii="Arial" w:cs="Arial" w:eastAsia="Arial" w:hAnsi="Arial"/>
          <w:sz w:val="20"/>
          <w:szCs w:val="20"/>
          <w:u w:val="single" w:color="auto"/>
          <w:color w:val="auto"/>
        </w:rPr>
        <w:t>Counterparts</w:t>
      </w:r>
      <w:r>
        <w:rPr>
          <w:rFonts w:ascii="Arial" w:cs="Arial" w:eastAsia="Arial" w:hAnsi="Arial"/>
          <w:sz w:val="20"/>
          <w:szCs w:val="20"/>
          <w:color w:val="auto"/>
        </w:rPr>
        <w:t>. This Agreement may be executed in two or more counterparts, each of which shall be deemed an original, but all of which together shall constitute one and the same instrument. Delivery of an executed Agreement by one party to the other may be made by facsimile or electronic transmission.</w:t>
      </w:r>
    </w:p>
    <w:p>
      <w:pPr>
        <w:spacing w:after="0" w:line="182" w:lineRule="exact"/>
        <w:rPr>
          <w:rFonts w:ascii="Arial" w:cs="Arial" w:eastAsia="Arial" w:hAnsi="Arial"/>
          <w:sz w:val="20"/>
          <w:szCs w:val="20"/>
          <w:color w:val="auto"/>
        </w:rPr>
      </w:pPr>
    </w:p>
    <w:p>
      <w:pPr>
        <w:jc w:val="both"/>
        <w:ind w:right="580" w:firstLine="757"/>
        <w:spacing w:after="0" w:line="237" w:lineRule="auto"/>
        <w:tabs>
          <w:tab w:leader="none" w:pos="1145" w:val="left"/>
        </w:tabs>
        <w:numPr>
          <w:ilvl w:val="0"/>
          <w:numId w:val="60"/>
        </w:numPr>
        <w:rPr>
          <w:rFonts w:ascii="Arial" w:cs="Arial" w:eastAsia="Arial" w:hAnsi="Arial"/>
          <w:sz w:val="20"/>
          <w:szCs w:val="20"/>
          <w:color w:val="auto"/>
        </w:rPr>
      </w:pPr>
      <w:r>
        <w:rPr>
          <w:rFonts w:ascii="Arial" w:cs="Arial" w:eastAsia="Arial" w:hAnsi="Arial"/>
          <w:sz w:val="20"/>
          <w:szCs w:val="20"/>
          <w:u w:val="single" w:color="auto"/>
          <w:color w:val="auto"/>
        </w:rPr>
        <w:t>Use of Information</w:t>
      </w:r>
      <w:r>
        <w:rPr>
          <w:rFonts w:ascii="Arial" w:cs="Arial" w:eastAsia="Arial" w:hAnsi="Arial"/>
          <w:sz w:val="20"/>
          <w:szCs w:val="20"/>
          <w:color w:val="auto"/>
        </w:rPr>
        <w:t>. The Agent may not provide any information gained in connection with this Agreement and the transactions contemplated by this Agreement, including due diligence, to any third party other than its legal counsel advising it on this Agreement unless expressly approved by the Company in writing.</w:t>
      </w:r>
    </w:p>
    <w:p>
      <w:pPr>
        <w:spacing w:after="0" w:line="176" w:lineRule="exact"/>
        <w:rPr>
          <w:rFonts w:ascii="Arial" w:cs="Arial" w:eastAsia="Arial" w:hAnsi="Arial"/>
          <w:sz w:val="20"/>
          <w:szCs w:val="20"/>
          <w:color w:val="auto"/>
        </w:rPr>
      </w:pPr>
    </w:p>
    <w:p>
      <w:pPr>
        <w:ind w:right="240" w:firstLine="757"/>
        <w:spacing w:after="0" w:line="239" w:lineRule="auto"/>
        <w:tabs>
          <w:tab w:leader="none" w:pos="1145" w:val="left"/>
        </w:tabs>
        <w:numPr>
          <w:ilvl w:val="0"/>
          <w:numId w:val="60"/>
        </w:numPr>
        <w:rPr>
          <w:rFonts w:ascii="Arial" w:cs="Arial" w:eastAsia="Arial" w:hAnsi="Arial"/>
          <w:sz w:val="20"/>
          <w:szCs w:val="20"/>
          <w:color w:val="auto"/>
        </w:rPr>
      </w:pPr>
      <w:r>
        <w:rPr>
          <w:rFonts w:ascii="Arial" w:cs="Arial" w:eastAsia="Arial" w:hAnsi="Arial"/>
          <w:sz w:val="20"/>
          <w:szCs w:val="20"/>
          <w:u w:val="single" w:color="auto"/>
          <w:color w:val="auto"/>
        </w:rPr>
        <w:t>Agent’s Information; Knowledge of the Company</w:t>
      </w:r>
      <w:r>
        <w:rPr>
          <w:rFonts w:ascii="Arial" w:cs="Arial" w:eastAsia="Arial" w:hAnsi="Arial"/>
          <w:sz w:val="20"/>
          <w:szCs w:val="20"/>
          <w:color w:val="auto"/>
        </w:rPr>
        <w:t>. As used in this Agreement, “</w:t>
      </w:r>
      <w:r>
        <w:rPr>
          <w:rFonts w:ascii="Arial" w:cs="Arial" w:eastAsia="Arial" w:hAnsi="Arial"/>
          <w:sz w:val="20"/>
          <w:szCs w:val="20"/>
          <w:b w:val="1"/>
          <w:bCs w:val="1"/>
          <w:u w:val="single" w:color="auto"/>
          <w:color w:val="auto"/>
        </w:rPr>
        <w:t>Agent’s Information</w:t>
      </w:r>
      <w:r>
        <w:rPr>
          <w:rFonts w:ascii="Arial" w:cs="Arial" w:eastAsia="Arial" w:hAnsi="Arial"/>
          <w:sz w:val="20"/>
          <w:szCs w:val="20"/>
          <w:color w:val="auto"/>
        </w:rPr>
        <w:t>” means solely the following information in the Registration Statement and the Prospectus: the fifth paragraph under the heading “Plan of Distribution” in the Prospectus Supplement.</w:t>
      </w:r>
    </w:p>
    <w:p>
      <w:pPr>
        <w:spacing w:after="0" w:line="182" w:lineRule="exact"/>
        <w:rPr>
          <w:rFonts w:ascii="Arial" w:cs="Arial" w:eastAsia="Arial" w:hAnsi="Arial"/>
          <w:sz w:val="20"/>
          <w:szCs w:val="20"/>
          <w:color w:val="auto"/>
        </w:rPr>
      </w:pPr>
    </w:p>
    <w:p>
      <w:pPr>
        <w:ind w:right="220" w:firstLine="757"/>
        <w:spacing w:after="0" w:line="254" w:lineRule="auto"/>
        <w:tabs>
          <w:tab w:leader="none" w:pos="1145" w:val="left"/>
        </w:tabs>
        <w:numPr>
          <w:ilvl w:val="0"/>
          <w:numId w:val="60"/>
        </w:numPr>
        <w:rPr>
          <w:rFonts w:ascii="Arial" w:cs="Arial" w:eastAsia="Arial" w:hAnsi="Arial"/>
          <w:sz w:val="19"/>
          <w:szCs w:val="19"/>
          <w:color w:val="auto"/>
        </w:rPr>
      </w:pPr>
      <w:r>
        <w:rPr>
          <w:rFonts w:ascii="Arial" w:cs="Arial" w:eastAsia="Arial" w:hAnsi="Arial"/>
          <w:sz w:val="19"/>
          <w:szCs w:val="19"/>
          <w:u w:val="single" w:color="auto"/>
          <w:color w:val="auto"/>
        </w:rPr>
        <w:t>Termination of Prior Sales Agreement</w:t>
      </w:r>
      <w:r>
        <w:rPr>
          <w:rFonts w:ascii="Arial" w:cs="Arial" w:eastAsia="Arial" w:hAnsi="Arial"/>
          <w:sz w:val="19"/>
          <w:szCs w:val="19"/>
          <w:color w:val="auto"/>
        </w:rPr>
        <w:t xml:space="preserve">. The Company and the Agent mutually agree to terminate the Sales Agreement, dated December 5, 2019, between the Company and the Agent, effective as of the date hereof,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Section 7(g), Section 9, Section 10, Section 11(f), Section 16 and Section 17 of such agreement shall remain in full force and effect.</w:t>
      </w:r>
    </w:p>
    <w:p>
      <w:pPr>
        <w:spacing w:after="0" w:line="170" w:lineRule="exact"/>
        <w:rPr>
          <w:sz w:val="20"/>
          <w:szCs w:val="20"/>
          <w:color w:val="auto"/>
        </w:rPr>
      </w:pPr>
    </w:p>
    <w:p>
      <w:pPr>
        <w:ind w:right="60" w:firstLine="749"/>
        <w:spacing w:after="0" w:line="263" w:lineRule="auto"/>
        <w:rPr>
          <w:sz w:val="20"/>
          <w:szCs w:val="20"/>
          <w:color w:val="auto"/>
        </w:rPr>
      </w:pPr>
      <w:r>
        <w:rPr>
          <w:rFonts w:ascii="Arial" w:cs="Arial" w:eastAsia="Arial" w:hAnsi="Arial"/>
          <w:sz w:val="18"/>
          <w:szCs w:val="18"/>
          <w:color w:val="auto"/>
        </w:rPr>
        <w:t>All references in this Agreement to the Registration Statement, the Prospectus or any amendment or supplement to any of the foregoing shall be deemed to include the copy filed with the Commission pursuant to EDGAR. All references in this Agreement to financial statements and schedules and other information that is “contained,” “included” or “stated” in the Registration Statement or the Prospectus (and all other references of like import) shall be deemed to mean and include all such financial statements and schedules and other information that is incorporated by reference in the Registration Statement or the Prospectus, as the case may be.</w:t>
      </w:r>
    </w:p>
    <w:p>
      <w:pPr>
        <w:spacing w:after="0" w:line="162" w:lineRule="exact"/>
        <w:rPr>
          <w:sz w:val="20"/>
          <w:szCs w:val="20"/>
          <w:color w:val="auto"/>
        </w:rPr>
      </w:pPr>
    </w:p>
    <w:p>
      <w:pPr>
        <w:jc w:val="both"/>
        <w:ind w:right="60" w:firstLine="749"/>
        <w:spacing w:after="0" w:line="237" w:lineRule="auto"/>
        <w:rPr>
          <w:sz w:val="20"/>
          <w:szCs w:val="20"/>
          <w:color w:val="auto"/>
        </w:rPr>
      </w:pPr>
      <w:r>
        <w:rPr>
          <w:rFonts w:ascii="Arial" w:cs="Arial" w:eastAsia="Arial" w:hAnsi="Arial"/>
          <w:sz w:val="20"/>
          <w:szCs w:val="20"/>
          <w:color w:val="auto"/>
        </w:rPr>
        <w:t>All references in this Agreement to “supplements” to the Prospectus shall include, without limitation, any supplements, “wrappers” or similar materials prepared in connection with any offering, sale or private placement of any Placement Shares by the Agent outside of the United States.</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[Remainder of Page Intentionally Blank]</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332105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9" w:right="359" w:bottom="1440" w:gutter="0" w:footer="0" w:header="0"/>
        </w:sectPr>
      </w:pPr>
    </w:p>
    <w:bookmarkStart w:id="42" w:name="page43"/>
    <w:bookmarkEnd w:id="42"/>
    <w:p>
      <w:pPr>
        <w:ind w:firstLine="749"/>
        <w:spacing w:after="0" w:line="273" w:lineRule="auto"/>
        <w:rPr>
          <w:sz w:val="20"/>
          <w:szCs w:val="20"/>
          <w:color w:val="auto"/>
        </w:rPr>
      </w:pPr>
      <w:r>
        <w:rPr>
          <w:rFonts w:ascii="Arial" w:cs="Arial" w:eastAsia="Arial" w:hAnsi="Arial"/>
          <w:sz w:val="19"/>
          <w:szCs w:val="19"/>
          <w:color w:val="auto"/>
        </w:rPr>
        <w:t>If the foregoing correctly sets forth the understanding between the Company and the Agent, please so indicate in the space provided below for that purpose, whereupon this letter shall constitute a binding agreement between the Company and the Agent.</w:t>
      </w:r>
    </w:p>
    <w:p>
      <w:pPr>
        <w:spacing w:after="0" w:line="200" w:lineRule="exact"/>
        <w:rPr>
          <w:sz w:val="20"/>
          <w:szCs w:val="20"/>
          <w:color w:val="auto"/>
        </w:rPr>
      </w:pPr>
    </w:p>
    <w:p>
      <w:pPr>
        <w:spacing w:after="0" w:line="384" w:lineRule="exact"/>
        <w:rPr>
          <w:sz w:val="20"/>
          <w:szCs w:val="20"/>
          <w:color w:val="auto"/>
        </w:rPr>
      </w:pPr>
    </w:p>
    <w:p>
      <w:pPr>
        <w:ind w:left="6100"/>
        <w:spacing w:after="0"/>
        <w:rPr>
          <w:sz w:val="20"/>
          <w:szCs w:val="20"/>
          <w:color w:val="auto"/>
        </w:rPr>
      </w:pPr>
      <w:r>
        <w:rPr>
          <w:rFonts w:ascii="Arial" w:cs="Arial" w:eastAsia="Arial" w:hAnsi="Arial"/>
          <w:sz w:val="20"/>
          <w:szCs w:val="20"/>
          <w:color w:val="auto"/>
        </w:rPr>
        <w:t>Very truly yours,</w:t>
      </w:r>
    </w:p>
    <w:p>
      <w:pPr>
        <w:spacing w:after="0" w:line="200" w:lineRule="exact"/>
        <w:rPr>
          <w:sz w:val="20"/>
          <w:szCs w:val="20"/>
          <w:color w:val="auto"/>
        </w:rPr>
      </w:pPr>
    </w:p>
    <w:p>
      <w:pPr>
        <w:spacing w:after="0" w:line="253" w:lineRule="exact"/>
        <w:rPr>
          <w:sz w:val="20"/>
          <w:szCs w:val="20"/>
          <w:color w:val="auto"/>
        </w:rPr>
      </w:pPr>
    </w:p>
    <w:p>
      <w:pPr>
        <w:ind w:left="6100"/>
        <w:spacing w:after="0"/>
        <w:rPr>
          <w:sz w:val="20"/>
          <w:szCs w:val="20"/>
          <w:color w:val="auto"/>
        </w:rPr>
      </w:pPr>
      <w:r>
        <w:rPr>
          <w:rFonts w:ascii="Arial" w:cs="Arial" w:eastAsia="Arial" w:hAnsi="Arial"/>
          <w:sz w:val="20"/>
          <w:szCs w:val="20"/>
          <w:b w:val="1"/>
          <w:bCs w:val="1"/>
          <w:color w:val="auto"/>
        </w:rPr>
        <w:t>AXSOME THERAPEUTICS, INC.</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tbl>
      <w:tblPr>
        <w:tblLayout w:type="fixed"/>
        <w:tblInd w:w="6100" w:type="dxa"/>
        <w:tblCellMar>
          <w:top w:w="0" w:type="dxa"/>
          <w:left w:w="0" w:type="dxa"/>
          <w:bottom w:w="0" w:type="dxa"/>
          <w:right w:w="0" w:type="dxa"/>
        </w:tblCellMar>
      </w:tblPr>
      <w:tr>
        <w:trPr>
          <w:trHeight w:val="246"/>
        </w:trPr>
        <w:tc>
          <w:tcPr>
            <w:tcW w:w="760" w:type="dxa"/>
            <w:vAlign w:val="bottom"/>
          </w:tcPr>
          <w:p>
            <w:pPr>
              <w:spacing w:after="0"/>
              <w:rPr>
                <w:sz w:val="20"/>
                <w:szCs w:val="20"/>
                <w:color w:val="auto"/>
              </w:rPr>
            </w:pPr>
            <w:r>
              <w:rPr>
                <w:rFonts w:ascii="Arial" w:cs="Arial" w:eastAsia="Arial" w:hAnsi="Arial"/>
                <w:sz w:val="20"/>
                <w:szCs w:val="20"/>
                <w:color w:val="auto"/>
              </w:rPr>
              <w:t>By:</w:t>
            </w:r>
          </w:p>
        </w:tc>
        <w:tc>
          <w:tcPr>
            <w:tcW w:w="4280" w:type="dxa"/>
            <w:vAlign w:val="bottom"/>
            <w:tcBorders>
              <w:bottom w:val="single" w:sz="8" w:color="auto"/>
            </w:tcBorders>
          </w:tcPr>
          <w:p>
            <w:pPr>
              <w:ind w:left="20"/>
              <w:spacing w:after="0"/>
              <w:rPr>
                <w:sz w:val="20"/>
                <w:szCs w:val="20"/>
                <w:color w:val="auto"/>
              </w:rPr>
            </w:pPr>
            <w:r>
              <w:rPr>
                <w:rFonts w:ascii="Arial" w:cs="Arial" w:eastAsia="Arial" w:hAnsi="Arial"/>
                <w:sz w:val="20"/>
                <w:szCs w:val="20"/>
                <w:color w:val="auto"/>
              </w:rPr>
              <w:t>/s/ Herriot Tabuteau, M.D.</w:t>
            </w:r>
          </w:p>
        </w:tc>
      </w:tr>
      <w:tr>
        <w:trPr>
          <w:trHeight w:val="436"/>
        </w:trPr>
        <w:tc>
          <w:tcPr>
            <w:tcW w:w="760" w:type="dxa"/>
            <w:vAlign w:val="bottom"/>
          </w:tcPr>
          <w:p>
            <w:pPr>
              <w:spacing w:after="0"/>
              <w:rPr>
                <w:sz w:val="20"/>
                <w:szCs w:val="20"/>
                <w:color w:val="auto"/>
              </w:rPr>
            </w:pPr>
            <w:r>
              <w:rPr>
                <w:rFonts w:ascii="Arial" w:cs="Arial" w:eastAsia="Arial" w:hAnsi="Arial"/>
                <w:sz w:val="20"/>
                <w:szCs w:val="20"/>
                <w:color w:val="auto"/>
              </w:rPr>
              <w:t>Name:</w:t>
            </w:r>
          </w:p>
        </w:tc>
        <w:tc>
          <w:tcPr>
            <w:tcW w:w="4280" w:type="dxa"/>
            <w:vAlign w:val="bottom"/>
          </w:tcPr>
          <w:p>
            <w:pPr>
              <w:ind w:left="20"/>
              <w:spacing w:after="0"/>
              <w:rPr>
                <w:sz w:val="20"/>
                <w:szCs w:val="20"/>
                <w:color w:val="auto"/>
              </w:rPr>
            </w:pPr>
            <w:r>
              <w:rPr>
                <w:rFonts w:ascii="Arial" w:cs="Arial" w:eastAsia="Arial" w:hAnsi="Arial"/>
                <w:sz w:val="20"/>
                <w:szCs w:val="20"/>
                <w:color w:val="auto"/>
              </w:rPr>
              <w:t>Herriot Tabuteau, M.D.</w:t>
            </w:r>
          </w:p>
        </w:tc>
      </w:tr>
      <w:tr>
        <w:trPr>
          <w:trHeight w:val="250"/>
        </w:trPr>
        <w:tc>
          <w:tcPr>
            <w:tcW w:w="760" w:type="dxa"/>
            <w:vAlign w:val="bottom"/>
          </w:tcPr>
          <w:p>
            <w:pPr>
              <w:spacing w:after="0"/>
              <w:rPr>
                <w:sz w:val="20"/>
                <w:szCs w:val="20"/>
                <w:color w:val="auto"/>
              </w:rPr>
            </w:pPr>
            <w:r>
              <w:rPr>
                <w:rFonts w:ascii="Arial" w:cs="Arial" w:eastAsia="Arial" w:hAnsi="Arial"/>
                <w:sz w:val="20"/>
                <w:szCs w:val="20"/>
                <w:color w:val="auto"/>
              </w:rPr>
              <w:t>Title:</w:t>
            </w:r>
          </w:p>
        </w:tc>
        <w:tc>
          <w:tcPr>
            <w:tcW w:w="4280" w:type="dxa"/>
            <w:vAlign w:val="bottom"/>
          </w:tcPr>
          <w:p>
            <w:pPr>
              <w:ind w:left="20"/>
              <w:spacing w:after="0"/>
              <w:rPr>
                <w:sz w:val="20"/>
                <w:szCs w:val="20"/>
                <w:color w:val="auto"/>
              </w:rPr>
            </w:pPr>
            <w:r>
              <w:rPr>
                <w:rFonts w:ascii="Arial" w:cs="Arial" w:eastAsia="Arial" w:hAnsi="Arial"/>
                <w:sz w:val="20"/>
                <w:szCs w:val="20"/>
                <w:color w:val="auto"/>
              </w:rPr>
              <w:t>Chief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6100"/>
        <w:spacing w:after="0"/>
        <w:rPr>
          <w:sz w:val="20"/>
          <w:szCs w:val="20"/>
          <w:color w:val="auto"/>
        </w:rPr>
      </w:pPr>
      <w:r>
        <w:rPr>
          <w:rFonts w:ascii="Arial" w:cs="Arial" w:eastAsia="Arial" w:hAnsi="Arial"/>
          <w:sz w:val="20"/>
          <w:szCs w:val="20"/>
          <w:b w:val="1"/>
          <w:bCs w:val="1"/>
          <w:color w:val="auto"/>
        </w:rPr>
        <w:t>ACCEPTED as of the date</w:t>
      </w:r>
    </w:p>
    <w:p>
      <w:pPr>
        <w:spacing w:after="0" w:line="21" w:lineRule="exact"/>
        <w:rPr>
          <w:sz w:val="20"/>
          <w:szCs w:val="20"/>
          <w:color w:val="auto"/>
        </w:rPr>
      </w:pPr>
    </w:p>
    <w:p>
      <w:pPr>
        <w:ind w:left="6100"/>
        <w:spacing w:after="0"/>
        <w:rPr>
          <w:sz w:val="20"/>
          <w:szCs w:val="20"/>
          <w:color w:val="auto"/>
        </w:rPr>
      </w:pPr>
      <w:r>
        <w:rPr>
          <w:rFonts w:ascii="Arial" w:cs="Arial" w:eastAsia="Arial" w:hAnsi="Arial"/>
          <w:sz w:val="20"/>
          <w:szCs w:val="20"/>
          <w:b w:val="1"/>
          <w:bCs w:val="1"/>
          <w:color w:val="auto"/>
        </w:rPr>
        <w:t>first-above written:</w:t>
      </w:r>
    </w:p>
    <w:p>
      <w:pPr>
        <w:ind w:left="6100"/>
        <w:spacing w:after="0"/>
        <w:rPr>
          <w:sz w:val="20"/>
          <w:szCs w:val="20"/>
          <w:color w:val="auto"/>
        </w:rPr>
      </w:pPr>
      <w:r>
        <w:rPr>
          <w:rFonts w:ascii="Arial" w:cs="Arial" w:eastAsia="Arial" w:hAnsi="Arial"/>
          <w:sz w:val="20"/>
          <w:szCs w:val="20"/>
          <w:b w:val="1"/>
          <w:bCs w:val="1"/>
          <w:color w:val="auto"/>
        </w:rPr>
        <w:t>SVB SECURITIES LLC</w:t>
      </w:r>
    </w:p>
    <w:p>
      <w:pPr>
        <w:spacing w:after="0" w:line="200" w:lineRule="exact"/>
        <w:rPr>
          <w:sz w:val="20"/>
          <w:szCs w:val="20"/>
          <w:color w:val="auto"/>
        </w:rPr>
      </w:pPr>
    </w:p>
    <w:p>
      <w:pPr>
        <w:spacing w:after="0" w:line="243" w:lineRule="exact"/>
        <w:rPr>
          <w:sz w:val="20"/>
          <w:szCs w:val="20"/>
          <w:color w:val="auto"/>
        </w:rPr>
      </w:pPr>
    </w:p>
    <w:tbl>
      <w:tblPr>
        <w:tblLayout w:type="fixed"/>
        <w:tblInd w:w="6100" w:type="dxa"/>
        <w:tblCellMar>
          <w:top w:w="0" w:type="dxa"/>
          <w:left w:w="0" w:type="dxa"/>
          <w:bottom w:w="0" w:type="dxa"/>
          <w:right w:w="0" w:type="dxa"/>
        </w:tblCellMar>
      </w:tblPr>
      <w:tr>
        <w:trPr>
          <w:trHeight w:val="246"/>
        </w:trPr>
        <w:tc>
          <w:tcPr>
            <w:tcW w:w="760" w:type="dxa"/>
            <w:vAlign w:val="bottom"/>
          </w:tcPr>
          <w:p>
            <w:pPr>
              <w:spacing w:after="0"/>
              <w:rPr>
                <w:sz w:val="20"/>
                <w:szCs w:val="20"/>
                <w:color w:val="auto"/>
              </w:rPr>
            </w:pPr>
            <w:r>
              <w:rPr>
                <w:rFonts w:ascii="Arial" w:cs="Arial" w:eastAsia="Arial" w:hAnsi="Arial"/>
                <w:sz w:val="20"/>
                <w:szCs w:val="20"/>
                <w:color w:val="auto"/>
              </w:rPr>
              <w:t>By:</w:t>
            </w:r>
          </w:p>
        </w:tc>
        <w:tc>
          <w:tcPr>
            <w:tcW w:w="4280" w:type="dxa"/>
            <w:vAlign w:val="bottom"/>
            <w:tcBorders>
              <w:bottom w:val="single" w:sz="8" w:color="auto"/>
            </w:tcBorders>
          </w:tcPr>
          <w:p>
            <w:pPr>
              <w:ind w:left="20"/>
              <w:spacing w:after="0"/>
              <w:rPr>
                <w:sz w:val="20"/>
                <w:szCs w:val="20"/>
                <w:color w:val="auto"/>
              </w:rPr>
            </w:pPr>
            <w:r>
              <w:rPr>
                <w:rFonts w:ascii="Arial" w:cs="Arial" w:eastAsia="Arial" w:hAnsi="Arial"/>
                <w:sz w:val="20"/>
                <w:szCs w:val="20"/>
                <w:color w:val="auto"/>
              </w:rPr>
              <w:t>/s/ Peter M. Fry</w:t>
            </w:r>
          </w:p>
        </w:tc>
      </w:tr>
      <w:tr>
        <w:trPr>
          <w:trHeight w:val="436"/>
        </w:trPr>
        <w:tc>
          <w:tcPr>
            <w:tcW w:w="760" w:type="dxa"/>
            <w:vAlign w:val="bottom"/>
          </w:tcPr>
          <w:p>
            <w:pPr>
              <w:spacing w:after="0"/>
              <w:rPr>
                <w:sz w:val="20"/>
                <w:szCs w:val="20"/>
                <w:color w:val="auto"/>
              </w:rPr>
            </w:pPr>
            <w:r>
              <w:rPr>
                <w:rFonts w:ascii="Arial" w:cs="Arial" w:eastAsia="Arial" w:hAnsi="Arial"/>
                <w:sz w:val="20"/>
                <w:szCs w:val="20"/>
                <w:color w:val="auto"/>
              </w:rPr>
              <w:t>Name:</w:t>
            </w:r>
          </w:p>
        </w:tc>
        <w:tc>
          <w:tcPr>
            <w:tcW w:w="4280" w:type="dxa"/>
            <w:vAlign w:val="bottom"/>
          </w:tcPr>
          <w:p>
            <w:pPr>
              <w:ind w:left="20"/>
              <w:spacing w:after="0"/>
              <w:rPr>
                <w:sz w:val="20"/>
                <w:szCs w:val="20"/>
                <w:color w:val="auto"/>
              </w:rPr>
            </w:pPr>
            <w:r>
              <w:rPr>
                <w:rFonts w:ascii="Arial" w:cs="Arial" w:eastAsia="Arial" w:hAnsi="Arial"/>
                <w:sz w:val="20"/>
                <w:szCs w:val="20"/>
                <w:color w:val="auto"/>
              </w:rPr>
              <w:t>Peter M. Fry</w:t>
            </w:r>
          </w:p>
        </w:tc>
      </w:tr>
      <w:tr>
        <w:trPr>
          <w:trHeight w:val="250"/>
        </w:trPr>
        <w:tc>
          <w:tcPr>
            <w:tcW w:w="760" w:type="dxa"/>
            <w:vAlign w:val="bottom"/>
          </w:tcPr>
          <w:p>
            <w:pPr>
              <w:spacing w:after="0"/>
              <w:rPr>
                <w:sz w:val="20"/>
                <w:szCs w:val="20"/>
                <w:color w:val="auto"/>
              </w:rPr>
            </w:pPr>
            <w:r>
              <w:rPr>
                <w:rFonts w:ascii="Arial" w:cs="Arial" w:eastAsia="Arial" w:hAnsi="Arial"/>
                <w:sz w:val="20"/>
                <w:szCs w:val="20"/>
                <w:color w:val="auto"/>
              </w:rPr>
              <w:t>Title:</w:t>
            </w:r>
          </w:p>
        </w:tc>
        <w:tc>
          <w:tcPr>
            <w:tcW w:w="4280" w:type="dxa"/>
            <w:vAlign w:val="bottom"/>
          </w:tcPr>
          <w:p>
            <w:pPr>
              <w:ind w:left="20"/>
              <w:spacing w:after="0"/>
              <w:rPr>
                <w:sz w:val="20"/>
                <w:szCs w:val="20"/>
                <w:color w:val="auto"/>
              </w:rPr>
            </w:pPr>
            <w:r>
              <w:rPr>
                <w:rFonts w:ascii="Arial" w:cs="Arial" w:eastAsia="Arial" w:hAnsi="Arial"/>
                <w:sz w:val="20"/>
                <w:szCs w:val="20"/>
                <w:color w:val="auto"/>
              </w:rPr>
              <w:t>Head of Alternative Equities</w:t>
            </w:r>
          </w:p>
        </w:tc>
      </w:tr>
    </w:tbl>
    <w:p>
      <w:pPr>
        <w:spacing w:after="0" w:line="398"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43" w:name="page44"/>
    <w:bookmarkEnd w:id="43"/>
    <w:p>
      <w:pPr>
        <w:jc w:val="center"/>
        <w:ind w:right="-39"/>
        <w:spacing w:after="0"/>
        <w:rPr>
          <w:sz w:val="20"/>
          <w:szCs w:val="20"/>
          <w:color w:val="auto"/>
        </w:rPr>
      </w:pPr>
      <w:r>
        <w:rPr>
          <w:rFonts w:ascii="Arial" w:cs="Arial" w:eastAsia="Arial" w:hAnsi="Arial"/>
          <w:sz w:val="20"/>
          <w:szCs w:val="20"/>
          <w:b w:val="1"/>
          <w:bCs w:val="1"/>
          <w:u w:val="single" w:color="auto"/>
          <w:color w:val="auto"/>
        </w:rPr>
        <w:t>SCHEDULE 1</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u w:val="single" w:color="auto"/>
          <w:color w:val="auto"/>
        </w:rPr>
        <w:t>FORM OF PLACEMENT NOTICE</w:t>
      </w:r>
    </w:p>
    <w:p>
      <w:pPr>
        <w:sectPr>
          <w:pgSz w:w="11900" w:h="16838" w:orient="portrait"/>
          <w:cols w:equalWidth="0" w:num="1">
            <w:col w:w="11200"/>
          </w:cols>
          <w:pgMar w:left="320" w:top="360" w:right="379" w:bottom="1440" w:gutter="0" w:footer="0" w:header="0"/>
        </w:sectPr>
      </w:pPr>
    </w:p>
    <w:p>
      <w:pPr>
        <w:spacing w:after="0" w:line="208" w:lineRule="exact"/>
        <w:rPr>
          <w:sz w:val="20"/>
          <w:szCs w:val="20"/>
          <w:color w:val="auto"/>
        </w:rPr>
      </w:pPr>
    </w:p>
    <w:p>
      <w:pPr>
        <w:spacing w:after="0"/>
        <w:tabs>
          <w:tab w:leader="none" w:pos="780" w:val="left"/>
        </w:tabs>
        <w:rPr>
          <w:sz w:val="20"/>
          <w:szCs w:val="20"/>
          <w:color w:val="auto"/>
        </w:rPr>
      </w:pPr>
      <w:r>
        <w:rPr>
          <w:rFonts w:ascii="Arial" w:cs="Arial" w:eastAsia="Arial" w:hAnsi="Arial"/>
          <w:sz w:val="20"/>
          <w:szCs w:val="20"/>
          <w:color w:val="auto"/>
        </w:rPr>
        <w:t>From:</w:t>
        <w:tab/>
        <w:t>[</w:t>
      </w:r>
    </w:p>
    <w:p>
      <w:pPr>
        <w:ind w:left="400"/>
        <w:spacing w:after="0" w:line="227" w:lineRule="auto"/>
        <w:rPr>
          <w:sz w:val="20"/>
          <w:szCs w:val="20"/>
          <w:color w:val="auto"/>
        </w:rPr>
      </w:pPr>
      <w:r>
        <w:rPr>
          <w:rFonts w:ascii="Arial" w:cs="Arial" w:eastAsia="Arial" w:hAnsi="Arial"/>
          <w:sz w:val="20"/>
          <w:szCs w:val="20"/>
          <w:color w:val="auto"/>
        </w:rPr>
        <w:t>[TITLE]</w:t>
      </w:r>
    </w:p>
    <w:p>
      <w:pPr>
        <w:spacing w:after="0" w:line="1" w:lineRule="exact"/>
        <w:rPr>
          <w:sz w:val="20"/>
          <w:szCs w:val="20"/>
          <w:color w:val="auto"/>
        </w:rPr>
      </w:pPr>
    </w:p>
    <w:p>
      <w:pPr>
        <w:ind w:left="400"/>
        <w:spacing w:after="0"/>
        <w:rPr>
          <w:sz w:val="20"/>
          <w:szCs w:val="20"/>
          <w:color w:val="auto"/>
        </w:rPr>
      </w:pPr>
      <w:r>
        <w:rPr>
          <w:rFonts w:ascii="Arial" w:cs="Arial" w:eastAsia="Arial" w:hAnsi="Arial"/>
          <w:sz w:val="18"/>
          <w:szCs w:val="18"/>
          <w:color w:val="auto"/>
        </w:rPr>
        <w:t>Axsome Therapeutics, Inc.</w:t>
      </w:r>
    </w:p>
    <w:p>
      <w:pPr>
        <w:spacing w:after="0" w:line="234" w:lineRule="auto"/>
        <w:tabs>
          <w:tab w:leader="none" w:pos="2280" w:val="left"/>
        </w:tabs>
        <w:rPr>
          <w:sz w:val="20"/>
          <w:szCs w:val="20"/>
          <w:color w:val="auto"/>
        </w:rPr>
      </w:pPr>
      <w:r>
        <w:rPr>
          <w:rFonts w:ascii="Arial" w:cs="Arial" w:eastAsia="Arial" w:hAnsi="Arial"/>
          <w:sz w:val="20"/>
          <w:szCs w:val="20"/>
          <w:color w:val="auto"/>
        </w:rPr>
        <w:t>Cc: [</w:t>
      </w:r>
      <w:r>
        <w:rPr>
          <w:sz w:val="20"/>
          <w:szCs w:val="20"/>
          <w:color w:val="auto"/>
        </w:rPr>
        <w:tab/>
      </w:r>
      <w:r>
        <w:rPr>
          <w:rFonts w:ascii="Arial" w:cs="Arial" w:eastAsia="Arial" w:hAnsi="Arial"/>
          <w:sz w:val="20"/>
          <w:szCs w:val="20"/>
          <w:color w:val="auto"/>
        </w:rPr>
        <w:t>]</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To:  SVB Securities LLC</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884" w:lineRule="exact"/>
        <w:rPr>
          <w:sz w:val="20"/>
          <w:szCs w:val="20"/>
          <w:color w:val="auto"/>
        </w:rPr>
      </w:pPr>
    </w:p>
    <w:p>
      <w:pPr>
        <w:sectPr>
          <w:pgSz w:w="11900" w:h="16838" w:orient="portrait"/>
          <w:cols w:equalWidth="0" w:num="2">
            <w:col w:w="2540" w:space="160"/>
            <w:col w:w="8500"/>
          </w:cols>
          <w:pgMar w:left="320" w:top="360" w:right="379" w:bottom="1440" w:gutter="0" w:footer="0" w:header="0"/>
          <w:type w:val="continuous"/>
        </w:sectPr>
      </w:pPr>
    </w:p>
    <w:p>
      <w:pPr>
        <w:ind w:right="5560"/>
        <w:spacing w:after="0" w:line="429" w:lineRule="auto"/>
        <w:rPr>
          <w:sz w:val="20"/>
          <w:szCs w:val="20"/>
          <w:color w:val="auto"/>
        </w:rPr>
      </w:pPr>
      <w:r>
        <w:rPr>
          <w:rFonts w:ascii="Arial" w:cs="Arial" w:eastAsia="Arial" w:hAnsi="Arial"/>
          <w:sz w:val="20"/>
          <w:szCs w:val="20"/>
          <w:color w:val="auto"/>
        </w:rPr>
        <w:t>Subject: SVB Securities—At the Market Offering—Placement Notice Ladies and Gentlemen:</w:t>
      </w:r>
    </w:p>
    <w:p>
      <w:pPr>
        <w:spacing w:after="0" w:line="1" w:lineRule="exact"/>
        <w:rPr>
          <w:sz w:val="20"/>
          <w:szCs w:val="20"/>
          <w:color w:val="auto"/>
        </w:rPr>
      </w:pPr>
    </w:p>
    <w:p>
      <w:pPr>
        <w:spacing w:after="0" w:line="245" w:lineRule="auto"/>
        <w:rPr>
          <w:sz w:val="20"/>
          <w:szCs w:val="20"/>
          <w:color w:val="auto"/>
        </w:rPr>
      </w:pPr>
      <w:r>
        <w:rPr>
          <w:rFonts w:ascii="Arial" w:cs="Arial" w:eastAsia="Arial" w:hAnsi="Arial"/>
          <w:sz w:val="19"/>
          <w:szCs w:val="19"/>
          <w:color w:val="auto"/>
        </w:rPr>
        <w:t>Pursuant to the terms and subject to the conditions contained in the Sales Agreement, dated March 1, 2022 (the “</w:t>
      </w:r>
      <w:r>
        <w:rPr>
          <w:rFonts w:ascii="Arial" w:cs="Arial" w:eastAsia="Arial" w:hAnsi="Arial"/>
          <w:sz w:val="19"/>
          <w:szCs w:val="19"/>
          <w:b w:val="1"/>
          <w:bCs w:val="1"/>
          <w:u w:val="single" w:color="auto"/>
          <w:color w:val="auto"/>
        </w:rPr>
        <w:t>Agreement</w:t>
      </w:r>
      <w:r>
        <w:rPr>
          <w:rFonts w:ascii="Arial" w:cs="Arial" w:eastAsia="Arial" w:hAnsi="Arial"/>
          <w:sz w:val="19"/>
          <w:szCs w:val="19"/>
          <w:color w:val="auto"/>
        </w:rPr>
        <w:t>”), by and between Axsome Therapeutics, Inc., a Delaware corporation (the “</w:t>
      </w:r>
      <w:r>
        <w:rPr>
          <w:rFonts w:ascii="Arial" w:cs="Arial" w:eastAsia="Arial" w:hAnsi="Arial"/>
          <w:sz w:val="19"/>
          <w:szCs w:val="19"/>
          <w:b w:val="1"/>
          <w:bCs w:val="1"/>
          <w:u w:val="single" w:color="auto"/>
          <w:color w:val="auto"/>
        </w:rPr>
        <w:t>Company</w:t>
      </w:r>
      <w:r>
        <w:rPr>
          <w:rFonts w:ascii="Arial" w:cs="Arial" w:eastAsia="Arial" w:hAnsi="Arial"/>
          <w:sz w:val="19"/>
          <w:szCs w:val="19"/>
          <w:color w:val="auto"/>
        </w:rPr>
        <w:t>”), and SVB Securities LLC (“</w:t>
      </w:r>
      <w:r>
        <w:rPr>
          <w:rFonts w:ascii="Arial" w:cs="Arial" w:eastAsia="Arial" w:hAnsi="Arial"/>
          <w:sz w:val="19"/>
          <w:szCs w:val="19"/>
          <w:b w:val="1"/>
          <w:bCs w:val="1"/>
          <w:u w:val="single" w:color="auto"/>
          <w:color w:val="auto"/>
        </w:rPr>
        <w:t>SVB Securities</w:t>
      </w:r>
      <w:r>
        <w:rPr>
          <w:rFonts w:ascii="Arial" w:cs="Arial" w:eastAsia="Arial" w:hAnsi="Arial"/>
          <w:sz w:val="19"/>
          <w:szCs w:val="19"/>
          <w:color w:val="auto"/>
        </w:rPr>
        <w:t>”), I hereby request on behalf of the Company that SVB Securities sell up to [ ] shares of common stock, $0.0001 par value per share, of the Company (the “</w:t>
      </w:r>
      <w:r>
        <w:rPr>
          <w:rFonts w:ascii="Arial" w:cs="Arial" w:eastAsia="Arial" w:hAnsi="Arial"/>
          <w:sz w:val="19"/>
          <w:szCs w:val="19"/>
          <w:b w:val="1"/>
          <w:bCs w:val="1"/>
          <w:u w:val="single" w:color="auto"/>
          <w:color w:val="auto"/>
        </w:rPr>
        <w:t>Shares</w:t>
      </w:r>
      <w:r>
        <w:rPr>
          <w:rFonts w:ascii="Arial" w:cs="Arial" w:eastAsia="Arial" w:hAnsi="Arial"/>
          <w:sz w:val="19"/>
          <w:szCs w:val="19"/>
          <w:color w:val="auto"/>
        </w:rPr>
        <w:t xml:space="preserve">”), at a minimum market price of $ per share[;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no more than [ ] Shares shall be sold in any one Trading Day (as such term is defined in Section 3 of the Agreement)]. Sales should begin [on the date of this Placement Notice] and end on [DATE] [until all Shares that are the subject of this Placement Notice are sold].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755015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60" w:right="379" w:bottom="1440" w:gutter="0" w:footer="0" w:header="0"/>
          <w:type w:val="continuous"/>
        </w:sectPr>
      </w:pPr>
    </w:p>
    <w:bookmarkStart w:id="44" w:name="page45"/>
    <w:bookmarkEnd w:id="44"/>
    <w:p>
      <w:pPr>
        <w:jc w:val="right"/>
        <w:ind w:right="3899"/>
        <w:spacing w:after="0"/>
        <w:rPr>
          <w:sz w:val="20"/>
          <w:szCs w:val="20"/>
          <w:color w:val="auto"/>
        </w:rPr>
      </w:pPr>
      <w:r>
        <w:rPr>
          <w:rFonts w:ascii="Arial" w:cs="Arial" w:eastAsia="Arial" w:hAnsi="Arial"/>
          <w:sz w:val="20"/>
          <w:szCs w:val="20"/>
          <w:b w:val="1"/>
          <w:bCs w:val="1"/>
          <w:u w:val="single" w:color="auto"/>
          <w:color w:val="auto"/>
        </w:rPr>
        <w:t>SCHEDULE 2</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The Company</w:t>
      </w: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color w:val="auto"/>
        </w:rPr>
        <w:t>Herriot Tabuteau, Chief Executive Officer</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Nick Pizzie, Chief Financial Officer</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SVB Securities LLC</w:t>
      </w: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color w:val="auto"/>
        </w:rPr>
        <w:t>Gabriel Cavazos</w:t>
      </w:r>
    </w:p>
    <w:p>
      <w:pPr>
        <w:spacing w:after="0" w:line="227" w:lineRule="auto"/>
        <w:rPr>
          <w:sz w:val="20"/>
          <w:szCs w:val="20"/>
          <w:color w:val="auto"/>
        </w:rPr>
      </w:pPr>
      <w:r>
        <w:rPr>
          <w:rFonts w:ascii="Arial" w:cs="Arial" w:eastAsia="Arial" w:hAnsi="Arial"/>
          <w:sz w:val="20"/>
          <w:szCs w:val="20"/>
          <w:color w:val="auto"/>
        </w:rPr>
        <w:t>Brian Swanson</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atm@svbleerink.com</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5480"/>
        <w:spacing w:after="0"/>
        <w:rPr>
          <w:sz w:val="20"/>
          <w:szCs w:val="20"/>
          <w:color w:val="auto"/>
        </w:rPr>
      </w:pPr>
      <w:r>
        <w:rPr>
          <w:rFonts w:ascii="Arial" w:cs="Arial" w:eastAsia="Arial" w:hAnsi="Arial"/>
          <w:sz w:val="20"/>
          <w:szCs w:val="20"/>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18" w:right="1440" w:bottom="1440" w:gutter="0" w:footer="0" w:header="0"/>
        </w:sectPr>
      </w:pPr>
    </w:p>
    <w:bookmarkStart w:id="45" w:name="page46"/>
    <w:bookmarkEnd w:id="45"/>
    <w:p>
      <w:pPr>
        <w:jc w:val="center"/>
        <w:ind w:right="-159"/>
        <w:spacing w:after="0"/>
        <w:rPr>
          <w:sz w:val="20"/>
          <w:szCs w:val="20"/>
          <w:color w:val="auto"/>
        </w:rPr>
      </w:pPr>
      <w:r>
        <w:rPr>
          <w:rFonts w:ascii="Arial" w:cs="Arial" w:eastAsia="Arial" w:hAnsi="Arial"/>
          <w:sz w:val="20"/>
          <w:szCs w:val="20"/>
          <w:b w:val="1"/>
          <w:bCs w:val="1"/>
          <w:u w:val="single" w:color="auto"/>
          <w:color w:val="auto"/>
        </w:rPr>
        <w:t>SCHEDULE 3</w:t>
      </w:r>
    </w:p>
    <w:p>
      <w:pPr>
        <w:spacing w:after="0" w:line="200" w:lineRule="exact"/>
        <w:rPr>
          <w:sz w:val="20"/>
          <w:szCs w:val="20"/>
          <w:color w:val="auto"/>
        </w:rPr>
      </w:pPr>
    </w:p>
    <w:p>
      <w:pPr>
        <w:spacing w:after="0" w:line="217" w:lineRule="exact"/>
        <w:rPr>
          <w:sz w:val="20"/>
          <w:szCs w:val="20"/>
          <w:color w:val="auto"/>
        </w:rPr>
      </w:pPr>
    </w:p>
    <w:p>
      <w:pPr>
        <w:jc w:val="center"/>
        <w:ind w:right="-159"/>
        <w:spacing w:after="0"/>
        <w:rPr>
          <w:sz w:val="20"/>
          <w:szCs w:val="20"/>
          <w:color w:val="auto"/>
        </w:rPr>
      </w:pPr>
      <w:r>
        <w:rPr>
          <w:rFonts w:ascii="Arial" w:cs="Arial" w:eastAsia="Arial" w:hAnsi="Arial"/>
          <w:sz w:val="20"/>
          <w:szCs w:val="20"/>
          <w:b w:val="1"/>
          <w:bCs w:val="1"/>
          <w:u w:val="single" w:color="auto"/>
          <w:color w:val="auto"/>
        </w:rPr>
        <w:t>Compensation</w:t>
      </w:r>
    </w:p>
    <w:p>
      <w:pPr>
        <w:spacing w:after="0" w:line="200" w:lineRule="exact"/>
        <w:rPr>
          <w:sz w:val="20"/>
          <w:szCs w:val="20"/>
          <w:color w:val="auto"/>
        </w:rPr>
      </w:pPr>
    </w:p>
    <w:p>
      <w:pPr>
        <w:spacing w:after="0" w:line="224" w:lineRule="exact"/>
        <w:rPr>
          <w:sz w:val="20"/>
          <w:szCs w:val="20"/>
          <w:color w:val="auto"/>
        </w:rPr>
      </w:pPr>
    </w:p>
    <w:p>
      <w:pPr>
        <w:spacing w:after="0" w:line="246" w:lineRule="auto"/>
        <w:rPr>
          <w:sz w:val="20"/>
          <w:szCs w:val="20"/>
          <w:color w:val="auto"/>
        </w:rPr>
      </w:pPr>
      <w:r>
        <w:rPr>
          <w:rFonts w:ascii="Arial" w:cs="Arial" w:eastAsia="Arial" w:hAnsi="Arial"/>
          <w:sz w:val="20"/>
          <w:szCs w:val="20"/>
          <w:color w:val="auto"/>
        </w:rPr>
        <w:t xml:space="preserve">The Company shall pay SVB Securities LLC compensation in cash equal to 3.0% of the gross proceeds from the sales of Shares pursuant to the terms of the Sales Agreement of which this </w:t>
      </w:r>
      <w:r>
        <w:rPr>
          <w:rFonts w:ascii="Arial" w:cs="Arial" w:eastAsia="Arial" w:hAnsi="Arial"/>
          <w:sz w:val="20"/>
          <w:szCs w:val="20"/>
          <w:b w:val="1"/>
          <w:bCs w:val="1"/>
          <w:u w:val="single" w:color="auto"/>
          <w:color w:val="auto"/>
        </w:rPr>
        <w:t>Schedule 3</w:t>
      </w:r>
      <w:r>
        <w:rPr>
          <w:rFonts w:ascii="Arial" w:cs="Arial" w:eastAsia="Arial" w:hAnsi="Arial"/>
          <w:sz w:val="20"/>
          <w:szCs w:val="20"/>
          <w:color w:val="auto"/>
        </w:rPr>
        <w:t xml:space="preserve"> forms a part.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59"/>
        <w:spacing w:after="0"/>
        <w:rPr>
          <w:sz w:val="20"/>
          <w:szCs w:val="20"/>
          <w:color w:val="auto"/>
        </w:rPr>
      </w:pPr>
      <w:r>
        <w:rPr>
          <w:rFonts w:ascii="Arial" w:cs="Arial" w:eastAsia="Arial" w:hAnsi="Arial"/>
          <w:sz w:val="20"/>
          <w:szCs w:val="20"/>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18" w:right="499" w:bottom="1440" w:gutter="0" w:footer="0" w:header="0"/>
        </w:sectPr>
      </w:pPr>
    </w:p>
    <w:bookmarkStart w:id="46" w:name="page47"/>
    <w:bookmarkEnd w:id="46"/>
    <w:p>
      <w:pPr>
        <w:jc w:val="center"/>
        <w:ind w:right="-19"/>
        <w:spacing w:after="0"/>
        <w:rPr>
          <w:sz w:val="20"/>
          <w:szCs w:val="20"/>
          <w:color w:val="auto"/>
        </w:rPr>
      </w:pPr>
      <w:r>
        <w:rPr>
          <w:rFonts w:ascii="Arial" w:cs="Arial" w:eastAsia="Arial" w:hAnsi="Arial"/>
          <w:sz w:val="20"/>
          <w:szCs w:val="20"/>
          <w:b w:val="1"/>
          <w:bCs w:val="1"/>
          <w:u w:val="single" w:color="auto"/>
          <w:color w:val="auto"/>
        </w:rPr>
        <w:t>Exhibit 7(m)</w:t>
      </w: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u w:val="single" w:color="auto"/>
          <w:color w:val="auto"/>
        </w:rPr>
        <w:t>OFFICERS’ CERTIFICATE</w:t>
      </w:r>
    </w:p>
    <w:p>
      <w:pPr>
        <w:spacing w:after="0" w:line="200" w:lineRule="exact"/>
        <w:rPr>
          <w:sz w:val="20"/>
          <w:szCs w:val="20"/>
          <w:color w:val="auto"/>
        </w:rPr>
      </w:pPr>
    </w:p>
    <w:p>
      <w:pPr>
        <w:spacing w:after="0" w:line="224" w:lineRule="exact"/>
        <w:rPr>
          <w:sz w:val="20"/>
          <w:szCs w:val="20"/>
          <w:color w:val="auto"/>
        </w:rPr>
      </w:pPr>
    </w:p>
    <w:p>
      <w:pPr>
        <w:ind w:right="60"/>
        <w:spacing w:after="0" w:line="267" w:lineRule="auto"/>
        <w:rPr>
          <w:sz w:val="20"/>
          <w:szCs w:val="20"/>
          <w:color w:val="auto"/>
        </w:rPr>
      </w:pPr>
      <w:r>
        <w:rPr>
          <w:rFonts w:ascii="Arial" w:cs="Arial" w:eastAsia="Arial" w:hAnsi="Arial"/>
          <w:sz w:val="18"/>
          <w:szCs w:val="18"/>
          <w:color w:val="auto"/>
        </w:rPr>
        <w:t>Each of Herriot Tabuteau, the duly qualified and elected Chief Executive Officer of Axsome Therapeutics, Inc., a Delaware corporation (the “</w:t>
      </w:r>
      <w:r>
        <w:rPr>
          <w:rFonts w:ascii="Arial" w:cs="Arial" w:eastAsia="Arial" w:hAnsi="Arial"/>
          <w:sz w:val="18"/>
          <w:szCs w:val="18"/>
          <w:b w:val="1"/>
          <w:bCs w:val="1"/>
          <w:u w:val="single" w:color="auto"/>
          <w:color w:val="auto"/>
        </w:rPr>
        <w:t>Company</w:t>
      </w:r>
      <w:r>
        <w:rPr>
          <w:rFonts w:ascii="Arial" w:cs="Arial" w:eastAsia="Arial" w:hAnsi="Arial"/>
          <w:sz w:val="18"/>
          <w:szCs w:val="18"/>
          <w:color w:val="auto"/>
        </w:rPr>
        <w:t>”), and Nick Pizzie, the duly qualified and elected Chief Financial Officer of the Company, does hereby certify in his respective capacity and on behalf of the Company, pursuant to Section 7(m) of the Sales Agreement, dated March 1, 2022 (the “</w:t>
      </w:r>
      <w:r>
        <w:rPr>
          <w:rFonts w:ascii="Arial" w:cs="Arial" w:eastAsia="Arial" w:hAnsi="Arial"/>
          <w:sz w:val="18"/>
          <w:szCs w:val="18"/>
          <w:b w:val="1"/>
          <w:bCs w:val="1"/>
          <w:u w:val="single" w:color="auto"/>
          <w:color w:val="auto"/>
        </w:rPr>
        <w:t>Sales Agreement</w:t>
      </w:r>
      <w:r>
        <w:rPr>
          <w:rFonts w:ascii="Arial" w:cs="Arial" w:eastAsia="Arial" w:hAnsi="Arial"/>
          <w:sz w:val="18"/>
          <w:szCs w:val="18"/>
          <w:color w:val="auto"/>
        </w:rPr>
        <w:t>”), by and between the Company and SVB Securities LLC, that, after due inquiry, to the best of the knowledge of the undersigned:</w:t>
      </w:r>
    </w:p>
    <w:p>
      <w:pPr>
        <w:spacing w:after="0" w:line="159" w:lineRule="exact"/>
        <w:rPr>
          <w:sz w:val="20"/>
          <w:szCs w:val="20"/>
          <w:color w:val="auto"/>
        </w:rPr>
      </w:pPr>
    </w:p>
    <w:p>
      <w:pPr>
        <w:ind w:right="80" w:firstLine="757"/>
        <w:spacing w:after="0" w:line="231" w:lineRule="auto"/>
        <w:tabs>
          <w:tab w:leader="none" w:pos="1145" w:val="left"/>
        </w:tabs>
        <w:numPr>
          <w:ilvl w:val="0"/>
          <w:numId w:val="61"/>
        </w:numPr>
        <w:rPr>
          <w:rFonts w:ascii="Arial" w:cs="Arial" w:eastAsia="Arial" w:hAnsi="Arial"/>
          <w:sz w:val="20"/>
          <w:szCs w:val="20"/>
          <w:color w:val="auto"/>
        </w:rPr>
      </w:pPr>
      <w:r>
        <w:rPr>
          <w:rFonts w:ascii="Arial" w:cs="Arial" w:eastAsia="Arial" w:hAnsi="Arial"/>
          <w:sz w:val="20"/>
          <w:szCs w:val="20"/>
          <w:color w:val="auto"/>
        </w:rPr>
        <w:t>The representations and warranties of the Company in Section 6 of the Sales Agreement (A) to the extent such representations and warranties are subject to qualifications and exceptions contained therein relating to materiality or Material Adverse Effect, are true and correct on and as of the date hereof with the same force and effect as if expressly made on and as of the date hereof, and (B) to the extent such representations and warranties are not subject to any qualifications or exceptions relating to materiality or Material Adverse Effect, are true and correct in all material respects as of the date hereof as if made on and as of the date hereof with the same force and effect as if expressly made on and as of the date hereof.</w:t>
      </w:r>
    </w:p>
    <w:p>
      <w:pPr>
        <w:spacing w:after="0" w:line="183" w:lineRule="exact"/>
        <w:rPr>
          <w:rFonts w:ascii="Arial" w:cs="Arial" w:eastAsia="Arial" w:hAnsi="Arial"/>
          <w:sz w:val="20"/>
          <w:szCs w:val="20"/>
          <w:color w:val="auto"/>
        </w:rPr>
      </w:pPr>
    </w:p>
    <w:p>
      <w:pPr>
        <w:ind w:right="60" w:firstLine="757"/>
        <w:spacing w:after="0" w:line="246" w:lineRule="auto"/>
        <w:tabs>
          <w:tab w:leader="none" w:pos="1145" w:val="left"/>
        </w:tabs>
        <w:numPr>
          <w:ilvl w:val="0"/>
          <w:numId w:val="61"/>
        </w:numPr>
        <w:rPr>
          <w:rFonts w:ascii="Arial" w:cs="Arial" w:eastAsia="Arial" w:hAnsi="Arial"/>
          <w:sz w:val="20"/>
          <w:szCs w:val="20"/>
          <w:color w:val="auto"/>
        </w:rPr>
      </w:pPr>
      <w:r>
        <w:rPr>
          <w:rFonts w:ascii="Arial" w:cs="Arial" w:eastAsia="Arial" w:hAnsi="Arial"/>
          <w:sz w:val="20"/>
          <w:szCs w:val="20"/>
          <w:color w:val="auto"/>
        </w:rPr>
        <w:t>The Company has complied with all agreements and satisfied all conditions on its part to be performed or satisfied pursuant to the Sales Agreement at or prior to the date hereof.</w:t>
      </w:r>
    </w:p>
    <w:p>
      <w:pPr>
        <w:spacing w:after="0" w:line="176" w:lineRule="exact"/>
        <w:rPr>
          <w:rFonts w:ascii="Arial" w:cs="Arial" w:eastAsia="Arial" w:hAnsi="Arial"/>
          <w:sz w:val="20"/>
          <w:szCs w:val="20"/>
          <w:color w:val="auto"/>
        </w:rPr>
      </w:pPr>
    </w:p>
    <w:p>
      <w:pPr>
        <w:ind w:firstLine="757"/>
        <w:spacing w:after="0" w:line="258" w:lineRule="auto"/>
        <w:tabs>
          <w:tab w:leader="none" w:pos="1145" w:val="left"/>
        </w:tabs>
        <w:numPr>
          <w:ilvl w:val="0"/>
          <w:numId w:val="61"/>
        </w:numPr>
        <w:rPr>
          <w:rFonts w:ascii="Arial" w:cs="Arial" w:eastAsia="Arial" w:hAnsi="Arial"/>
          <w:sz w:val="18"/>
          <w:szCs w:val="18"/>
          <w:color w:val="auto"/>
        </w:rPr>
      </w:pPr>
      <w:r>
        <w:rPr>
          <w:rFonts w:ascii="Arial" w:cs="Arial" w:eastAsia="Arial" w:hAnsi="Arial"/>
          <w:sz w:val="18"/>
          <w:szCs w:val="18"/>
          <w:color w:val="auto"/>
        </w:rPr>
        <w:t>As of the date hereof, (A) the Registration Statement complies in all material respects with the requirements of the Securities Act and does not contain any untrue statement of a material fact or omit to state a material fact required to be stated therein or necessary in order to make the statements therein not misleading, (B) the Prospectus complies in all material respects with the requirements of the Securities Act does not contain any untrue statement of a material fact or omit to state a material fact required to be stated therein or necessary in order to make the statements therein, in light of the circumstances under which they were made, not misleading and (C) no event has occurred as a result of which it is necessary to amend or supplement the Registration Statement or the Prospectus in order to make the statements therein not untrue or misleading or for clauses (A) and (B) above, to be true and correct.</w:t>
      </w:r>
    </w:p>
    <w:p>
      <w:pPr>
        <w:spacing w:after="0" w:line="170" w:lineRule="exact"/>
        <w:rPr>
          <w:rFonts w:ascii="Arial" w:cs="Arial" w:eastAsia="Arial" w:hAnsi="Arial"/>
          <w:sz w:val="18"/>
          <w:szCs w:val="18"/>
          <w:color w:val="auto"/>
        </w:rPr>
      </w:pPr>
    </w:p>
    <w:p>
      <w:pPr>
        <w:ind w:right="80" w:firstLine="757"/>
        <w:spacing w:after="0" w:line="267" w:lineRule="auto"/>
        <w:tabs>
          <w:tab w:leader="none" w:pos="1145"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There has been no material adverse change, or any development that could reasonably be expected to result in a material adverse change, in the condition (financial or otherwise), earnings, results of operations, business, properties, operations, assets, liabilities or prospects of the Company and its Subsidiaries, taken as a whole, whether or not arising from transactions in the ordinary course of business, since the date as of which information is given in the Prospectus, as amended or supplemented to the date hereof.</w:t>
      </w:r>
    </w:p>
    <w:p>
      <w:pPr>
        <w:spacing w:after="0" w:line="158" w:lineRule="exact"/>
        <w:rPr>
          <w:rFonts w:ascii="Arial" w:cs="Arial" w:eastAsia="Arial" w:hAnsi="Arial"/>
          <w:sz w:val="18"/>
          <w:szCs w:val="18"/>
          <w:color w:val="auto"/>
        </w:rPr>
      </w:pPr>
    </w:p>
    <w:p>
      <w:pPr>
        <w:ind w:left="1160" w:hanging="403"/>
        <w:spacing w:after="0"/>
        <w:tabs>
          <w:tab w:leader="none" w:pos="1160" w:val="left"/>
        </w:tabs>
        <w:numPr>
          <w:ilvl w:val="0"/>
          <w:numId w:val="61"/>
        </w:numPr>
        <w:rPr>
          <w:rFonts w:ascii="Arial" w:cs="Arial" w:eastAsia="Arial" w:hAnsi="Arial"/>
          <w:sz w:val="20"/>
          <w:szCs w:val="20"/>
          <w:color w:val="auto"/>
        </w:rPr>
      </w:pPr>
      <w:r>
        <w:rPr>
          <w:rFonts w:ascii="Arial" w:cs="Arial" w:eastAsia="Arial" w:hAnsi="Arial"/>
          <w:sz w:val="20"/>
          <w:szCs w:val="20"/>
          <w:color w:val="auto"/>
        </w:rPr>
        <w:t>The Company does not possess any material non-public information.</w:t>
      </w:r>
    </w:p>
    <w:p>
      <w:pPr>
        <w:spacing w:after="0" w:line="202" w:lineRule="exact"/>
        <w:rPr>
          <w:rFonts w:ascii="Arial" w:cs="Arial" w:eastAsia="Arial" w:hAnsi="Arial"/>
          <w:sz w:val="20"/>
          <w:szCs w:val="20"/>
          <w:color w:val="auto"/>
        </w:rPr>
      </w:pPr>
    </w:p>
    <w:p>
      <w:pPr>
        <w:ind w:right="60" w:firstLine="757"/>
        <w:spacing w:after="0" w:line="275" w:lineRule="auto"/>
        <w:tabs>
          <w:tab w:leader="none" w:pos="1145"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maximum amount of Placement Shares that may be sold pursuant to the Sales Agreement has been duly authorized by the Company’s board of directors or a duly authorized committee thereof pursuant to a resolution or unanimous written consent in accordance with the Company’s amended and restated articles of incorporation, amended and restated bylaws and applicable law.</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Company Signature Page to Officers’ Certificate</w:t>
      </w: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47" w:name="page48"/>
    <w:bookmarkEnd w:id="47"/>
    <w:p>
      <w:pPr>
        <w:ind w:left="760"/>
        <w:spacing w:after="0"/>
        <w:rPr>
          <w:sz w:val="20"/>
          <w:szCs w:val="20"/>
          <w:color w:val="auto"/>
        </w:rPr>
      </w:pPr>
      <w:r>
        <w:rPr>
          <w:rFonts w:ascii="Arial" w:cs="Arial" w:eastAsia="Arial" w:hAnsi="Arial"/>
          <w:sz w:val="19"/>
          <w:szCs w:val="19"/>
          <w:color w:val="auto"/>
        </w:rPr>
        <w:t>Capitalized terms used but not defined herein shall have the meanings ascribed to them in the Sales Agreement.</w:t>
      </w:r>
    </w:p>
    <w:p>
      <w:pPr>
        <w:spacing w:after="0" w:line="215" w:lineRule="exact"/>
        <w:rPr>
          <w:sz w:val="20"/>
          <w:szCs w:val="20"/>
          <w:color w:val="auto"/>
        </w:rPr>
      </w:pPr>
    </w:p>
    <w:p>
      <w:pPr>
        <w:ind w:firstLine="749"/>
        <w:spacing w:after="0" w:line="246" w:lineRule="auto"/>
        <w:rPr>
          <w:sz w:val="20"/>
          <w:szCs w:val="20"/>
          <w:color w:val="auto"/>
        </w:rPr>
      </w:pPr>
      <w:r>
        <w:rPr>
          <w:rFonts w:ascii="Arial" w:cs="Arial" w:eastAsia="Arial" w:hAnsi="Arial"/>
          <w:sz w:val="20"/>
          <w:szCs w:val="20"/>
          <w:color w:val="auto"/>
        </w:rPr>
        <w:t>IN WITNESS WHEREOF, each of the undersigned, in his respective capacity as Chief Executive Officer and Chief Financial Officer of the Company, has executed this Officers’ Certificate on behalf of the Company.</w:t>
      </w:r>
    </w:p>
    <w:p>
      <w:pPr>
        <w:spacing w:after="0" w:line="393" w:lineRule="exact"/>
        <w:rPr>
          <w:sz w:val="20"/>
          <w:szCs w:val="20"/>
          <w:color w:val="auto"/>
        </w:rPr>
      </w:pPr>
    </w:p>
    <w:p>
      <w:pPr>
        <w:ind w:left="598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4222750</wp:posOffset>
            </wp:positionH>
            <wp:positionV relativeFrom="paragraph">
              <wp:posOffset>10160</wp:posOffset>
            </wp:positionV>
            <wp:extent cx="284607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ind w:left="6660"/>
        <w:spacing w:after="0"/>
        <w:tabs>
          <w:tab w:leader="none" w:pos="7420" w:val="left"/>
        </w:tabs>
        <w:rPr>
          <w:sz w:val="20"/>
          <w:szCs w:val="20"/>
          <w:color w:val="auto"/>
        </w:rPr>
      </w:pPr>
      <w:r>
        <w:rPr>
          <w:rFonts w:ascii="Arial" w:cs="Arial" w:eastAsia="Arial" w:hAnsi="Arial"/>
          <w:sz w:val="20"/>
          <w:szCs w:val="20"/>
          <w:color w:val="auto"/>
        </w:rPr>
        <w:t>Name:</w:t>
        <w:tab/>
        <w:t>Herriot Tabuteau</w:t>
      </w:r>
    </w:p>
    <w:p>
      <w:pPr>
        <w:spacing w:after="0" w:line="8" w:lineRule="exact"/>
        <w:rPr>
          <w:sz w:val="20"/>
          <w:szCs w:val="20"/>
          <w:color w:val="auto"/>
        </w:rPr>
      </w:pPr>
    </w:p>
    <w:p>
      <w:pPr>
        <w:ind w:left="6660"/>
        <w:spacing w:after="0"/>
        <w:tabs>
          <w:tab w:leader="none" w:pos="742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20"/>
          <w:szCs w:val="20"/>
          <w:color w:val="auto"/>
        </w:rPr>
        <w:t>Chief Executive Officer</w:t>
      </w:r>
    </w:p>
    <w:p>
      <w:pPr>
        <w:spacing w:after="0" w:line="200" w:lineRule="exact"/>
        <w:rPr>
          <w:sz w:val="20"/>
          <w:szCs w:val="20"/>
          <w:color w:val="auto"/>
        </w:rPr>
      </w:pPr>
    </w:p>
    <w:p>
      <w:pPr>
        <w:spacing w:after="0" w:line="243" w:lineRule="exact"/>
        <w:rPr>
          <w:sz w:val="20"/>
          <w:szCs w:val="20"/>
          <w:color w:val="auto"/>
        </w:rPr>
      </w:pPr>
    </w:p>
    <w:p>
      <w:pPr>
        <w:ind w:left="5980"/>
        <w:spacing w:after="0"/>
        <w:rPr>
          <w:sz w:val="20"/>
          <w:szCs w:val="20"/>
          <w:color w:val="auto"/>
        </w:rPr>
      </w:pPr>
      <w:r>
        <w:rPr>
          <w:rFonts w:ascii="Arial" w:cs="Arial" w:eastAsia="Arial" w:hAnsi="Arial"/>
          <w:sz w:val="20"/>
          <w:szCs w:val="20"/>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4222750</wp:posOffset>
            </wp:positionH>
            <wp:positionV relativeFrom="paragraph">
              <wp:posOffset>10160</wp:posOffset>
            </wp:positionV>
            <wp:extent cx="284607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598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4222750</wp:posOffset>
            </wp:positionH>
            <wp:positionV relativeFrom="paragraph">
              <wp:posOffset>10160</wp:posOffset>
            </wp:positionV>
            <wp:extent cx="284607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ind w:left="6660"/>
        <w:spacing w:after="0"/>
        <w:tabs>
          <w:tab w:leader="none" w:pos="7420" w:val="left"/>
        </w:tabs>
        <w:rPr>
          <w:sz w:val="20"/>
          <w:szCs w:val="20"/>
          <w:color w:val="auto"/>
        </w:rPr>
      </w:pPr>
      <w:r>
        <w:rPr>
          <w:rFonts w:ascii="Arial" w:cs="Arial" w:eastAsia="Arial" w:hAnsi="Arial"/>
          <w:sz w:val="20"/>
          <w:szCs w:val="20"/>
          <w:color w:val="auto"/>
        </w:rPr>
        <w:t>Name:</w:t>
        <w:tab/>
        <w:t>Nick Pizzie</w:t>
      </w:r>
    </w:p>
    <w:p>
      <w:pPr>
        <w:spacing w:after="0" w:line="8" w:lineRule="exact"/>
        <w:rPr>
          <w:sz w:val="20"/>
          <w:szCs w:val="20"/>
          <w:color w:val="auto"/>
        </w:rPr>
      </w:pPr>
    </w:p>
    <w:p>
      <w:pPr>
        <w:ind w:left="6660"/>
        <w:spacing w:after="0"/>
        <w:tabs>
          <w:tab w:leader="none" w:pos="742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20"/>
          <w:szCs w:val="20"/>
          <w:color w:val="auto"/>
        </w:rPr>
        <w:t>Chief Financial Officer</w:t>
      </w:r>
    </w:p>
    <w:p>
      <w:pPr>
        <w:spacing w:after="0" w:line="200" w:lineRule="exact"/>
        <w:rPr>
          <w:sz w:val="20"/>
          <w:szCs w:val="20"/>
          <w:color w:val="auto"/>
        </w:rPr>
      </w:pPr>
    </w:p>
    <w:p>
      <w:pPr>
        <w:spacing w:after="0" w:line="243" w:lineRule="exact"/>
        <w:rPr>
          <w:sz w:val="20"/>
          <w:szCs w:val="20"/>
          <w:color w:val="auto"/>
        </w:rPr>
      </w:pPr>
    </w:p>
    <w:p>
      <w:pPr>
        <w:ind w:left="5980"/>
        <w:spacing w:after="0"/>
        <w:rPr>
          <w:sz w:val="20"/>
          <w:szCs w:val="20"/>
          <w:color w:val="auto"/>
        </w:rPr>
      </w:pPr>
      <w:r>
        <w:rPr>
          <w:rFonts w:ascii="Arial" w:cs="Arial" w:eastAsia="Arial" w:hAnsi="Arial"/>
          <w:sz w:val="20"/>
          <w:szCs w:val="20"/>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4222750</wp:posOffset>
            </wp:positionH>
            <wp:positionV relativeFrom="paragraph">
              <wp:posOffset>10160</wp:posOffset>
            </wp:positionV>
            <wp:extent cx="284607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196" w:lineRule="exact"/>
        <w:rPr>
          <w:sz w:val="20"/>
          <w:szCs w:val="20"/>
          <w:color w:val="auto"/>
        </w:rPr>
      </w:pPr>
    </w:p>
    <w:p>
      <w:pPr>
        <w:ind w:left="362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Company Signature Page to Officers’ Certificate</w:t>
      </w: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00"/>
          </w:cols>
          <w:pgMar w:left="320" w:top="122" w:right="87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t>Exhibit 5.1</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March 1, 2022</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Axsome Therapeutics, Inc.</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22 Cortlandt Street, 16th Floor</w:t>
      </w:r>
    </w:p>
    <w:p>
      <w:pPr>
        <w:spacing w:after="0"/>
        <w:rPr>
          <w:sz w:val="20"/>
          <w:szCs w:val="20"/>
          <w:color w:val="auto"/>
        </w:rPr>
      </w:pPr>
      <w:r>
        <w:rPr>
          <w:rFonts w:ascii="Arial" w:cs="Arial" w:eastAsia="Arial" w:hAnsi="Arial"/>
          <w:sz w:val="18"/>
          <w:szCs w:val="18"/>
          <w:color w:val="auto"/>
        </w:rPr>
        <w:t>New York, New York 10007</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RE: Axsome Therapeutics, Inc. Registration Statement on Form S-3 (File No. 333-235372)</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39" w:lineRule="exact"/>
        <w:rPr>
          <w:sz w:val="20"/>
          <w:szCs w:val="20"/>
          <w:color w:val="auto"/>
        </w:rPr>
      </w:pPr>
    </w:p>
    <w:p>
      <w:pPr>
        <w:ind w:right="100"/>
        <w:spacing w:after="0" w:line="274" w:lineRule="auto"/>
        <w:rPr>
          <w:sz w:val="20"/>
          <w:szCs w:val="20"/>
          <w:color w:val="auto"/>
        </w:rPr>
      </w:pPr>
      <w:r>
        <w:rPr>
          <w:rFonts w:ascii="Arial" w:cs="Arial" w:eastAsia="Arial" w:hAnsi="Arial"/>
          <w:sz w:val="16"/>
          <w:szCs w:val="16"/>
          <w:color w:val="auto"/>
        </w:rPr>
        <w:t>We have acted as counsel to Axsome Therapeutics, Inc., a Delaware corporation (the “</w:t>
      </w:r>
      <w:r>
        <w:rPr>
          <w:rFonts w:ascii="Arial" w:cs="Arial" w:eastAsia="Arial" w:hAnsi="Arial"/>
          <w:sz w:val="16"/>
          <w:szCs w:val="16"/>
          <w:u w:val="single" w:color="auto"/>
          <w:color w:val="auto"/>
        </w:rPr>
        <w:t>Company</w:t>
      </w:r>
      <w:r>
        <w:rPr>
          <w:rFonts w:ascii="Arial" w:cs="Arial" w:eastAsia="Arial" w:hAnsi="Arial"/>
          <w:sz w:val="16"/>
          <w:szCs w:val="16"/>
          <w:color w:val="auto"/>
        </w:rPr>
        <w:t>”), in connection with the issuance and sale by the Company from time to time of shares of the Company’s common stock, par value $0.0001 per share, having an aggregate offering price of up to $200.0 million (the “</w:t>
      </w:r>
      <w:r>
        <w:rPr>
          <w:rFonts w:ascii="Arial" w:cs="Arial" w:eastAsia="Arial" w:hAnsi="Arial"/>
          <w:sz w:val="16"/>
          <w:szCs w:val="16"/>
          <w:u w:val="single" w:color="auto"/>
          <w:color w:val="auto"/>
        </w:rPr>
        <w:t>Placement Shares</w:t>
      </w:r>
      <w:r>
        <w:rPr>
          <w:rFonts w:ascii="Arial" w:cs="Arial" w:eastAsia="Arial" w:hAnsi="Arial"/>
          <w:sz w:val="16"/>
          <w:szCs w:val="16"/>
          <w:color w:val="auto"/>
        </w:rPr>
        <w:t>”), pursuant to the Registration Statement on Form S-3 (File No. 333-235372), filed with the Securities and Exchange Commission (the “</w:t>
      </w:r>
      <w:r>
        <w:rPr>
          <w:rFonts w:ascii="Arial" w:cs="Arial" w:eastAsia="Arial" w:hAnsi="Arial"/>
          <w:sz w:val="16"/>
          <w:szCs w:val="16"/>
          <w:u w:val="single" w:color="auto"/>
          <w:color w:val="auto"/>
        </w:rPr>
        <w:t>SEC</w:t>
      </w:r>
      <w:r>
        <w:rPr>
          <w:rFonts w:ascii="Arial" w:cs="Arial" w:eastAsia="Arial" w:hAnsi="Arial"/>
          <w:sz w:val="16"/>
          <w:szCs w:val="16"/>
          <w:color w:val="auto"/>
        </w:rPr>
        <w:t>”) under the Securities Act of 1933, as amended (the “</w:t>
      </w:r>
      <w:r>
        <w:rPr>
          <w:rFonts w:ascii="Arial" w:cs="Arial" w:eastAsia="Arial" w:hAnsi="Arial"/>
          <w:sz w:val="16"/>
          <w:szCs w:val="16"/>
          <w:u w:val="single" w:color="auto"/>
          <w:color w:val="auto"/>
        </w:rPr>
        <w:t>Securities Act</w:t>
      </w:r>
      <w:r>
        <w:rPr>
          <w:rFonts w:ascii="Arial" w:cs="Arial" w:eastAsia="Arial" w:hAnsi="Arial"/>
          <w:sz w:val="16"/>
          <w:szCs w:val="16"/>
          <w:color w:val="auto"/>
        </w:rPr>
        <w:t>”), on December 5, 2019, which became effective immediately upon filing (the “</w:t>
      </w:r>
      <w:r>
        <w:rPr>
          <w:rFonts w:ascii="Arial" w:cs="Arial" w:eastAsia="Arial" w:hAnsi="Arial"/>
          <w:sz w:val="16"/>
          <w:szCs w:val="16"/>
          <w:u w:val="single" w:color="auto"/>
          <w:color w:val="auto"/>
        </w:rPr>
        <w:t>Registration Statement</w:t>
      </w:r>
      <w:r>
        <w:rPr>
          <w:rFonts w:ascii="Arial" w:cs="Arial" w:eastAsia="Arial" w:hAnsi="Arial"/>
          <w:sz w:val="16"/>
          <w:szCs w:val="16"/>
          <w:color w:val="auto"/>
        </w:rPr>
        <w:t>”), the related base prospectus, dated December 5, 2019 (the “</w:t>
      </w:r>
      <w:r>
        <w:rPr>
          <w:rFonts w:ascii="Arial" w:cs="Arial" w:eastAsia="Arial" w:hAnsi="Arial"/>
          <w:sz w:val="16"/>
          <w:szCs w:val="16"/>
          <w:u w:val="single" w:color="auto"/>
          <w:color w:val="auto"/>
        </w:rPr>
        <w:t>Base Prospectus</w:t>
      </w:r>
      <w:r>
        <w:rPr>
          <w:rFonts w:ascii="Arial" w:cs="Arial" w:eastAsia="Arial" w:hAnsi="Arial"/>
          <w:sz w:val="16"/>
          <w:szCs w:val="16"/>
          <w:color w:val="auto"/>
        </w:rPr>
        <w:t>”), and the prospectus supplement, dated March 1, 2022 (the “</w:t>
      </w:r>
      <w:r>
        <w:rPr>
          <w:rFonts w:ascii="Arial" w:cs="Arial" w:eastAsia="Arial" w:hAnsi="Arial"/>
          <w:sz w:val="16"/>
          <w:szCs w:val="16"/>
          <w:u w:val="single" w:color="auto"/>
          <w:color w:val="auto"/>
        </w:rPr>
        <w:t>Prospectus Supplement</w:t>
      </w:r>
      <w:r>
        <w:rPr>
          <w:rFonts w:ascii="Arial" w:cs="Arial" w:eastAsia="Arial" w:hAnsi="Arial"/>
          <w:sz w:val="16"/>
          <w:szCs w:val="16"/>
          <w:color w:val="auto"/>
        </w:rPr>
        <w:t>” and together with the Base Prospectus, the “</w:t>
      </w:r>
      <w:r>
        <w:rPr>
          <w:rFonts w:ascii="Arial" w:cs="Arial" w:eastAsia="Arial" w:hAnsi="Arial"/>
          <w:sz w:val="16"/>
          <w:szCs w:val="16"/>
          <w:u w:val="single" w:color="auto"/>
          <w:color w:val="auto"/>
        </w:rPr>
        <w:t>Prospectus</w:t>
      </w:r>
      <w:r>
        <w:rPr>
          <w:rFonts w:ascii="Arial" w:cs="Arial" w:eastAsia="Arial" w:hAnsi="Arial"/>
          <w:sz w:val="16"/>
          <w:szCs w:val="16"/>
          <w:color w:val="auto"/>
        </w:rPr>
        <w:t>”), filed with the SEC pursuant to Rule 424(b) under the Act, and a sales agreement dated March 1, 2022 by and between the Company and SVB Securities LLC, as sales agent (the “</w:t>
      </w:r>
      <w:r>
        <w:rPr>
          <w:rFonts w:ascii="Arial" w:cs="Arial" w:eastAsia="Arial" w:hAnsi="Arial"/>
          <w:sz w:val="16"/>
          <w:szCs w:val="16"/>
          <w:u w:val="single" w:color="auto"/>
          <w:color w:val="auto"/>
        </w:rPr>
        <w:t>Sales Agreement</w:t>
      </w:r>
      <w:r>
        <w:rPr>
          <w:rFonts w:ascii="Arial" w:cs="Arial" w:eastAsia="Arial" w:hAnsi="Arial"/>
          <w:sz w:val="16"/>
          <w:szCs w:val="16"/>
          <w:color w:val="auto"/>
        </w:rPr>
        <w:t>”).</w:t>
      </w:r>
    </w:p>
    <w:p>
      <w:pPr>
        <w:spacing w:after="0" w:line="190"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In connection with this opinion letter, we have examined the Registration Statement, the Prospectus, the Sales Agreement, and originals, or copies certified or otherwise identified to our satisfaction, of the Amended and Restated Certificate of Incorporation and the Amended and Restated Bylaws of the Company, and such other documents, records and other instruments as we have deemed appropriate for purposes of the opinion set forth herein.</w:t>
      </w:r>
    </w:p>
    <w:p>
      <w:pPr>
        <w:spacing w:after="0" w:line="174" w:lineRule="exact"/>
        <w:rPr>
          <w:sz w:val="20"/>
          <w:szCs w:val="20"/>
          <w:color w:val="auto"/>
        </w:rPr>
      </w:pPr>
    </w:p>
    <w:p>
      <w:pPr>
        <w:ind w:right="100"/>
        <w:spacing w:after="0" w:line="248" w:lineRule="auto"/>
        <w:rPr>
          <w:sz w:val="20"/>
          <w:szCs w:val="20"/>
          <w:color w:val="auto"/>
        </w:rPr>
      </w:pPr>
      <w:r>
        <w:rPr>
          <w:rFonts w:ascii="Arial" w:cs="Arial" w:eastAsia="Arial" w:hAnsi="Arial"/>
          <w:sz w:val="18"/>
          <w:szCs w:val="18"/>
          <w:color w:val="auto"/>
        </w:rPr>
        <w:t>We have assumed the genuineness of all signatures, the legal capacity of all natural persons, the authenticity of the documents submitted to us as originals, the conformity with the originals of all documents submitted to us as certified, facsimile or photostatic copies and the authenticity of the originals of all documents submitted to us as copies.</w:t>
      </w:r>
    </w:p>
    <w:p>
      <w:pPr>
        <w:spacing w:after="0" w:line="209" w:lineRule="exact"/>
        <w:rPr>
          <w:sz w:val="20"/>
          <w:szCs w:val="20"/>
          <w:color w:val="auto"/>
        </w:rPr>
      </w:pPr>
    </w:p>
    <w:p>
      <w:pPr>
        <w:ind w:right="60"/>
        <w:spacing w:after="0" w:line="248" w:lineRule="auto"/>
        <w:rPr>
          <w:sz w:val="20"/>
          <w:szCs w:val="20"/>
          <w:color w:val="auto"/>
        </w:rPr>
      </w:pPr>
      <w:r>
        <w:rPr>
          <w:rFonts w:ascii="Arial" w:cs="Arial" w:eastAsia="Arial" w:hAnsi="Arial"/>
          <w:sz w:val="18"/>
          <w:szCs w:val="18"/>
          <w:color w:val="auto"/>
        </w:rPr>
        <w:t>Based upon the foregoing, we are of the opinion that the Placement Shares have been duly authorized by the Company and, when issued and sold by the Company and delivered by the Company against receipt of the purchase price therefor, in the manner contemplated by the Sales Agreement, will be validly issued, fully paid and non-assessable.</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The opinions expressed herein are limited to the Delaware General Corporation Law.</w:t>
      </w:r>
    </w:p>
    <w:p>
      <w:pPr>
        <w:spacing w:after="0" w:line="239" w:lineRule="exact"/>
        <w:rPr>
          <w:sz w:val="20"/>
          <w:szCs w:val="20"/>
          <w:color w:val="auto"/>
        </w:rPr>
      </w:pPr>
    </w:p>
    <w:p>
      <w:pPr>
        <w:jc w:val="both"/>
        <w:ind w:right="40"/>
        <w:spacing w:after="0" w:line="248" w:lineRule="auto"/>
        <w:rPr>
          <w:sz w:val="20"/>
          <w:szCs w:val="20"/>
          <w:color w:val="auto"/>
        </w:rPr>
      </w:pPr>
      <w:r>
        <w:rPr>
          <w:rFonts w:ascii="Arial" w:cs="Arial" w:eastAsia="Arial" w:hAnsi="Arial"/>
          <w:sz w:val="18"/>
          <w:szCs w:val="18"/>
          <w:color w:val="auto"/>
        </w:rPr>
        <w:t>We hereby consent to the use of this opinion as Exhibit 5.1 to the Registration Statement and to the reference to us under the caption “Legal Matters” in the Prospectus Supplement. In giving such consent, we do not hereby admit that we are acting within the category of persons whose consent is required under Section 7 of the Act or the rules or regulations of the SEC thereunder.</w:t>
      </w:r>
    </w:p>
    <w:p>
      <w:pPr>
        <w:spacing w:after="0" w:line="195" w:lineRule="exact"/>
        <w:rPr>
          <w:sz w:val="20"/>
          <w:szCs w:val="20"/>
          <w:color w:val="auto"/>
        </w:rPr>
      </w:pPr>
    </w:p>
    <w:p>
      <w:pPr>
        <w:ind w:left="20"/>
        <w:spacing w:after="0"/>
        <w:rPr>
          <w:sz w:val="20"/>
          <w:szCs w:val="20"/>
          <w:color w:val="auto"/>
        </w:rPr>
      </w:pPr>
      <w:r>
        <w:rPr>
          <w:rFonts w:ascii="Arial" w:cs="Arial" w:eastAsia="Arial" w:hAnsi="Arial"/>
          <w:sz w:val="18"/>
          <w:szCs w:val="18"/>
          <w:color w:val="auto"/>
        </w:rPr>
        <w:t>Very truly yours,</w:t>
      </w:r>
    </w:p>
    <w:p>
      <w:pPr>
        <w:spacing w:after="0" w:line="200" w:lineRule="exact"/>
        <w:rPr>
          <w:sz w:val="20"/>
          <w:szCs w:val="20"/>
          <w:color w:val="auto"/>
        </w:rPr>
      </w:pPr>
    </w:p>
    <w:p>
      <w:pPr>
        <w:spacing w:after="0" w:line="376"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DLA Piper LLP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49" w:name="page50"/>
    <w:bookmarkEnd w:id="4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C3DBD3D"/>
    <w:multiLevelType w:val="hybridMultilevel"/>
    <w:lvl w:ilvl="0">
      <w:lvlJc w:val="left"/>
      <w:lvlText w:val="☐"/>
      <w:numFmt w:val="bullet"/>
      <w:start w:val="1"/>
    </w:lvl>
  </w:abstractNum>
  <w:abstractNum w:abstractNumId="1">
    <w:nsid w:val="737B8DDC"/>
    <w:multiLevelType w:val="hybridMultilevel"/>
    <w:lvl w:ilvl="0">
      <w:lvlJc w:val="left"/>
      <w:lvlText w:val="%1."/>
      <w:numFmt w:val="decimal"/>
      <w:start w:val="1"/>
    </w:lvl>
  </w:abstractNum>
  <w:abstractNum w:abstractNumId="2">
    <w:nsid w:val="6CEAF087"/>
    <w:multiLevelType w:val="hybridMultilevel"/>
    <w:lvl w:ilvl="0">
      <w:lvlJc w:val="left"/>
      <w:lvlText w:val="%1"/>
      <w:numFmt w:val="lowerRoman"/>
      <w:start w:val="1"/>
    </w:lvl>
    <w:lvl w:ilvl="1">
      <w:lvlJc w:val="left"/>
      <w:lvlText w:val="%2."/>
      <w:numFmt w:val="decimal"/>
      <w:start w:val="2"/>
    </w:lvl>
  </w:abstractNum>
  <w:abstractNum w:abstractNumId="3">
    <w:nsid w:val="22221A70"/>
    <w:multiLevelType w:val="hybridMultilevel"/>
    <w:lvl w:ilvl="0">
      <w:lvlJc w:val="left"/>
      <w:lvlText w:val="(%1)"/>
      <w:numFmt w:val="lowerRoman"/>
      <w:start w:val="6"/>
    </w:lvl>
    <w:lvl w:ilvl="1">
      <w:lvlJc w:val="left"/>
      <w:lvlText w:val="%2"/>
      <w:numFmt w:val="decimal"/>
      <w:start w:val="1"/>
    </w:lvl>
  </w:abstractNum>
  <w:abstractNum w:abstractNumId="4">
    <w:nsid w:val="4516DDE9"/>
    <w:multiLevelType w:val="hybridMultilevel"/>
    <w:lvl w:ilvl="0">
      <w:lvlJc w:val="left"/>
      <w:lvlText w:val="%1."/>
      <w:numFmt w:val="decimal"/>
      <w:start w:val="3"/>
    </w:lvl>
    <w:lvl w:ilvl="1">
      <w:lvlJc w:val="left"/>
      <w:lvlText w:val="(%2)"/>
      <w:numFmt w:val="lowerLetter"/>
      <w:start w:val="1"/>
    </w:lvl>
  </w:abstractNum>
  <w:abstractNum w:abstractNumId="5">
    <w:nsid w:val="3006C83E"/>
    <w:multiLevelType w:val="hybridMultilevel"/>
    <w:lvl w:ilvl="0">
      <w:lvlJc w:val="left"/>
      <w:lvlText w:val="%1"/>
      <w:numFmt w:val="decimal"/>
      <w:start w:val="1"/>
    </w:lvl>
    <w:lvl w:ilvl="1">
      <w:lvlJc w:val="left"/>
      <w:lvlText w:val="(%2)"/>
      <w:numFmt w:val="lowerLetter"/>
      <w:start w:val="2"/>
    </w:lvl>
  </w:abstractNum>
  <w:abstractNum w:abstractNumId="6">
    <w:nsid w:val="614FD4A1"/>
    <w:multiLevelType w:val="hybridMultilevel"/>
    <w:lvl w:ilvl="0">
      <w:lvlJc w:val="left"/>
      <w:lvlText w:val="%1."/>
      <w:numFmt w:val="decimal"/>
      <w:start w:val="5"/>
    </w:lvl>
    <w:lvl w:ilvl="1">
      <w:lvlJc w:val="left"/>
      <w:lvlText w:val="(%2)"/>
      <w:numFmt w:val="lowerLetter"/>
      <w:start w:val="1"/>
    </w:lvl>
  </w:abstractNum>
  <w:abstractNum w:abstractNumId="7">
    <w:nsid w:val="419AC241"/>
    <w:multiLevelType w:val="hybridMultilevel"/>
    <w:lvl w:ilvl="0">
      <w:lvlJc w:val="left"/>
      <w:lvlText w:val="%1"/>
      <w:numFmt w:val="decimal"/>
      <w:start w:val="1"/>
    </w:lvl>
    <w:lvl w:ilvl="1">
      <w:lvlJc w:val="left"/>
      <w:lvlText w:val="(%2)"/>
      <w:numFmt w:val="lowerLetter"/>
      <w:start w:val="3"/>
    </w:lvl>
  </w:abstractNum>
  <w:abstractNum w:abstractNumId="8">
    <w:nsid w:val="5577F8E1"/>
    <w:multiLevelType w:val="hybridMultilevel"/>
    <w:lvl w:ilvl="0">
      <w:lvlJc w:val="left"/>
      <w:lvlText w:val="%1."/>
      <w:numFmt w:val="decimal"/>
      <w:start w:val="6"/>
    </w:lvl>
    <w:lvl w:ilvl="1">
      <w:lvlJc w:val="left"/>
      <w:lvlText w:val="(%2)"/>
      <w:numFmt w:val="lowerLetter"/>
      <w:start w:val="1"/>
    </w:lvl>
  </w:abstractNum>
  <w:abstractNum w:abstractNumId="9">
    <w:nsid w:val="440BADFC"/>
    <w:multiLevelType w:val="hybridMultilevel"/>
    <w:lvl w:ilvl="0">
      <w:lvlJc w:val="left"/>
      <w:lvlText w:val="%1"/>
      <w:numFmt w:val="upperLetter"/>
      <w:start w:val="1"/>
    </w:lvl>
    <w:lvl w:ilvl="1">
      <w:lvlJc w:val="left"/>
      <w:lvlText w:val="(%2)"/>
      <w:numFmt w:val="lowerLetter"/>
      <w:start w:val="2"/>
    </w:lvl>
  </w:abstractNum>
  <w:abstractNum w:abstractNumId="10">
    <w:nsid w:val="5072367"/>
    <w:multiLevelType w:val="hybridMultilevel"/>
    <w:lvl w:ilvl="0">
      <w:lvlJc w:val="left"/>
      <w:lvlText w:val="(%1)"/>
      <w:numFmt w:val="lowerLetter"/>
      <w:start w:val="6"/>
    </w:lvl>
  </w:abstractNum>
  <w:abstractNum w:abstractNumId="11">
    <w:nsid w:val="3804823E"/>
    <w:multiLevelType w:val="hybridMultilevel"/>
    <w:lvl w:ilvl="0">
      <w:lvlJc w:val="left"/>
      <w:lvlText w:val="(%1)"/>
      <w:numFmt w:val="lowerLetter"/>
      <w:start w:val="12"/>
    </w:lvl>
  </w:abstractNum>
  <w:abstractNum w:abstractNumId="12">
    <w:nsid w:val="77465F01"/>
    <w:multiLevelType w:val="hybridMultilevel"/>
    <w:lvl w:ilvl="0">
      <w:lvlJc w:val="left"/>
      <w:lvlText w:val="(%1)"/>
      <w:numFmt w:val="lowerLetter"/>
      <w:start w:val="14"/>
    </w:lvl>
  </w:abstractNum>
  <w:abstractNum w:abstractNumId="13">
    <w:nsid w:val="7724C67E"/>
    <w:multiLevelType w:val="hybridMultilevel"/>
    <w:lvl w:ilvl="0">
      <w:lvlJc w:val="left"/>
      <w:lvlText w:val="(%1)"/>
      <w:numFmt w:val="lowerLetter"/>
      <w:start w:val="19"/>
    </w:lvl>
  </w:abstractNum>
  <w:abstractNum w:abstractNumId="14">
    <w:nsid w:val="5C482A97"/>
    <w:multiLevelType w:val="hybridMultilevel"/>
    <w:lvl w:ilvl="0">
      <w:lvlJc w:val="left"/>
      <w:lvlText w:val="(%1)"/>
      <w:numFmt w:val="lowerLetter"/>
      <w:start w:val="22"/>
    </w:lvl>
  </w:abstractNum>
  <w:abstractNum w:abstractNumId="15">
    <w:nsid w:val="2463B9EA"/>
    <w:multiLevelType w:val="hybridMultilevel"/>
    <w:lvl w:ilvl="0">
      <w:lvlJc w:val="left"/>
      <w:lvlText w:val="(%1)"/>
      <w:numFmt w:val="lowerLetter"/>
      <w:start w:val="26"/>
    </w:lvl>
  </w:abstractNum>
  <w:abstractNum w:abstractNumId="16">
    <w:nsid w:val="5E884ADC"/>
    <w:multiLevelType w:val="hybridMultilevel"/>
    <w:lvl w:ilvl="0">
      <w:lvlJc w:val="left"/>
      <w:lvlText w:val="(%1)"/>
      <w:numFmt w:val="lowerLetter"/>
      <w:start w:val="27"/>
    </w:lvl>
  </w:abstractNum>
  <w:abstractNum w:abstractNumId="17">
    <w:nsid w:val="51EAD36B"/>
    <w:multiLevelType w:val="hybridMultilevel"/>
    <w:lvl w:ilvl="0">
      <w:lvlJc w:val="left"/>
      <w:lvlText w:val="(%1)"/>
      <w:numFmt w:val="lowerLetter"/>
      <w:start w:val="30"/>
    </w:lvl>
  </w:abstractNum>
  <w:abstractNum w:abstractNumId="18">
    <w:nsid w:val="2D517796"/>
    <w:multiLevelType w:val="hybridMultilevel"/>
    <w:lvl w:ilvl="0">
      <w:lvlJc w:val="left"/>
      <w:lvlText w:val="(%1)"/>
      <w:numFmt w:val="lowerLetter"/>
      <w:start w:val="34"/>
    </w:lvl>
  </w:abstractNum>
  <w:abstractNum w:abstractNumId="19">
    <w:nsid w:val="580BD78F"/>
    <w:multiLevelType w:val="hybridMultilevel"/>
    <w:lvl w:ilvl="0">
      <w:lvlJc w:val="left"/>
      <w:lvlText w:val="(%1)"/>
      <w:numFmt w:val="lowerLetter"/>
      <w:start w:val="36"/>
    </w:lvl>
  </w:abstractNum>
  <w:abstractNum w:abstractNumId="20">
    <w:nsid w:val="153EA438"/>
    <w:multiLevelType w:val="hybridMultilevel"/>
    <w:lvl w:ilvl="0">
      <w:lvlJc w:val="left"/>
      <w:lvlText w:val="(%1)"/>
      <w:numFmt w:val="lowerLetter"/>
      <w:start w:val="40"/>
    </w:lvl>
  </w:abstractNum>
  <w:abstractNum w:abstractNumId="21">
    <w:nsid w:val="3855585C"/>
    <w:multiLevelType w:val="hybridMultilevel"/>
    <w:lvl w:ilvl="0">
      <w:lvlJc w:val="left"/>
      <w:lvlText w:val="%1"/>
      <w:numFmt w:val="lowerRoman"/>
      <w:start w:val="1"/>
    </w:lvl>
    <w:lvl w:ilvl="1">
      <w:lvlJc w:val="left"/>
      <w:lvlText w:val="(%2)"/>
      <w:numFmt w:val="lowerLetter"/>
      <w:start w:val="43"/>
    </w:lvl>
  </w:abstractNum>
  <w:abstractNum w:abstractNumId="22">
    <w:nsid w:val="70A64E2A"/>
    <w:multiLevelType w:val="hybridMultilevel"/>
    <w:lvl w:ilvl="0">
      <w:lvlJc w:val="left"/>
      <w:lvlText w:val="(%1)"/>
      <w:numFmt w:val="lowerRoman"/>
      <w:start w:val="4"/>
    </w:lvl>
    <w:lvl w:ilvl="1">
      <w:lvlJc w:val="left"/>
      <w:lvlText w:val="%2"/>
      <w:numFmt w:val="lowerLetter"/>
      <w:start w:val="1"/>
    </w:lvl>
  </w:abstractNum>
  <w:abstractNum w:abstractNumId="23">
    <w:nsid w:val="6A2342EC"/>
    <w:multiLevelType w:val="hybridMultilevel"/>
    <w:lvl w:ilvl="0">
      <w:lvlJc w:val="left"/>
      <w:lvlText w:val="(%1)"/>
      <w:numFmt w:val="lowerLetter"/>
      <w:start w:val="44"/>
    </w:lvl>
  </w:abstractNum>
  <w:abstractNum w:abstractNumId="24">
    <w:nsid w:val="2A487CB0"/>
    <w:multiLevelType w:val="hybridMultilevel"/>
    <w:lvl w:ilvl="0">
      <w:lvlJc w:val="left"/>
      <w:lvlText w:val="%1"/>
      <w:numFmt w:val="lowerLetter"/>
      <w:start w:val="1"/>
    </w:lvl>
    <w:lvl w:ilvl="1">
      <w:lvlJc w:val="left"/>
      <w:lvlText w:val="(%2)"/>
      <w:numFmt w:val="lowerLetter"/>
      <w:start w:val="46"/>
    </w:lvl>
  </w:abstractNum>
  <w:abstractNum w:abstractNumId="25">
    <w:nsid w:val="1D4ED43B"/>
    <w:multiLevelType w:val="hybridMultilevel"/>
    <w:lvl w:ilvl="0">
      <w:lvlJc w:val="left"/>
      <w:lvlText w:val="(%1)"/>
      <w:numFmt w:val="lowerLetter"/>
      <w:start w:val="9"/>
    </w:lvl>
    <w:lvl w:ilvl="1">
      <w:lvlJc w:val="left"/>
      <w:lvlText w:val="(%2)"/>
      <w:numFmt w:val="lowerLetter"/>
      <w:start w:val="47"/>
    </w:lvl>
  </w:abstractNum>
  <w:abstractNum w:abstractNumId="26">
    <w:nsid w:val="725A06FB"/>
    <w:multiLevelType w:val="hybridMultilevel"/>
    <w:lvl w:ilvl="0">
      <w:lvlJc w:val="left"/>
      <w:lvlText w:val="(%1)"/>
      <w:numFmt w:val="lowerLetter"/>
      <w:start w:val="52"/>
    </w:lvl>
  </w:abstractNum>
  <w:abstractNum w:abstractNumId="27">
    <w:nsid w:val="2CD89A32"/>
    <w:multiLevelType w:val="hybridMultilevel"/>
    <w:lvl w:ilvl="0">
      <w:lvlJc w:val="left"/>
      <w:lvlText w:val="(%1)"/>
      <w:numFmt w:val="lowerLetter"/>
      <w:start w:val="53"/>
    </w:lvl>
  </w:abstractNum>
  <w:abstractNum w:abstractNumId="28">
    <w:nsid w:val="57E4CCAF"/>
    <w:multiLevelType w:val="hybridMultilevel"/>
    <w:lvl w:ilvl="0">
      <w:lvlJc w:val="left"/>
      <w:lvlText w:val="(%1)"/>
      <w:numFmt w:val="lowerLetter"/>
      <w:start w:val="59"/>
    </w:lvl>
  </w:abstractNum>
  <w:abstractNum w:abstractNumId="29">
    <w:nsid w:val="7A6D8D3C"/>
    <w:multiLevelType w:val="hybridMultilevel"/>
    <w:lvl w:ilvl="0">
      <w:lvlJc w:val="left"/>
      <w:lvlText w:val="%1."/>
      <w:numFmt w:val="decimal"/>
      <w:start w:val="7"/>
    </w:lvl>
  </w:abstractNum>
  <w:abstractNum w:abstractNumId="30">
    <w:nsid w:val="4B588F54"/>
    <w:multiLevelType w:val="hybridMultilevel"/>
    <w:lvl w:ilvl="0">
      <w:lvlJc w:val="left"/>
      <w:lvlText w:val="(%1)"/>
      <w:numFmt w:val="lowerLetter"/>
      <w:start w:val="1"/>
    </w:lvl>
  </w:abstractNum>
  <w:abstractNum w:abstractNumId="31">
    <w:nsid w:val="542289EC"/>
    <w:multiLevelType w:val="hybridMultilevel"/>
    <w:lvl w:ilvl="0">
      <w:lvlJc w:val="left"/>
      <w:lvlText w:val="(%1)"/>
      <w:numFmt w:val="lowerLetter"/>
      <w:start w:val="2"/>
    </w:lvl>
  </w:abstractNum>
  <w:abstractNum w:abstractNumId="32">
    <w:nsid w:val="6DE91B18"/>
    <w:multiLevelType w:val="hybridMultilevel"/>
    <w:lvl w:ilvl="0">
      <w:lvlJc w:val="left"/>
      <w:lvlText w:val="(%1)"/>
      <w:numFmt w:val="lowerLetter"/>
      <w:start w:val="4"/>
    </w:lvl>
  </w:abstractNum>
  <w:abstractNum w:abstractNumId="33">
    <w:nsid w:val="38437FDB"/>
    <w:multiLevelType w:val="hybridMultilevel"/>
    <w:lvl w:ilvl="0">
      <w:lvlJc w:val="left"/>
      <w:lvlText w:val="(%1)"/>
      <w:numFmt w:val="lowerLetter"/>
      <w:start w:val="8"/>
    </w:lvl>
  </w:abstractNum>
  <w:abstractNum w:abstractNumId="34">
    <w:nsid w:val="7644A45C"/>
    <w:multiLevelType w:val="hybridMultilevel"/>
    <w:lvl w:ilvl="0">
      <w:lvlJc w:val="left"/>
      <w:lvlText w:val="(%1)"/>
      <w:numFmt w:val="lowerLetter"/>
      <w:start w:val="13"/>
    </w:lvl>
    <w:lvl w:ilvl="1">
      <w:lvlJc w:val="left"/>
      <w:lvlText w:val="(%2)"/>
      <w:numFmt w:val="lowerRoman"/>
      <w:start w:val="1"/>
    </w:lvl>
  </w:abstractNum>
  <w:abstractNum w:abstractNumId="35">
    <w:nsid w:val="32FFF902"/>
    <w:multiLevelType w:val="hybridMultilevel"/>
    <w:lvl w:ilvl="0">
      <w:lvlJc w:val="left"/>
      <w:lvlText w:val="(%1)"/>
      <w:numFmt w:val="lowerLetter"/>
      <w:start w:val="14"/>
    </w:lvl>
  </w:abstractNum>
  <w:abstractNum w:abstractNumId="36">
    <w:nsid w:val="684A481A"/>
    <w:multiLevelType w:val="hybridMultilevel"/>
    <w:lvl w:ilvl="0">
      <w:lvlJc w:val="left"/>
      <w:lvlText w:val="(%1)"/>
      <w:numFmt w:val="lowerLetter"/>
      <w:start w:val="15"/>
    </w:lvl>
  </w:abstractNum>
  <w:abstractNum w:abstractNumId="37">
    <w:nsid w:val="579478FE"/>
    <w:multiLevelType w:val="hybridMultilevel"/>
    <w:lvl w:ilvl="0">
      <w:lvlJc w:val="left"/>
      <w:lvlText w:val="(%1)"/>
      <w:numFmt w:val="lowerLetter"/>
      <w:start w:val="18"/>
    </w:lvl>
  </w:abstractNum>
  <w:abstractNum w:abstractNumId="38">
    <w:nsid w:val="749ABB43"/>
    <w:multiLevelType w:val="hybridMultilevel"/>
    <w:lvl w:ilvl="0">
      <w:lvlJc w:val="left"/>
      <w:lvlText w:val="(%1)"/>
      <w:numFmt w:val="lowerLetter"/>
      <w:start w:val="25"/>
    </w:lvl>
  </w:abstractNum>
  <w:abstractNum w:abstractNumId="39">
    <w:nsid w:val="3DC240FB"/>
    <w:multiLevelType w:val="hybridMultilevel"/>
    <w:lvl w:ilvl="0">
      <w:lvlJc w:val="left"/>
      <w:lvlText w:val="(%1)"/>
      <w:numFmt w:val="lowerLetter"/>
      <w:start w:val="27"/>
    </w:lvl>
  </w:abstractNum>
  <w:abstractNum w:abstractNumId="40">
    <w:nsid w:val="1BA026FA"/>
    <w:multiLevelType w:val="hybridMultilevel"/>
    <w:lvl w:ilvl="0">
      <w:lvlJc w:val="left"/>
      <w:lvlText w:val="%1."/>
      <w:numFmt w:val="decimal"/>
      <w:start w:val="8"/>
    </w:lvl>
  </w:abstractNum>
  <w:abstractNum w:abstractNumId="41">
    <w:nsid w:val="79A1DEAA"/>
    <w:multiLevelType w:val="hybridMultilevel"/>
    <w:lvl w:ilvl="0">
      <w:lvlJc w:val="left"/>
      <w:lvlText w:val="(%1)"/>
      <w:numFmt w:val="lowerLetter"/>
      <w:start w:val="1"/>
    </w:lvl>
  </w:abstractNum>
  <w:abstractNum w:abstractNumId="42">
    <w:nsid w:val="75C6C33A"/>
    <w:multiLevelType w:val="hybridMultilevel"/>
    <w:lvl w:ilvl="0">
      <w:lvlJc w:val="left"/>
      <w:lvlText w:val="(%1)"/>
      <w:numFmt w:val="lowerLetter"/>
      <w:start w:val="6"/>
    </w:lvl>
  </w:abstractNum>
  <w:abstractNum w:abstractNumId="43">
    <w:nsid w:val="12E685FB"/>
    <w:multiLevelType w:val="hybridMultilevel"/>
    <w:lvl w:ilvl="0">
      <w:lvlJc w:val="left"/>
      <w:lvlText w:val="(%1)"/>
      <w:numFmt w:val="lowerLetter"/>
      <w:start w:val="14"/>
    </w:lvl>
  </w:abstractNum>
  <w:abstractNum w:abstractNumId="44">
    <w:nsid w:val="70C6A529"/>
    <w:multiLevelType w:val="hybridMultilevel"/>
    <w:lvl w:ilvl="0">
      <w:lvlJc w:val="left"/>
      <w:lvlText w:val="%1."/>
      <w:numFmt w:val="decimal"/>
      <w:start w:val="9"/>
    </w:lvl>
  </w:abstractNum>
  <w:abstractNum w:abstractNumId="45">
    <w:nsid w:val="520EEDD1"/>
    <w:multiLevelType w:val="hybridMultilevel"/>
    <w:lvl w:ilvl="0">
      <w:lvlJc w:val="left"/>
      <w:lvlText w:val="(%1)"/>
      <w:numFmt w:val="lowerLetter"/>
      <w:start w:val="1"/>
    </w:lvl>
  </w:abstractNum>
  <w:abstractNum w:abstractNumId="46">
    <w:nsid w:val="374A3FE6"/>
    <w:multiLevelType w:val="hybridMultilevel"/>
    <w:lvl w:ilvl="0">
      <w:lvlJc w:val="left"/>
      <w:lvlText w:val="(%1)"/>
      <w:numFmt w:val="lowerLetter"/>
      <w:start w:val="3"/>
    </w:lvl>
  </w:abstractNum>
  <w:abstractNum w:abstractNumId="47">
    <w:nsid w:val="4F4EF005"/>
    <w:multiLevelType w:val="hybridMultilevel"/>
    <w:lvl w:ilvl="0">
      <w:lvlJc w:val="left"/>
      <w:lvlText w:val="(%1)"/>
      <w:numFmt w:val="lowerLetter"/>
      <w:start w:val="5"/>
    </w:lvl>
  </w:abstractNum>
  <w:abstractNum w:abstractNumId="48">
    <w:nsid w:val="23F9C13C"/>
    <w:multiLevelType w:val="hybridMultilevel"/>
    <w:lvl w:ilvl="0">
      <w:lvlJc w:val="left"/>
      <w:lvlText w:val="%1."/>
      <w:numFmt w:val="decimal"/>
      <w:start w:val="10"/>
    </w:lvl>
  </w:abstractNum>
  <w:abstractNum w:abstractNumId="49">
    <w:nsid w:val="649BB77C"/>
    <w:multiLevelType w:val="hybridMultilevel"/>
    <w:lvl w:ilvl="0">
      <w:lvlJc w:val="left"/>
      <w:lvlText w:val="(%1)"/>
      <w:numFmt w:val="lowerLetter"/>
      <w:start w:val="1"/>
    </w:lvl>
  </w:abstractNum>
  <w:abstractNum w:abstractNumId="50">
    <w:nsid w:val="275AC794"/>
    <w:multiLevelType w:val="hybridMultilevel"/>
    <w:lvl w:ilvl="0">
      <w:lvlJc w:val="left"/>
      <w:lvlText w:val="(%1)"/>
      <w:numFmt w:val="lowerLetter"/>
      <w:start w:val="4"/>
    </w:lvl>
  </w:abstractNum>
  <w:abstractNum w:abstractNumId="51">
    <w:nsid w:val="39386575"/>
    <w:multiLevelType w:val="hybridMultilevel"/>
    <w:lvl w:ilvl="0">
      <w:lvlJc w:val="left"/>
      <w:lvlText w:val="%1."/>
      <w:numFmt w:val="decimal"/>
      <w:start w:val="12"/>
    </w:lvl>
  </w:abstractNum>
  <w:abstractNum w:abstractNumId="52">
    <w:nsid w:val="1CF10FD8"/>
    <w:multiLevelType w:val="hybridMultilevel"/>
    <w:lvl w:ilvl="0">
      <w:lvlJc w:val="left"/>
      <w:lvlText w:val="%1."/>
      <w:numFmt w:val="decimal"/>
      <w:start w:val="13"/>
    </w:lvl>
  </w:abstractNum>
  <w:abstractNum w:abstractNumId="53">
    <w:nsid w:val="180115BE"/>
    <w:multiLevelType w:val="hybridMultilevel"/>
    <w:lvl w:ilvl="0">
      <w:lvlJc w:val="left"/>
      <w:lvlText w:val="%1."/>
      <w:numFmt w:val="decimal"/>
      <w:start w:val="15"/>
    </w:lvl>
  </w:abstractNum>
  <w:abstractNum w:abstractNumId="54">
    <w:nsid w:val="235BA861"/>
    <w:multiLevelType w:val="hybridMultilevel"/>
    <w:lvl w:ilvl="0">
      <w:lvlJc w:val="left"/>
      <w:lvlText w:val="(%1)"/>
      <w:numFmt w:val="lowerLetter"/>
      <w:start w:val="1"/>
    </w:lvl>
  </w:abstractNum>
  <w:abstractNum w:abstractNumId="55">
    <w:nsid w:val="47398C89"/>
    <w:multiLevelType w:val="hybridMultilevel"/>
    <w:lvl w:ilvl="0">
      <w:lvlJc w:val="left"/>
      <w:lvlText w:val="(%1)"/>
      <w:numFmt w:val="lowerLetter"/>
      <w:start w:val="3"/>
    </w:lvl>
  </w:abstractNum>
  <w:abstractNum w:abstractNumId="56">
    <w:nsid w:val="354FE9F9"/>
    <w:multiLevelType w:val="hybridMultilevel"/>
    <w:lvl w:ilvl="0">
      <w:lvlJc w:val="left"/>
      <w:lvlText w:val="%1."/>
      <w:numFmt w:val="decimal"/>
      <w:start w:val="19"/>
    </w:lvl>
  </w:abstractNum>
  <w:abstractNum w:abstractNumId="57">
    <w:nsid w:val="15B5AF5C"/>
    <w:multiLevelType w:val="hybridMultilevel"/>
    <w:lvl w:ilvl="0">
      <w:lvlJc w:val="left"/>
      <w:lvlText w:val="(%1)"/>
      <w:numFmt w:val="lowerLetter"/>
      <w:start w:val="1"/>
    </w:lvl>
  </w:abstractNum>
  <w:abstractNum w:abstractNumId="58">
    <w:nsid w:val="741226BB"/>
    <w:multiLevelType w:val="hybridMultilevel"/>
    <w:lvl w:ilvl="0">
      <w:lvlJc w:val="left"/>
      <w:lvlText w:val="(%1)"/>
      <w:numFmt w:val="lowerLetter"/>
      <w:start w:val="5"/>
    </w:lvl>
  </w:abstractNum>
  <w:abstractNum w:abstractNumId="59">
    <w:nsid w:val="D34B6A8"/>
    <w:multiLevelType w:val="hybridMultilevel"/>
    <w:lvl w:ilvl="0">
      <w:lvlJc w:val="left"/>
      <w:lvlText w:val="%1."/>
      <w:numFmt w:val="decimal"/>
      <w:start w:val="21"/>
    </w:lvl>
  </w:abstractNum>
  <w:abstractNum w:abstractNumId="60">
    <w:nsid w:val="10233C99"/>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2022-03-01T17:36:31Z</dcterms:created>
  <dcterms:modified xsi:type="dcterms:W3CDTF">2022-03-01T17:36:31Z</dcterms:modified>
</cp:coreProperties>
</file>