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67">
        <w:r>
          <w:rPr>
            <w:rFonts w:ascii="Arial" w:cs="Arial" w:eastAsia="Arial" w:hAnsi="Arial"/>
            <w:sz w:val="21"/>
            <w:szCs w:val="21"/>
            <w:u w:val="single" w:color="auto"/>
            <w:color w:val="0000EE"/>
          </w:rPr>
          <w:t>Table of Contents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confidentially submitted to the Securities and Exchange Commission on August 25, 2015</w:t>
      </w:r>
    </w:p>
    <w:p>
      <w:pPr>
        <w:spacing w:after="0" w:line="204" w:lineRule="exact"/>
        <w:rPr>
          <w:sz w:val="24"/>
          <w:szCs w:val="24"/>
          <w:color w:val="auto"/>
        </w:rPr>
      </w:pPr>
    </w:p>
    <w:p>
      <w:pPr>
        <w:ind w:left="9240"/>
        <w:spacing w:after="0"/>
        <w:rPr>
          <w:sz w:val="20"/>
          <w:szCs w:val="20"/>
          <w:color w:val="auto"/>
        </w:rPr>
      </w:pPr>
      <w:r>
        <w:rPr>
          <w:rFonts w:ascii="Arial" w:cs="Arial" w:eastAsia="Arial" w:hAnsi="Arial"/>
          <w:sz w:val="13"/>
          <w:szCs w:val="13"/>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139065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S-1</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REGISTRATION STATEMENT</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143510</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AXSOME THERAPEUTICS, INC.</w:t>
      </w:r>
    </w:p>
    <w:p>
      <w:pPr>
        <w:spacing w:after="0" w:line="40" w:lineRule="exact"/>
        <w:rPr>
          <w:sz w:val="24"/>
          <w:szCs w:val="24"/>
          <w:color w:val="auto"/>
        </w:rPr>
      </w:pPr>
    </w:p>
    <w:tbl>
      <w:tblPr>
        <w:tblLayout w:type="fixed"/>
        <w:tblInd w:w="2640" w:type="dxa"/>
        <w:tblCellMar>
          <w:top w:w="0" w:type="dxa"/>
          <w:left w:w="0" w:type="dxa"/>
          <w:bottom w:w="0" w:type="dxa"/>
          <w:right w:w="0" w:type="dxa"/>
        </w:tblCellMar>
      </w:tblPr>
      <w:tr>
        <w:trPr>
          <w:trHeight w:val="165"/>
        </w:trPr>
        <w:tc>
          <w:tcPr>
            <w:tcW w:w="166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color w:val="auto"/>
                <w:w w:val="91"/>
              </w:rPr>
              <w:t>(Exact name of registrant as specified in its charter)</w:t>
            </w:r>
          </w:p>
        </w:tc>
        <w:tc>
          <w:tcPr>
            <w:tcW w:w="1620" w:type="dxa"/>
            <w:vAlign w:val="bottom"/>
          </w:tcPr>
          <w:p>
            <w:pPr>
              <w:spacing w:after="0"/>
              <w:rPr>
                <w:sz w:val="14"/>
                <w:szCs w:val="14"/>
                <w:color w:val="auto"/>
              </w:rPr>
            </w:pPr>
          </w:p>
        </w:tc>
      </w:tr>
      <w:tr>
        <w:trPr>
          <w:trHeight w:val="323"/>
        </w:trPr>
        <w:tc>
          <w:tcPr>
            <w:tcW w:w="1660" w:type="dxa"/>
            <w:vAlign w:val="bottom"/>
          </w:tcPr>
          <w:p>
            <w:pPr>
              <w:jc w:val="center"/>
              <w:ind w:right="14"/>
              <w:spacing w:after="0"/>
              <w:rPr>
                <w:sz w:val="20"/>
                <w:szCs w:val="20"/>
                <w:color w:val="auto"/>
              </w:rPr>
            </w:pPr>
            <w:r>
              <w:rPr>
                <w:rFonts w:ascii="Arial" w:cs="Arial" w:eastAsia="Arial" w:hAnsi="Arial"/>
                <w:sz w:val="13"/>
                <w:szCs w:val="13"/>
                <w:b w:val="1"/>
                <w:bCs w:val="1"/>
                <w:color w:val="auto"/>
                <w:w w:val="94"/>
              </w:rPr>
              <w:t>Delaware</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89"/>
              </w:rPr>
              <w:t>2834</w:t>
            </w:r>
          </w:p>
        </w:tc>
        <w:tc>
          <w:tcPr>
            <w:tcW w:w="162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45-4241907</w:t>
            </w:r>
          </w:p>
        </w:tc>
      </w:tr>
      <w:tr>
        <w:trPr>
          <w:trHeight w:val="144"/>
        </w:trPr>
        <w:tc>
          <w:tcPr>
            <w:tcW w:w="1660" w:type="dxa"/>
            <w:vAlign w:val="bottom"/>
          </w:tcPr>
          <w:p>
            <w:pPr>
              <w:jc w:val="center"/>
              <w:spacing w:after="0" w:line="144" w:lineRule="exact"/>
              <w:rPr>
                <w:sz w:val="20"/>
                <w:szCs w:val="20"/>
                <w:color w:val="auto"/>
              </w:rPr>
            </w:pPr>
            <w:r>
              <w:rPr>
                <w:rFonts w:ascii="Arial" w:cs="Arial" w:eastAsia="Arial" w:hAnsi="Arial"/>
                <w:sz w:val="13"/>
                <w:szCs w:val="13"/>
                <w:color w:val="auto"/>
                <w:w w:val="93"/>
              </w:rPr>
              <w:t>(State or other jurisdiction of</w:t>
            </w:r>
          </w:p>
        </w:tc>
        <w:tc>
          <w:tcPr>
            <w:tcW w:w="2840" w:type="dxa"/>
            <w:vAlign w:val="bottom"/>
          </w:tcPr>
          <w:p>
            <w:pPr>
              <w:jc w:val="center"/>
              <w:spacing w:after="0" w:line="144" w:lineRule="exact"/>
              <w:rPr>
                <w:sz w:val="20"/>
                <w:szCs w:val="20"/>
                <w:color w:val="auto"/>
              </w:rPr>
            </w:pPr>
            <w:r>
              <w:rPr>
                <w:rFonts w:ascii="Arial" w:cs="Arial" w:eastAsia="Arial" w:hAnsi="Arial"/>
                <w:sz w:val="13"/>
                <w:szCs w:val="13"/>
                <w:color w:val="auto"/>
                <w:w w:val="92"/>
              </w:rPr>
              <w:t>(Primary Standard Industrial</w:t>
            </w:r>
          </w:p>
        </w:tc>
        <w:tc>
          <w:tcPr>
            <w:tcW w:w="162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5"/>
              </w:rPr>
              <w:t>(IRS Employer Identification</w:t>
            </w:r>
          </w:p>
        </w:tc>
      </w:tr>
      <w:tr>
        <w:trPr>
          <w:trHeight w:val="165"/>
        </w:trPr>
        <w:tc>
          <w:tcPr>
            <w:tcW w:w="1660" w:type="dxa"/>
            <w:vAlign w:val="bottom"/>
          </w:tcPr>
          <w:p>
            <w:pPr>
              <w:jc w:val="center"/>
              <w:ind w:right="14"/>
              <w:spacing w:after="0"/>
              <w:rPr>
                <w:sz w:val="20"/>
                <w:szCs w:val="20"/>
                <w:color w:val="auto"/>
              </w:rPr>
            </w:pPr>
            <w:r>
              <w:rPr>
                <w:rFonts w:ascii="Arial" w:cs="Arial" w:eastAsia="Arial" w:hAnsi="Arial"/>
                <w:sz w:val="13"/>
                <w:szCs w:val="13"/>
                <w:color w:val="auto"/>
                <w:w w:val="93"/>
              </w:rPr>
              <w:t>incorporation or organization)</w:t>
            </w:r>
          </w:p>
        </w:tc>
        <w:tc>
          <w:tcPr>
            <w:tcW w:w="2840" w:type="dxa"/>
            <w:vAlign w:val="bottom"/>
          </w:tcPr>
          <w:p>
            <w:pPr>
              <w:jc w:val="center"/>
              <w:spacing w:after="0"/>
              <w:rPr>
                <w:sz w:val="20"/>
                <w:szCs w:val="20"/>
                <w:color w:val="auto"/>
              </w:rPr>
            </w:pPr>
            <w:r>
              <w:rPr>
                <w:rFonts w:ascii="Arial" w:cs="Arial" w:eastAsia="Arial" w:hAnsi="Arial"/>
                <w:sz w:val="13"/>
                <w:szCs w:val="13"/>
                <w:color w:val="auto"/>
                <w:w w:val="93"/>
              </w:rPr>
              <w:t>Classification Code Number)</w:t>
            </w:r>
          </w:p>
        </w:tc>
        <w:tc>
          <w:tcPr>
            <w:tcW w:w="1620" w:type="dxa"/>
            <w:vAlign w:val="bottom"/>
          </w:tcPr>
          <w:p>
            <w:pPr>
              <w:jc w:val="center"/>
              <w:ind w:left="34"/>
              <w:spacing w:after="0"/>
              <w:rPr>
                <w:sz w:val="20"/>
                <w:szCs w:val="20"/>
                <w:color w:val="auto"/>
              </w:rPr>
            </w:pPr>
            <w:r>
              <w:rPr>
                <w:rFonts w:ascii="Arial" w:cs="Arial" w:eastAsia="Arial" w:hAnsi="Arial"/>
                <w:sz w:val="13"/>
                <w:szCs w:val="13"/>
                <w:color w:val="auto"/>
                <w:w w:val="94"/>
              </w:rPr>
              <w:t>Number)</w:t>
            </w:r>
          </w:p>
        </w:tc>
      </w:tr>
    </w:tbl>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25 Broadway</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New York, New York 10004</w:t>
      </w:r>
    </w:p>
    <w:p>
      <w:pPr>
        <w:jc w:val="center"/>
        <w:ind w:right="-39"/>
        <w:spacing w:after="0" w:line="231" w:lineRule="auto"/>
        <w:rPr>
          <w:sz w:val="20"/>
          <w:szCs w:val="20"/>
          <w:color w:val="auto"/>
        </w:rPr>
      </w:pPr>
      <w:r>
        <w:rPr>
          <w:rFonts w:ascii="Arial" w:cs="Arial" w:eastAsia="Arial" w:hAnsi="Arial"/>
          <w:sz w:val="13"/>
          <w:szCs w:val="13"/>
          <w:b w:val="1"/>
          <w:bCs w:val="1"/>
          <w:color w:val="auto"/>
        </w:rPr>
        <w:t>(212) 332-3241</w:t>
      </w:r>
    </w:p>
    <w:p>
      <w:pPr>
        <w:jc w:val="center"/>
        <w:ind w:right="-3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Herriot Tabuteau, M.D.</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Chief Executive Officer</w:t>
      </w:r>
    </w:p>
    <w:p>
      <w:pPr>
        <w:jc w:val="center"/>
        <w:ind w:right="-39"/>
        <w:spacing w:after="0" w:line="231" w:lineRule="auto"/>
        <w:rPr>
          <w:sz w:val="20"/>
          <w:szCs w:val="20"/>
          <w:color w:val="auto"/>
        </w:rPr>
      </w:pPr>
      <w:r>
        <w:rPr>
          <w:rFonts w:ascii="Arial" w:cs="Arial" w:eastAsia="Arial" w:hAnsi="Arial"/>
          <w:sz w:val="13"/>
          <w:szCs w:val="13"/>
          <w:b w:val="1"/>
          <w:bCs w:val="1"/>
          <w:color w:val="auto"/>
        </w:rPr>
        <w:t>Axsome Therapeutics, Inc.</w:t>
      </w:r>
    </w:p>
    <w:p>
      <w:pPr>
        <w:jc w:val="center"/>
        <w:ind w:right="-39"/>
        <w:spacing w:after="0" w:line="232" w:lineRule="auto"/>
        <w:rPr>
          <w:sz w:val="20"/>
          <w:szCs w:val="20"/>
          <w:color w:val="auto"/>
        </w:rPr>
      </w:pPr>
      <w:r>
        <w:rPr>
          <w:rFonts w:ascii="Arial" w:cs="Arial" w:eastAsia="Arial" w:hAnsi="Arial"/>
          <w:sz w:val="13"/>
          <w:szCs w:val="13"/>
          <w:b w:val="1"/>
          <w:bCs w:val="1"/>
          <w:color w:val="auto"/>
        </w:rPr>
        <w:t>25 Broadway</w:t>
      </w:r>
    </w:p>
    <w:p>
      <w:pPr>
        <w:jc w:val="center"/>
        <w:ind w:right="-39"/>
        <w:spacing w:after="0" w:line="231" w:lineRule="auto"/>
        <w:rPr>
          <w:sz w:val="20"/>
          <w:szCs w:val="20"/>
          <w:color w:val="auto"/>
        </w:rPr>
      </w:pPr>
      <w:r>
        <w:rPr>
          <w:rFonts w:ascii="Arial" w:cs="Arial" w:eastAsia="Arial" w:hAnsi="Arial"/>
          <w:sz w:val="13"/>
          <w:szCs w:val="13"/>
          <w:b w:val="1"/>
          <w:bCs w:val="1"/>
          <w:color w:val="auto"/>
        </w:rPr>
        <w:t>New York, New York 10004</w:t>
      </w:r>
    </w:p>
    <w:p>
      <w:pPr>
        <w:jc w:val="center"/>
        <w:ind w:right="-39"/>
        <w:spacing w:after="0" w:line="232" w:lineRule="auto"/>
        <w:rPr>
          <w:sz w:val="20"/>
          <w:szCs w:val="20"/>
          <w:color w:val="auto"/>
        </w:rPr>
      </w:pPr>
      <w:r>
        <w:rPr>
          <w:rFonts w:ascii="Arial" w:cs="Arial" w:eastAsia="Arial" w:hAnsi="Arial"/>
          <w:sz w:val="13"/>
          <w:szCs w:val="13"/>
          <w:b w:val="1"/>
          <w:bCs w:val="1"/>
          <w:color w:val="auto"/>
        </w:rPr>
        <w:t>(212) 332-3241</w:t>
      </w:r>
    </w:p>
    <w:p>
      <w:pPr>
        <w:jc w:val="center"/>
        <w:ind w:right="-3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3420" w:type="dxa"/>
        <w:tblCellMar>
          <w:top w:w="0" w:type="dxa"/>
          <w:left w:w="0" w:type="dxa"/>
          <w:bottom w:w="0" w:type="dxa"/>
          <w:right w:w="0" w:type="dxa"/>
        </w:tblCellMar>
      </w:tblPr>
      <w:tr>
        <w:trPr>
          <w:trHeight w:val="169"/>
        </w:trPr>
        <w:tc>
          <w:tcPr>
            <w:tcW w:w="1880" w:type="dxa"/>
            <w:vAlign w:val="bottom"/>
          </w:tcPr>
          <w:p>
            <w:pPr>
              <w:spacing w:after="0"/>
              <w:rPr>
                <w:sz w:val="14"/>
                <w:szCs w:val="14"/>
                <w:color w:val="auto"/>
              </w:rPr>
            </w:pPr>
          </w:p>
        </w:tc>
        <w:tc>
          <w:tcPr>
            <w:tcW w:w="2840" w:type="dxa"/>
            <w:vAlign w:val="bottom"/>
          </w:tcPr>
          <w:p>
            <w:pPr>
              <w:ind w:left="140"/>
              <w:spacing w:after="0"/>
              <w:rPr>
                <w:sz w:val="20"/>
                <w:szCs w:val="20"/>
                <w:color w:val="auto"/>
              </w:rPr>
            </w:pPr>
            <w:r>
              <w:rPr>
                <w:rFonts w:ascii="Arial" w:cs="Arial" w:eastAsia="Arial" w:hAnsi="Arial"/>
                <w:sz w:val="13"/>
                <w:szCs w:val="13"/>
                <w:b w:val="1"/>
                <w:bCs w:val="1"/>
                <w:color w:val="auto"/>
              </w:rPr>
              <w:t>Copies to:</w:t>
            </w:r>
          </w:p>
        </w:tc>
      </w:tr>
      <w:tr>
        <w:trPr>
          <w:trHeight w:val="356"/>
        </w:trPr>
        <w:tc>
          <w:tcPr>
            <w:tcW w:w="1880" w:type="dxa"/>
            <w:vAlign w:val="bottom"/>
          </w:tcPr>
          <w:p>
            <w:pPr>
              <w:jc w:val="center"/>
              <w:ind w:right="54"/>
              <w:spacing w:after="0"/>
              <w:rPr>
                <w:sz w:val="20"/>
                <w:szCs w:val="20"/>
                <w:color w:val="auto"/>
              </w:rPr>
            </w:pPr>
            <w:r>
              <w:rPr>
                <w:rFonts w:ascii="Arial" w:cs="Arial" w:eastAsia="Arial" w:hAnsi="Arial"/>
                <w:sz w:val="13"/>
                <w:szCs w:val="13"/>
                <w:b w:val="1"/>
                <w:bCs w:val="1"/>
                <w:color w:val="auto"/>
                <w:w w:val="89"/>
              </w:rPr>
              <w:t>Emilio Ragosa</w:t>
            </w:r>
          </w:p>
        </w:tc>
        <w:tc>
          <w:tcPr>
            <w:tcW w:w="2840" w:type="dxa"/>
            <w:vAlign w:val="bottom"/>
          </w:tcPr>
          <w:p>
            <w:pPr>
              <w:jc w:val="center"/>
              <w:ind w:left="754"/>
              <w:spacing w:after="0"/>
              <w:rPr>
                <w:sz w:val="20"/>
                <w:szCs w:val="20"/>
                <w:color w:val="auto"/>
              </w:rPr>
            </w:pPr>
            <w:r>
              <w:rPr>
                <w:rFonts w:ascii="Arial" w:cs="Arial" w:eastAsia="Arial" w:hAnsi="Arial"/>
                <w:sz w:val="13"/>
                <w:szCs w:val="13"/>
                <w:b w:val="1"/>
                <w:bCs w:val="1"/>
                <w:color w:val="auto"/>
                <w:w w:val="95"/>
              </w:rPr>
              <w:t>Brian B. Margolis</w:t>
            </w:r>
          </w:p>
        </w:tc>
      </w:tr>
      <w:tr>
        <w:trPr>
          <w:trHeight w:val="144"/>
        </w:trPr>
        <w:tc>
          <w:tcPr>
            <w:tcW w:w="18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Morgan, Lewis &amp; Bockius LLP</w:t>
            </w:r>
          </w:p>
        </w:tc>
        <w:tc>
          <w:tcPr>
            <w:tcW w:w="2840" w:type="dxa"/>
            <w:vAlign w:val="bottom"/>
          </w:tcPr>
          <w:p>
            <w:pPr>
              <w:jc w:val="center"/>
              <w:ind w:left="754"/>
              <w:spacing w:after="0" w:line="144" w:lineRule="exact"/>
              <w:rPr>
                <w:sz w:val="20"/>
                <w:szCs w:val="20"/>
                <w:color w:val="auto"/>
              </w:rPr>
            </w:pPr>
            <w:r>
              <w:rPr>
                <w:rFonts w:ascii="Arial" w:cs="Arial" w:eastAsia="Arial" w:hAnsi="Arial"/>
                <w:sz w:val="13"/>
                <w:szCs w:val="13"/>
                <w:b w:val="1"/>
                <w:bCs w:val="1"/>
                <w:color w:val="auto"/>
                <w:w w:val="95"/>
              </w:rPr>
              <w:t>Kenneth Marx</w:t>
            </w:r>
          </w:p>
        </w:tc>
      </w:tr>
      <w:tr>
        <w:trPr>
          <w:trHeight w:val="144"/>
        </w:trPr>
        <w:tc>
          <w:tcPr>
            <w:tcW w:w="18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101 Park Avenue</w:t>
            </w:r>
          </w:p>
        </w:tc>
        <w:tc>
          <w:tcPr>
            <w:tcW w:w="2840" w:type="dxa"/>
            <w:vAlign w:val="bottom"/>
          </w:tcPr>
          <w:p>
            <w:pPr>
              <w:jc w:val="center"/>
              <w:ind w:left="754"/>
              <w:spacing w:after="0" w:line="144" w:lineRule="exact"/>
              <w:rPr>
                <w:sz w:val="20"/>
                <w:szCs w:val="20"/>
                <w:color w:val="auto"/>
              </w:rPr>
            </w:pPr>
            <w:r>
              <w:rPr>
                <w:rFonts w:ascii="Arial" w:cs="Arial" w:eastAsia="Arial" w:hAnsi="Arial"/>
                <w:sz w:val="13"/>
                <w:szCs w:val="13"/>
                <w:b w:val="1"/>
                <w:bCs w:val="1"/>
                <w:color w:val="auto"/>
                <w:w w:val="97"/>
              </w:rPr>
              <w:t>Orrick, Herrington &amp; Sutcliffe LLP</w:t>
            </w:r>
          </w:p>
        </w:tc>
      </w:tr>
      <w:tr>
        <w:trPr>
          <w:trHeight w:val="144"/>
        </w:trPr>
        <w:tc>
          <w:tcPr>
            <w:tcW w:w="188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93"/>
              </w:rPr>
              <w:t>New York, New York 10178</w:t>
            </w:r>
          </w:p>
        </w:tc>
        <w:tc>
          <w:tcPr>
            <w:tcW w:w="2840" w:type="dxa"/>
            <w:vAlign w:val="bottom"/>
          </w:tcPr>
          <w:p>
            <w:pPr>
              <w:jc w:val="center"/>
              <w:ind w:left="754"/>
              <w:spacing w:after="0" w:line="144" w:lineRule="exact"/>
              <w:rPr>
                <w:sz w:val="20"/>
                <w:szCs w:val="20"/>
                <w:color w:val="auto"/>
              </w:rPr>
            </w:pPr>
            <w:r>
              <w:rPr>
                <w:rFonts w:ascii="Arial" w:cs="Arial" w:eastAsia="Arial" w:hAnsi="Arial"/>
                <w:sz w:val="13"/>
                <w:szCs w:val="13"/>
                <w:b w:val="1"/>
                <w:bCs w:val="1"/>
                <w:color w:val="auto"/>
                <w:w w:val="89"/>
              </w:rPr>
              <w:t>51 West 52nd Street</w:t>
            </w:r>
          </w:p>
        </w:tc>
      </w:tr>
      <w:tr>
        <w:trPr>
          <w:trHeight w:val="144"/>
        </w:trPr>
        <w:tc>
          <w:tcPr>
            <w:tcW w:w="188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(212) 309-6000</w:t>
            </w:r>
          </w:p>
        </w:tc>
        <w:tc>
          <w:tcPr>
            <w:tcW w:w="2840" w:type="dxa"/>
            <w:vAlign w:val="bottom"/>
          </w:tcPr>
          <w:p>
            <w:pPr>
              <w:jc w:val="center"/>
              <w:ind w:left="754"/>
              <w:spacing w:after="0" w:line="144" w:lineRule="exact"/>
              <w:rPr>
                <w:sz w:val="20"/>
                <w:szCs w:val="20"/>
                <w:color w:val="auto"/>
              </w:rPr>
            </w:pPr>
            <w:r>
              <w:rPr>
                <w:rFonts w:ascii="Arial" w:cs="Arial" w:eastAsia="Arial" w:hAnsi="Arial"/>
                <w:sz w:val="13"/>
                <w:szCs w:val="13"/>
                <w:b w:val="1"/>
                <w:bCs w:val="1"/>
                <w:color w:val="auto"/>
                <w:w w:val="93"/>
              </w:rPr>
              <w:t>New York, New York 10019</w:t>
            </w:r>
          </w:p>
        </w:tc>
      </w:tr>
      <w:tr>
        <w:trPr>
          <w:trHeight w:val="169"/>
        </w:trPr>
        <w:tc>
          <w:tcPr>
            <w:tcW w:w="1880" w:type="dxa"/>
            <w:vAlign w:val="bottom"/>
          </w:tcPr>
          <w:p>
            <w:pPr>
              <w:spacing w:after="0"/>
              <w:rPr>
                <w:sz w:val="14"/>
                <w:szCs w:val="14"/>
                <w:color w:val="auto"/>
              </w:rPr>
            </w:pPr>
          </w:p>
        </w:tc>
        <w:tc>
          <w:tcPr>
            <w:tcW w:w="2840" w:type="dxa"/>
            <w:vAlign w:val="bottom"/>
          </w:tcPr>
          <w:p>
            <w:pPr>
              <w:jc w:val="center"/>
              <w:ind w:left="754"/>
              <w:spacing w:after="0"/>
              <w:rPr>
                <w:sz w:val="20"/>
                <w:szCs w:val="20"/>
                <w:color w:val="auto"/>
              </w:rPr>
            </w:pPr>
            <w:r>
              <w:rPr>
                <w:rFonts w:ascii="Arial" w:cs="Arial" w:eastAsia="Arial" w:hAnsi="Arial"/>
                <w:sz w:val="13"/>
                <w:szCs w:val="13"/>
                <w:b w:val="1"/>
                <w:bCs w:val="1"/>
                <w:color w:val="auto"/>
                <w:w w:val="92"/>
              </w:rPr>
              <w:t>(212) 506-5000</w:t>
            </w:r>
          </w:p>
        </w:tc>
      </w:tr>
    </w:tbl>
    <w:p>
      <w:pPr>
        <w:spacing w:after="0" w:line="185"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194" w:lineRule="exact"/>
        <w:rPr>
          <w:sz w:val="24"/>
          <w:szCs w:val="24"/>
          <w:color w:val="auto"/>
        </w:rPr>
      </w:pPr>
    </w:p>
    <w:p>
      <w:pPr>
        <w:ind w:left="340"/>
        <w:spacing w:after="0"/>
        <w:tabs>
          <w:tab w:leader="none" w:pos="100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3"/>
          <w:szCs w:val="13"/>
          <w:color w:val="auto"/>
        </w:rPr>
        <w:t>o</w:t>
      </w:r>
    </w:p>
    <w:p>
      <w:pPr>
        <w:spacing w:after="0" w:line="204" w:lineRule="exact"/>
        <w:rPr>
          <w:sz w:val="24"/>
          <w:szCs w:val="24"/>
          <w:color w:val="auto"/>
        </w:rPr>
      </w:pPr>
    </w:p>
    <w:p>
      <w:pPr>
        <w:ind w:firstLine="328"/>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460" w:firstLine="328"/>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460" w:firstLine="328"/>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160" w:firstLine="328"/>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169"/>
        </w:trPr>
        <w:tc>
          <w:tcPr>
            <w:tcW w:w="1480" w:type="dxa"/>
            <w:vAlign w:val="bottom"/>
          </w:tcPr>
          <w:p>
            <w:pPr>
              <w:spacing w:after="0"/>
              <w:rPr>
                <w:sz w:val="20"/>
                <w:szCs w:val="20"/>
                <w:color w:val="auto"/>
              </w:rPr>
            </w:pPr>
            <w:r>
              <w:rPr>
                <w:rFonts w:ascii="Arial" w:cs="Arial" w:eastAsia="Arial" w:hAnsi="Arial"/>
                <w:sz w:val="13"/>
                <w:szCs w:val="13"/>
                <w:color w:val="auto"/>
              </w:rPr>
              <w:t>Large accelerated filer o</w:t>
            </w:r>
          </w:p>
        </w:tc>
        <w:tc>
          <w:tcPr>
            <w:tcW w:w="1540" w:type="dxa"/>
            <w:vAlign w:val="bottom"/>
          </w:tcPr>
          <w:p>
            <w:pPr>
              <w:ind w:left="180"/>
              <w:spacing w:after="0"/>
              <w:rPr>
                <w:sz w:val="20"/>
                <w:szCs w:val="20"/>
                <w:color w:val="auto"/>
              </w:rPr>
            </w:pPr>
            <w:r>
              <w:rPr>
                <w:rFonts w:ascii="Arial" w:cs="Arial" w:eastAsia="Arial" w:hAnsi="Arial"/>
                <w:sz w:val="13"/>
                <w:szCs w:val="13"/>
                <w:color w:val="auto"/>
              </w:rPr>
              <w:t>Accelerated filer o</w:t>
            </w:r>
          </w:p>
        </w:tc>
        <w:tc>
          <w:tcPr>
            <w:tcW w:w="2860" w:type="dxa"/>
            <w:vAlign w:val="bottom"/>
          </w:tcPr>
          <w:p>
            <w:pPr>
              <w:jc w:val="center"/>
              <w:ind w:left="1054"/>
              <w:spacing w:after="0" w:line="150" w:lineRule="exact"/>
              <w:rPr>
                <w:sz w:val="20"/>
                <w:szCs w:val="20"/>
                <w:color w:val="auto"/>
              </w:rPr>
            </w:pPr>
            <w:r>
              <w:rPr>
                <w:rFonts w:ascii="Arial" w:cs="Arial" w:eastAsia="Arial" w:hAnsi="Arial"/>
                <w:sz w:val="13"/>
                <w:szCs w:val="13"/>
                <w:color w:val="auto"/>
                <w:w w:val="92"/>
              </w:rPr>
              <w:t xml:space="preserve">Non-accelerated filer </w:t>
            </w:r>
            <w:r>
              <w:rPr>
                <w:rFonts w:ascii="MS PGothic" w:cs="MS PGothic" w:eastAsia="MS PGothic" w:hAnsi="MS PGothic"/>
                <w:sz w:val="13"/>
                <w:szCs w:val="13"/>
                <w:color w:val="auto"/>
                <w:w w:val="92"/>
              </w:rPr>
              <w:t>☒</w:t>
            </w:r>
          </w:p>
        </w:tc>
        <w:tc>
          <w:tcPr>
            <w:tcW w:w="3060" w:type="dxa"/>
            <w:vAlign w:val="bottom"/>
          </w:tcPr>
          <w:p>
            <w:pPr>
              <w:ind w:left="1520"/>
              <w:spacing w:after="0"/>
              <w:rPr>
                <w:sz w:val="20"/>
                <w:szCs w:val="20"/>
                <w:color w:val="auto"/>
              </w:rPr>
            </w:pPr>
            <w:r>
              <w:rPr>
                <w:rFonts w:ascii="Arial" w:cs="Arial" w:eastAsia="Arial" w:hAnsi="Arial"/>
                <w:sz w:val="13"/>
                <w:szCs w:val="13"/>
                <w:color w:val="auto"/>
                <w:w w:val="91"/>
              </w:rPr>
              <w:t>Smaller reporting company o</w:t>
            </w:r>
          </w:p>
        </w:tc>
      </w:tr>
      <w:tr>
        <w:trPr>
          <w:trHeight w:val="144"/>
        </w:trPr>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60" w:type="dxa"/>
            <w:vAlign w:val="bottom"/>
          </w:tcPr>
          <w:p>
            <w:pPr>
              <w:jc w:val="center"/>
              <w:ind w:left="1054"/>
              <w:spacing w:after="0" w:line="144" w:lineRule="exact"/>
              <w:rPr>
                <w:sz w:val="20"/>
                <w:szCs w:val="20"/>
                <w:color w:val="auto"/>
              </w:rPr>
            </w:pPr>
            <w:r>
              <w:rPr>
                <w:rFonts w:ascii="Arial" w:cs="Arial" w:eastAsia="Arial" w:hAnsi="Arial"/>
                <w:sz w:val="13"/>
                <w:szCs w:val="13"/>
                <w:color w:val="auto"/>
                <w:w w:val="92"/>
              </w:rPr>
              <w:t>(Do not check if a</w:t>
            </w:r>
          </w:p>
        </w:tc>
        <w:tc>
          <w:tcPr>
            <w:tcW w:w="3060" w:type="dxa"/>
            <w:vAlign w:val="bottom"/>
          </w:tcPr>
          <w:p>
            <w:pPr>
              <w:spacing w:after="0"/>
              <w:rPr>
                <w:sz w:val="12"/>
                <w:szCs w:val="12"/>
                <w:color w:val="auto"/>
              </w:rPr>
            </w:pPr>
          </w:p>
        </w:tc>
      </w:tr>
      <w:tr>
        <w:trPr>
          <w:trHeight w:val="165"/>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60" w:type="dxa"/>
            <w:vAlign w:val="bottom"/>
          </w:tcPr>
          <w:p>
            <w:pPr>
              <w:jc w:val="center"/>
              <w:ind w:left="1054"/>
              <w:spacing w:after="0"/>
              <w:rPr>
                <w:sz w:val="20"/>
                <w:szCs w:val="20"/>
                <w:color w:val="auto"/>
              </w:rPr>
            </w:pPr>
            <w:r>
              <w:rPr>
                <w:rFonts w:ascii="Arial" w:cs="Arial" w:eastAsia="Arial" w:hAnsi="Arial"/>
                <w:sz w:val="13"/>
                <w:szCs w:val="13"/>
                <w:color w:val="auto"/>
                <w:w w:val="92"/>
              </w:rPr>
              <w:t>smaller reporting company)</w:t>
            </w:r>
          </w:p>
        </w:tc>
        <w:tc>
          <w:tcPr>
            <w:tcW w:w="3060" w:type="dxa"/>
            <w:vAlign w:val="bottom"/>
          </w:tcPr>
          <w:p>
            <w:pPr>
              <w:spacing w:after="0"/>
              <w:rPr>
                <w:sz w:val="14"/>
                <w:szCs w:val="14"/>
                <w:color w:val="auto"/>
              </w:rPr>
            </w:pPr>
          </w:p>
        </w:tc>
      </w:tr>
      <w:tr>
        <w:trPr>
          <w:trHeight w:val="198"/>
        </w:trPr>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3060" w:type="dxa"/>
            <w:vAlign w:val="bottom"/>
          </w:tcPr>
          <w:p>
            <w:pPr>
              <w:spacing w:after="0"/>
              <w:rPr>
                <w:sz w:val="17"/>
                <w:szCs w:val="17"/>
                <w:color w:val="auto"/>
              </w:rPr>
            </w:pPr>
          </w:p>
        </w:tc>
      </w:tr>
      <w:tr>
        <w:trPr>
          <w:trHeight w:val="608"/>
        </w:trPr>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ind w:left="180"/>
              <w:spacing w:after="0"/>
              <w:rPr>
                <w:sz w:val="20"/>
                <w:szCs w:val="20"/>
                <w:color w:val="auto"/>
              </w:rPr>
            </w:pPr>
            <w:r>
              <w:rPr>
                <w:rFonts w:ascii="Arial" w:cs="Arial" w:eastAsia="Arial" w:hAnsi="Arial"/>
                <w:sz w:val="13"/>
                <w:szCs w:val="13"/>
                <w:b w:val="1"/>
                <w:bCs w:val="1"/>
                <w:color w:val="auto"/>
              </w:rPr>
              <w:t>CALCULATION OF REGISTRATION FEE</w:t>
            </w:r>
          </w:p>
        </w:tc>
        <w:tc>
          <w:tcPr>
            <w:tcW w:w="30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1068705</wp:posOffset>
            </wp:positionH>
            <wp:positionV relativeFrom="paragraph">
              <wp:posOffset>275590</wp:posOffset>
            </wp:positionV>
            <wp:extent cx="5119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937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292100</wp:posOffset>
            </wp:positionV>
            <wp:extent cx="511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19370" cy="8255"/>
                    </a:xfrm>
                    <a:prstGeom prst="rect">
                      <a:avLst/>
                    </a:prstGeom>
                    <a:noFill/>
                  </pic:spPr>
                </pic:pic>
              </a:graphicData>
            </a:graphic>
          </wp:anchor>
        </w:drawing>
      </w:r>
    </w:p>
    <w:p>
      <w:pPr>
        <w:sectPr>
          <w:pgSz w:w="11900" w:h="16838" w:orient="portrait"/>
          <w:cols w:equalWidth="0" w:num="1">
            <w:col w:w="11380"/>
          </w:cols>
          <w:pgMar w:left="240" w:top="669" w:right="279" w:bottom="116" w:gutter="0" w:footer="0" w:header="0"/>
        </w:sectPr>
      </w:pPr>
    </w:p>
    <w:bookmarkStart w:id="1" w:name="page2"/>
    <w:bookmarkEnd w:id="1"/>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jc w:val="center"/>
              <w:ind w:left="514"/>
              <w:spacing w:after="0"/>
              <w:rPr>
                <w:sz w:val="20"/>
                <w:szCs w:val="20"/>
                <w:color w:val="auto"/>
              </w:rPr>
            </w:pPr>
            <w:r>
              <w:rPr>
                <w:rFonts w:ascii="Arial" w:cs="Arial" w:eastAsia="Arial" w:hAnsi="Arial"/>
                <w:sz w:val="13"/>
                <w:szCs w:val="13"/>
                <w:b w:val="1"/>
                <w:bCs w:val="1"/>
                <w:color w:val="auto"/>
                <w:w w:val="89"/>
              </w:rPr>
              <w:t>Title of Each Class of Securities</w:t>
            </w:r>
          </w:p>
        </w:tc>
        <w:tc>
          <w:tcPr>
            <w:tcW w:w="2320" w:type="dxa"/>
            <w:vAlign w:val="bottom"/>
          </w:tcPr>
          <w:p>
            <w:pPr>
              <w:jc w:val="center"/>
              <w:ind w:left="598"/>
              <w:spacing w:after="0"/>
              <w:rPr>
                <w:sz w:val="20"/>
                <w:szCs w:val="20"/>
                <w:color w:val="auto"/>
              </w:rPr>
            </w:pPr>
            <w:r>
              <w:rPr>
                <w:rFonts w:ascii="Arial" w:cs="Arial" w:eastAsia="Arial" w:hAnsi="Arial"/>
                <w:sz w:val="13"/>
                <w:szCs w:val="13"/>
                <w:b w:val="1"/>
                <w:bCs w:val="1"/>
                <w:color w:val="auto"/>
                <w:w w:val="92"/>
              </w:rPr>
              <w:t>Proposed Maximum</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r>
      <w:tr>
        <w:trPr>
          <w:trHeight w:val="162"/>
        </w:trPr>
        <w:tc>
          <w:tcPr>
            <w:tcW w:w="20" w:type="dxa"/>
            <w:vAlign w:val="bottom"/>
          </w:tcPr>
          <w:p>
            <w:pPr>
              <w:spacing w:after="0"/>
              <w:rPr>
                <w:sz w:val="14"/>
                <w:szCs w:val="14"/>
                <w:color w:val="auto"/>
              </w:rPr>
            </w:pPr>
          </w:p>
        </w:tc>
        <w:tc>
          <w:tcPr>
            <w:tcW w:w="4220" w:type="dxa"/>
            <w:vAlign w:val="bottom"/>
          </w:tcPr>
          <w:p>
            <w:pPr>
              <w:jc w:val="center"/>
              <w:ind w:left="514"/>
              <w:spacing w:after="0"/>
              <w:rPr>
                <w:sz w:val="20"/>
                <w:szCs w:val="20"/>
                <w:color w:val="auto"/>
              </w:rPr>
            </w:pPr>
            <w:r>
              <w:rPr>
                <w:rFonts w:ascii="Arial" w:cs="Arial" w:eastAsia="Arial" w:hAnsi="Arial"/>
                <w:sz w:val="13"/>
                <w:szCs w:val="13"/>
                <w:b w:val="1"/>
                <w:bCs w:val="1"/>
                <w:color w:val="auto"/>
                <w:w w:val="89"/>
              </w:rPr>
              <w:t>to Be Registered</w:t>
            </w:r>
          </w:p>
        </w:tc>
        <w:tc>
          <w:tcPr>
            <w:tcW w:w="2320" w:type="dxa"/>
            <w:vAlign w:val="bottom"/>
          </w:tcPr>
          <w:p>
            <w:pPr>
              <w:jc w:val="center"/>
              <w:ind w:left="578"/>
              <w:spacing w:after="0"/>
              <w:rPr>
                <w:sz w:val="20"/>
                <w:szCs w:val="20"/>
                <w:color w:val="auto"/>
              </w:rPr>
            </w:pPr>
            <w:r>
              <w:rPr>
                <w:rFonts w:ascii="Arial" w:cs="Arial" w:eastAsia="Arial" w:hAnsi="Arial"/>
                <w:sz w:val="13"/>
                <w:szCs w:val="13"/>
                <w:b w:val="1"/>
                <w:bCs w:val="1"/>
                <w:color w:val="auto"/>
                <w:w w:val="91"/>
              </w:rPr>
              <w:t>Aggregate Offering</w:t>
            </w:r>
          </w:p>
        </w:tc>
        <w:tc>
          <w:tcPr>
            <w:tcW w:w="15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Registration Fee</w:t>
            </w:r>
            <w:r>
              <w:rPr>
                <w:rFonts w:ascii="Arial" w:cs="Arial" w:eastAsia="Arial" w:hAnsi="Arial"/>
                <w:sz w:val="18"/>
                <w:szCs w:val="18"/>
                <w:b w:val="1"/>
                <w:bCs w:val="1"/>
                <w:color w:val="auto"/>
                <w:w w:val="95"/>
                <w:vertAlign w:val="superscript"/>
              </w:rPr>
              <w:t>(3)</w:t>
            </w:r>
          </w:p>
        </w:tc>
      </w:tr>
      <w:tr>
        <w:trPr>
          <w:trHeight w:val="197"/>
        </w:trPr>
        <w:tc>
          <w:tcPr>
            <w:tcW w:w="20" w:type="dxa"/>
            <w:vAlign w:val="bottom"/>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left="598"/>
              <w:spacing w:after="0" w:line="197" w:lineRule="exact"/>
              <w:rPr>
                <w:sz w:val="20"/>
                <w:szCs w:val="20"/>
                <w:color w:val="auto"/>
              </w:rPr>
            </w:pPr>
            <w:r>
              <w:rPr>
                <w:rFonts w:ascii="Arial" w:cs="Arial" w:eastAsia="Arial" w:hAnsi="Arial"/>
                <w:sz w:val="22"/>
                <w:szCs w:val="22"/>
                <w:b w:val="1"/>
                <w:bCs w:val="1"/>
                <w:color w:val="auto"/>
                <w:w w:val="89"/>
                <w:vertAlign w:val="subscript"/>
              </w:rPr>
              <w:t>Price</w:t>
            </w:r>
            <w:r>
              <w:rPr>
                <w:rFonts w:ascii="Arial" w:cs="Arial" w:eastAsia="Arial" w:hAnsi="Arial"/>
                <w:sz w:val="10"/>
                <w:szCs w:val="10"/>
                <w:b w:val="1"/>
                <w:bCs w:val="1"/>
                <w:color w:val="auto"/>
                <w:w w:val="89"/>
              </w:rPr>
              <w:t>(1)(2)</w:t>
            </w:r>
          </w:p>
        </w:tc>
        <w:tc>
          <w:tcPr>
            <w:tcW w:w="1500" w:type="dxa"/>
            <w:vAlign w:val="bottom"/>
            <w:tcBorders>
              <w:bottom w:val="single" w:sz="8" w:color="auto"/>
            </w:tcBorders>
          </w:tcPr>
          <w:p>
            <w:pPr>
              <w:spacing w:after="0"/>
              <w:rPr>
                <w:sz w:val="17"/>
                <w:szCs w:val="17"/>
                <w:color w:val="auto"/>
              </w:rPr>
            </w:pPr>
          </w:p>
        </w:tc>
      </w:tr>
      <w:tr>
        <w:trPr>
          <w:trHeight w:val="161"/>
        </w:trPr>
        <w:tc>
          <w:tcPr>
            <w:tcW w:w="2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$0.0001 per share</w:t>
            </w:r>
          </w:p>
        </w:tc>
        <w:tc>
          <w:tcPr>
            <w:tcW w:w="2320" w:type="dxa"/>
            <w:vAlign w:val="bottom"/>
            <w:tcBorders>
              <w:bottom w:val="single" w:sz="8" w:color="auto"/>
            </w:tcBorders>
          </w:tcPr>
          <w:p>
            <w:pPr>
              <w:jc w:val="right"/>
              <w:ind w:right="978"/>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817"/>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457(o) under the Securities Act of 1933, as amended.</w:t>
      </w:r>
    </w:p>
    <w:p>
      <w:pPr>
        <w:ind w:left="520" w:hanging="515"/>
        <w:spacing w:after="0" w:line="210"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of common stock subject to the underwriters' option to purchase additional shares of common stock.</w:t>
      </w: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28"/>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FF4040"/>
        </w:rPr>
        <w:t>The information contained in this preliminary prospectus is not complete and may be changed. We may not sell these securities until the registration statement filed with the Securities and Exchange Commission is declared effective. This preliminary prospectus is not an offer to sell these securities and we are not soliciting offers to buy these securities in any jurisdiction where the offer or sale is not permitted.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Subject to Completion, dated August 25,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147320</wp:posOffset>
            </wp:positionV>
            <wp:extent cx="2305685" cy="65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5685"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147320</wp:posOffset>
            </wp:positionV>
            <wp:extent cx="1906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We are offering</w:t>
            </w:r>
          </w:p>
        </w:tc>
        <w:tc>
          <w:tcPr>
            <w:tcW w:w="10000" w:type="dxa"/>
            <w:vAlign w:val="bottom"/>
            <w:gridSpan w:val="4"/>
          </w:tcPr>
          <w:p>
            <w:pPr>
              <w:ind w:left="260"/>
              <w:spacing w:after="0"/>
              <w:rPr>
                <w:sz w:val="20"/>
                <w:szCs w:val="20"/>
                <w:color w:val="auto"/>
              </w:rPr>
            </w:pPr>
            <w:r>
              <w:rPr>
                <w:rFonts w:ascii="Arial" w:cs="Arial" w:eastAsia="Arial" w:hAnsi="Arial"/>
                <w:sz w:val="17"/>
                <w:szCs w:val="17"/>
                <w:color w:val="auto"/>
                <w:w w:val="91"/>
              </w:rPr>
              <w:t>shares of our common stock. This is our initial public offering, and no public market currently exists for our common stock. We expect that the</w:t>
            </w:r>
          </w:p>
        </w:tc>
      </w:tr>
      <w:tr>
        <w:trPr>
          <w:trHeight w:val="216"/>
        </w:trPr>
        <w:tc>
          <w:tcPr>
            <w:tcW w:w="3340" w:type="dxa"/>
            <w:vAlign w:val="bottom"/>
            <w:gridSpan w:val="2"/>
          </w:tcPr>
          <w:p>
            <w:pPr>
              <w:spacing w:after="0"/>
              <w:rPr>
                <w:sz w:val="20"/>
                <w:szCs w:val="20"/>
                <w:color w:val="auto"/>
              </w:rPr>
            </w:pPr>
            <w:r>
              <w:rPr>
                <w:rFonts w:ascii="Arial" w:cs="Arial" w:eastAsia="Arial" w:hAnsi="Arial"/>
                <w:sz w:val="17"/>
                <w:szCs w:val="17"/>
                <w:color w:val="auto"/>
              </w:rPr>
              <w:t>initial public offering price will be between $</w:t>
            </w:r>
          </w:p>
        </w:tc>
        <w:tc>
          <w:tcPr>
            <w:tcW w:w="880" w:type="dxa"/>
            <w:vAlign w:val="bottom"/>
          </w:tcPr>
          <w:p>
            <w:pPr>
              <w:ind w:left="260"/>
              <w:spacing w:after="0"/>
              <w:rPr>
                <w:sz w:val="20"/>
                <w:szCs w:val="20"/>
                <w:color w:val="auto"/>
              </w:rPr>
            </w:pPr>
            <w:r>
              <w:rPr>
                <w:rFonts w:ascii="Arial" w:cs="Arial" w:eastAsia="Arial" w:hAnsi="Arial"/>
                <w:sz w:val="17"/>
                <w:szCs w:val="17"/>
                <w:color w:val="auto"/>
              </w:rPr>
              <w:t>and $</w:t>
            </w:r>
          </w:p>
        </w:tc>
        <w:tc>
          <w:tcPr>
            <w:tcW w:w="7100" w:type="dxa"/>
            <w:vAlign w:val="bottom"/>
            <w:gridSpan w:val="2"/>
          </w:tcPr>
          <w:p>
            <w:pPr>
              <w:ind w:left="260"/>
              <w:spacing w:after="0"/>
              <w:rPr>
                <w:sz w:val="20"/>
                <w:szCs w:val="20"/>
                <w:color w:val="auto"/>
              </w:rPr>
            </w:pPr>
            <w:r>
              <w:rPr>
                <w:rFonts w:ascii="Arial" w:cs="Arial" w:eastAsia="Arial" w:hAnsi="Arial"/>
                <w:sz w:val="17"/>
                <w:szCs w:val="17"/>
                <w:color w:val="auto"/>
              </w:rPr>
              <w:t>per share.</w:t>
            </w:r>
          </w:p>
        </w:tc>
      </w:tr>
      <w:tr>
        <w:trPr>
          <w:trHeight w:val="212"/>
        </w:trPr>
        <w:tc>
          <w:tcPr>
            <w:tcW w:w="1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41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tabs>
          <w:tab w:leader="none" w:pos="4780" w:val="left"/>
        </w:tabs>
        <w:rPr>
          <w:sz w:val="20"/>
          <w:szCs w:val="20"/>
          <w:color w:val="auto"/>
        </w:rPr>
      </w:pPr>
      <w:r>
        <w:rPr>
          <w:rFonts w:ascii="Arial" w:cs="Arial" w:eastAsia="Arial" w:hAnsi="Arial"/>
          <w:sz w:val="17"/>
          <w:szCs w:val="17"/>
          <w:color w:val="auto"/>
        </w:rPr>
        <w:t>We intend to apply to list our common stock on the NASDAQ</w:t>
      </w:r>
      <w:r>
        <w:rPr>
          <w:sz w:val="20"/>
          <w:szCs w:val="20"/>
          <w:color w:val="auto"/>
        </w:rPr>
        <w:tab/>
      </w:r>
      <w:r>
        <w:rPr>
          <w:rFonts w:ascii="Arial" w:cs="Arial" w:eastAsia="Arial" w:hAnsi="Arial"/>
          <w:sz w:val="16"/>
          <w:szCs w:val="16"/>
          <w:color w:val="auto"/>
        </w:rPr>
        <w:t>Market under the symbol "AXSM."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147955</wp:posOffset>
            </wp:positionV>
            <wp:extent cx="190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We are an "emerging growth company," as defined in the Jumpstart Our Business Startups Act of 2012, and, as such, have elected to comply with certain reduced public company reporting requirements for this prospectus and future filings.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13.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42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i w:val="1"/>
                <w:iCs w:val="1"/>
                <w:color w:val="auto"/>
                <w:w w:val="98"/>
              </w:rPr>
              <w:t>Per share</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7"/>
                <w:szCs w:val="17"/>
                <w:b w:val="1"/>
                <w:bCs w:val="1"/>
                <w:i w:val="1"/>
                <w:iCs w:val="1"/>
                <w:color w:val="auto"/>
              </w:rPr>
              <w:t>Total</w:t>
            </w:r>
          </w:p>
        </w:tc>
      </w:tr>
      <w:tr>
        <w:trPr>
          <w:trHeight w:val="190"/>
        </w:trPr>
        <w:tc>
          <w:tcPr>
            <w:tcW w:w="1140" w:type="dxa"/>
            <w:vAlign w:val="bottom"/>
          </w:tcPr>
          <w:p>
            <w:pPr>
              <w:spacing w:after="0"/>
              <w:rPr>
                <w:sz w:val="16"/>
                <w:szCs w:val="16"/>
                <w:color w:val="auto"/>
              </w:rPr>
            </w:pPr>
          </w:p>
        </w:tc>
        <w:tc>
          <w:tcPr>
            <w:tcW w:w="4240" w:type="dxa"/>
            <w:vAlign w:val="bottom"/>
          </w:tcPr>
          <w:p>
            <w:pPr>
              <w:ind w:left="20"/>
              <w:spacing w:after="0" w:line="190" w:lineRule="exact"/>
              <w:rPr>
                <w:sz w:val="20"/>
                <w:szCs w:val="20"/>
                <w:color w:val="auto"/>
              </w:rPr>
            </w:pPr>
            <w:r>
              <w:rPr>
                <w:rFonts w:ascii="Arial" w:cs="Arial" w:eastAsia="Arial" w:hAnsi="Arial"/>
                <w:sz w:val="17"/>
                <w:szCs w:val="17"/>
                <w:b w:val="1"/>
                <w:bCs w:val="1"/>
                <w:color w:val="auto"/>
              </w:rPr>
              <w:t>Initial public offering price</w:t>
            </w:r>
          </w:p>
        </w:tc>
        <w:tc>
          <w:tcPr>
            <w:tcW w:w="2940" w:type="dxa"/>
            <w:vAlign w:val="bottom"/>
          </w:tcPr>
          <w:p>
            <w:pPr>
              <w:spacing w:after="0"/>
              <w:rPr>
                <w:sz w:val="16"/>
                <w:szCs w:val="16"/>
                <w:color w:val="auto"/>
              </w:rPr>
            </w:pPr>
          </w:p>
        </w:tc>
        <w:tc>
          <w:tcPr>
            <w:tcW w:w="880" w:type="dxa"/>
            <w:vAlign w:val="bottom"/>
          </w:tcPr>
          <w:p>
            <w:pPr>
              <w:jc w:val="right"/>
              <w:ind w:right="695"/>
              <w:spacing w:after="0" w:line="190" w:lineRule="exact"/>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r>
      <w:tr>
        <w:trPr>
          <w:trHeight w:val="210"/>
        </w:trPr>
        <w:tc>
          <w:tcPr>
            <w:tcW w:w="114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Underwriting discount and commissions</w:t>
            </w:r>
          </w:p>
        </w:tc>
        <w:tc>
          <w:tcPr>
            <w:tcW w:w="382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r>
      <w:tr>
        <w:trPr>
          <w:trHeight w:val="220"/>
        </w:trPr>
        <w:tc>
          <w:tcPr>
            <w:tcW w:w="11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Proceeds, before expenses, to us</w:t>
            </w:r>
          </w:p>
        </w:tc>
        <w:tc>
          <w:tcPr>
            <w:tcW w:w="382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r>
      <w:tr>
        <w:trPr>
          <w:trHeight w:val="419"/>
        </w:trPr>
        <w:tc>
          <w:tcPr>
            <w:tcW w:w="5380" w:type="dxa"/>
            <w:vAlign w:val="bottom"/>
            <w:gridSpan w:val="2"/>
          </w:tcPr>
          <w:p>
            <w:pPr>
              <w:spacing w:after="0"/>
              <w:rPr>
                <w:sz w:val="20"/>
                <w:szCs w:val="20"/>
                <w:color w:val="auto"/>
              </w:rPr>
            </w:pPr>
            <w:r>
              <w:rPr>
                <w:rFonts w:ascii="Arial" w:cs="Arial" w:eastAsia="Arial" w:hAnsi="Arial"/>
                <w:sz w:val="17"/>
                <w:szCs w:val="17"/>
                <w:color w:val="auto"/>
                <w:w w:val="94"/>
              </w:rPr>
              <w:t>We have granted the underwriters an option to purchase up to an additional</w:t>
            </w:r>
          </w:p>
        </w:tc>
        <w:tc>
          <w:tcPr>
            <w:tcW w:w="4740" w:type="dxa"/>
            <w:vAlign w:val="bottom"/>
            <w:gridSpan w:val="4"/>
          </w:tcPr>
          <w:p>
            <w:pPr>
              <w:jc w:val="right"/>
              <w:ind w:right="280"/>
              <w:spacing w:after="0"/>
              <w:rPr>
                <w:sz w:val="20"/>
                <w:szCs w:val="20"/>
                <w:color w:val="auto"/>
              </w:rPr>
            </w:pPr>
            <w:r>
              <w:rPr>
                <w:rFonts w:ascii="Arial" w:cs="Arial" w:eastAsia="Arial" w:hAnsi="Arial"/>
                <w:sz w:val="17"/>
                <w:szCs w:val="17"/>
                <w:color w:val="auto"/>
                <w:w w:val="95"/>
              </w:rPr>
              <w:t>shares of our common stock to cover over-allotments, if any.</w:t>
            </w:r>
          </w:p>
        </w:tc>
      </w:tr>
    </w:tbl>
    <w:p>
      <w:pPr>
        <w:spacing w:after="0" w:line="200"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The underwriters expect to deliver the shares on or about</w:t>
            </w:r>
          </w:p>
        </w:tc>
        <w:tc>
          <w:tcPr>
            <w:tcW w:w="98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Ladenburg Thalmann</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500"/>
              <w:spacing w:after="0"/>
              <w:rPr>
                <w:sz w:val="20"/>
                <w:szCs w:val="20"/>
                <w:color w:val="auto"/>
              </w:rPr>
            </w:pPr>
            <w:r>
              <w:rPr>
                <w:rFonts w:ascii="Arial" w:cs="Arial" w:eastAsia="Arial" w:hAnsi="Arial"/>
                <w:sz w:val="17"/>
                <w:szCs w:val="17"/>
                <w:color w:val="auto"/>
              </w:rPr>
              <w:t>Prospectus dated</w:t>
            </w:r>
          </w:p>
        </w:tc>
        <w:tc>
          <w:tcPr>
            <w:tcW w:w="5340" w:type="dxa"/>
            <w:vAlign w:val="bottom"/>
          </w:tcPr>
          <w:p>
            <w:pPr>
              <w:jc w:val="right"/>
              <w:ind w:right="4415"/>
              <w:spacing w:after="0"/>
              <w:rPr>
                <w:sz w:val="20"/>
                <w:szCs w:val="20"/>
                <w:color w:val="auto"/>
              </w:rPr>
            </w:pPr>
            <w:r>
              <w:rPr>
                <w:rFonts w:ascii="Arial" w:cs="Arial" w:eastAsia="Arial" w:hAnsi="Arial"/>
                <w:sz w:val="17"/>
                <w:szCs w:val="17"/>
                <w:color w:val="auto"/>
              </w:rPr>
              <w:t>, 2015</w:t>
            </w:r>
          </w:p>
        </w:tc>
      </w:tr>
      <w:tr>
        <w:trPr>
          <w:trHeight w:val="222"/>
        </w:trPr>
        <w:tc>
          <w:tcPr>
            <w:tcW w:w="608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420" w:type="dxa"/>
            <w:vAlign w:val="bottom"/>
            <w:gridSpan w:val="1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6"/>
        </w:trPr>
        <w:tc>
          <w:tcPr>
            <w:tcW w:w="8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4"/>
          </w:tcPr>
          <w:p>
            <w:pPr>
              <w:ind w:left="560"/>
              <w:spacing w:after="0"/>
              <w:rPr>
                <w:sz w:val="20"/>
                <w:szCs w:val="20"/>
                <w:color w:val="auto"/>
              </w:rPr>
            </w:pPr>
            <w:r>
              <w:rPr>
                <w:rFonts w:ascii="Arial" w:cs="Arial" w:eastAsia="Arial" w:hAnsi="Arial"/>
                <w:sz w:val="17"/>
                <w:szCs w:val="17"/>
                <w:b w:val="1"/>
                <w:bCs w:val="1"/>
                <w:color w:val="auto"/>
              </w:rPr>
              <w:t>TABLE OF CONTENTS</w:t>
            </w: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980" w:type="dxa"/>
            <w:vAlign w:val="bottom"/>
            <w:gridSpan w:val="8"/>
          </w:tcPr>
          <w:p>
            <w:pPr>
              <w:spacing w:after="0"/>
              <w:rPr>
                <w:rFonts w:ascii="Arial" w:cs="Arial" w:eastAsia="Arial" w:hAnsi="Arial"/>
                <w:sz w:val="17"/>
                <w:szCs w:val="17"/>
                <w:color w:val="0000EE"/>
                <w:w w:val="93"/>
              </w:rPr>
            </w:pPr>
            <w:hyperlink w:anchor="page5">
              <w:r>
                <w:rPr>
                  <w:rFonts w:ascii="Arial" w:cs="Arial" w:eastAsia="Arial" w:hAnsi="Arial"/>
                  <w:sz w:val="17"/>
                  <w:szCs w:val="17"/>
                  <w:color w:val="0000EE"/>
                  <w:w w:val="93"/>
                </w:rPr>
                <w:t>PROSPECTUS SUMMARY</w:t>
              </w:r>
            </w:hyperlink>
          </w:p>
        </w:tc>
        <w:tc>
          <w:tcPr>
            <w:tcW w:w="6440" w:type="dxa"/>
            <w:vAlign w:val="bottom"/>
            <w:gridSpan w:val="10"/>
          </w:tcPr>
          <w:p>
            <w:pPr>
              <w:spacing w:after="0"/>
              <w:rPr>
                <w:sz w:val="24"/>
                <w:szCs w:val="24"/>
                <w:color w:val="auto"/>
              </w:rPr>
            </w:pPr>
          </w:p>
        </w:tc>
        <w:tc>
          <w:tcPr>
            <w:tcW w:w="3000" w:type="dxa"/>
            <w:vAlign w:val="bottom"/>
            <w:gridSpan w:val="4"/>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980" w:type="dxa"/>
            <w:vAlign w:val="bottom"/>
            <w:gridSpan w:val="8"/>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6440" w:type="dxa"/>
            <w:vAlign w:val="bottom"/>
            <w:gridSpan w:val="10"/>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13</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8420" w:type="dxa"/>
            <w:vAlign w:val="bottom"/>
            <w:gridSpan w:val="18"/>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CAUTIONARY NOTE REGARDING FORWARD-LOOKING STATEMENTS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65</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500" w:type="dxa"/>
            <w:vAlign w:val="bottom"/>
            <w:gridSpan w:val="7"/>
          </w:tcPr>
          <w:p>
            <w:pPr>
              <w:spacing w:after="0" w:line="189" w:lineRule="exact"/>
              <w:rPr>
                <w:rFonts w:ascii="Arial" w:cs="Arial" w:eastAsia="Arial" w:hAnsi="Arial"/>
                <w:sz w:val="17"/>
                <w:szCs w:val="17"/>
                <w:color w:val="0000EE"/>
                <w:w w:val="89"/>
              </w:rPr>
            </w:pPr>
            <w:hyperlink w:anchor="page70">
              <w:r>
                <w:rPr>
                  <w:rFonts w:ascii="Arial" w:cs="Arial" w:eastAsia="Arial" w:hAnsi="Arial"/>
                  <w:sz w:val="17"/>
                  <w:szCs w:val="17"/>
                  <w:color w:val="0000EE"/>
                  <w:w w:val="89"/>
                </w:rPr>
                <w:t>USE OF PROCEEDS</w:t>
              </w:r>
            </w:hyperlink>
          </w:p>
        </w:tc>
        <w:tc>
          <w:tcPr>
            <w:tcW w:w="3980" w:type="dxa"/>
            <w:vAlign w:val="bottom"/>
            <w:gridSpan w:val="9"/>
          </w:tcPr>
          <w:p>
            <w:pPr>
              <w:spacing w:after="0"/>
              <w:rPr>
                <w:sz w:val="16"/>
                <w:szCs w:val="16"/>
                <w:color w:val="auto"/>
              </w:rPr>
            </w:pPr>
          </w:p>
        </w:tc>
        <w:tc>
          <w:tcPr>
            <w:tcW w:w="2940" w:type="dxa"/>
            <w:vAlign w:val="bottom"/>
            <w:gridSpan w:val="2"/>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70">
              <w:r>
                <w:rPr>
                  <w:rFonts w:ascii="Arial" w:cs="Arial" w:eastAsia="Arial" w:hAnsi="Arial"/>
                  <w:sz w:val="17"/>
                  <w:szCs w:val="17"/>
                  <w:color w:val="0000EE"/>
                </w:rPr>
                <w:t>66</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500" w:type="dxa"/>
            <w:vAlign w:val="bottom"/>
            <w:gridSpan w:val="7"/>
          </w:tcPr>
          <w:p>
            <w:pPr>
              <w:spacing w:after="0" w:line="189" w:lineRule="exact"/>
              <w:rPr>
                <w:rFonts w:ascii="Arial" w:cs="Arial" w:eastAsia="Arial" w:hAnsi="Arial"/>
                <w:sz w:val="17"/>
                <w:szCs w:val="17"/>
                <w:color w:val="0000EE"/>
                <w:w w:val="98"/>
              </w:rPr>
            </w:pPr>
            <w:hyperlink w:anchor="page71">
              <w:r>
                <w:rPr>
                  <w:rFonts w:ascii="Arial" w:cs="Arial" w:eastAsia="Arial" w:hAnsi="Arial"/>
                  <w:sz w:val="17"/>
                  <w:szCs w:val="17"/>
                  <w:color w:val="0000EE"/>
                  <w:w w:val="98"/>
                </w:rPr>
                <w:t>DIVIDEND POLICY</w:t>
              </w:r>
            </w:hyperlink>
          </w:p>
        </w:tc>
        <w:tc>
          <w:tcPr>
            <w:tcW w:w="6920" w:type="dxa"/>
            <w:vAlign w:val="bottom"/>
            <w:gridSpan w:val="11"/>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71">
              <w:r>
                <w:rPr>
                  <w:rFonts w:ascii="Arial" w:cs="Arial" w:eastAsia="Arial" w:hAnsi="Arial"/>
                  <w:sz w:val="17"/>
                  <w:szCs w:val="17"/>
                  <w:color w:val="0000EE"/>
                </w:rPr>
                <w:t>67</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400" w:type="dxa"/>
            <w:vAlign w:val="bottom"/>
            <w:gridSpan w:val="6"/>
          </w:tcPr>
          <w:p>
            <w:pPr>
              <w:spacing w:after="0" w:line="189" w:lineRule="exact"/>
              <w:rPr>
                <w:rFonts w:ascii="Arial" w:cs="Arial" w:eastAsia="Arial" w:hAnsi="Arial"/>
                <w:sz w:val="17"/>
                <w:szCs w:val="17"/>
                <w:color w:val="0000EE"/>
                <w:w w:val="98"/>
              </w:rPr>
            </w:pPr>
            <w:hyperlink w:anchor="page72">
              <w:r>
                <w:rPr>
                  <w:rFonts w:ascii="Arial" w:cs="Arial" w:eastAsia="Arial" w:hAnsi="Arial"/>
                  <w:sz w:val="17"/>
                  <w:szCs w:val="17"/>
                  <w:color w:val="0000EE"/>
                  <w:w w:val="98"/>
                </w:rPr>
                <w:t>CAPITALIZATION</w:t>
              </w:r>
            </w:hyperlink>
          </w:p>
        </w:tc>
        <w:tc>
          <w:tcPr>
            <w:tcW w:w="100" w:type="dxa"/>
            <w:vAlign w:val="bottom"/>
          </w:tcPr>
          <w:p>
            <w:pPr>
              <w:spacing w:after="0"/>
              <w:rPr>
                <w:sz w:val="16"/>
                <w:szCs w:val="16"/>
                <w:color w:val="auto"/>
              </w:rPr>
            </w:pPr>
          </w:p>
        </w:tc>
        <w:tc>
          <w:tcPr>
            <w:tcW w:w="6920" w:type="dxa"/>
            <w:vAlign w:val="bottom"/>
            <w:gridSpan w:val="11"/>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68</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800" w:type="dxa"/>
            <w:vAlign w:val="bottom"/>
          </w:tcPr>
          <w:p>
            <w:pPr>
              <w:spacing w:after="0" w:line="189" w:lineRule="exact"/>
              <w:rPr>
                <w:rFonts w:ascii="Arial" w:cs="Arial" w:eastAsia="Arial" w:hAnsi="Arial"/>
                <w:sz w:val="17"/>
                <w:szCs w:val="17"/>
                <w:color w:val="0000EE"/>
                <w:w w:val="95"/>
              </w:rPr>
            </w:pPr>
            <w:hyperlink w:anchor="page74">
              <w:r>
                <w:rPr>
                  <w:rFonts w:ascii="Arial" w:cs="Arial" w:eastAsia="Arial" w:hAnsi="Arial"/>
                  <w:sz w:val="17"/>
                  <w:szCs w:val="17"/>
                  <w:color w:val="0000EE"/>
                  <w:w w:val="95"/>
                </w:rPr>
                <w:t>DILUTION</w:t>
              </w:r>
            </w:hyperlink>
          </w:p>
        </w:tc>
        <w:tc>
          <w:tcPr>
            <w:tcW w:w="600" w:type="dxa"/>
            <w:vAlign w:val="bottom"/>
            <w:gridSpan w:val="5"/>
          </w:tcPr>
          <w:p>
            <w:pPr>
              <w:spacing w:after="0"/>
              <w:rPr>
                <w:sz w:val="16"/>
                <w:szCs w:val="16"/>
                <w:color w:val="auto"/>
              </w:rPr>
            </w:pPr>
          </w:p>
        </w:tc>
        <w:tc>
          <w:tcPr>
            <w:tcW w:w="7020" w:type="dxa"/>
            <w:vAlign w:val="bottom"/>
            <w:gridSpan w:val="12"/>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74">
              <w:r>
                <w:rPr>
                  <w:rFonts w:ascii="Arial" w:cs="Arial" w:eastAsia="Arial" w:hAnsi="Arial"/>
                  <w:sz w:val="17"/>
                  <w:szCs w:val="17"/>
                  <w:color w:val="0000EE"/>
                </w:rPr>
                <w:t>70</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3660" w:type="dxa"/>
            <w:vAlign w:val="bottom"/>
            <w:gridSpan w:val="13"/>
          </w:tcPr>
          <w:p>
            <w:pPr>
              <w:spacing w:after="0" w:line="189" w:lineRule="exact"/>
              <w:rPr>
                <w:rFonts w:ascii="Arial" w:cs="Arial" w:eastAsia="Arial" w:hAnsi="Arial"/>
                <w:sz w:val="17"/>
                <w:szCs w:val="17"/>
                <w:color w:val="0000EE"/>
                <w:w w:val="97"/>
              </w:rPr>
            </w:pPr>
            <w:hyperlink w:anchor="page76">
              <w:r>
                <w:rPr>
                  <w:rFonts w:ascii="Arial" w:cs="Arial" w:eastAsia="Arial" w:hAnsi="Arial"/>
                  <w:sz w:val="17"/>
                  <w:szCs w:val="17"/>
                  <w:color w:val="0000EE"/>
                  <w:w w:val="97"/>
                </w:rPr>
                <w:t>SELECTED CONSOLIDATED FINANCIAL DATA</w:t>
              </w:r>
            </w:hyperlink>
          </w:p>
        </w:tc>
        <w:tc>
          <w:tcPr>
            <w:tcW w:w="4760" w:type="dxa"/>
            <w:vAlign w:val="bottom"/>
            <w:gridSpan w:val="5"/>
          </w:tcPr>
          <w:p>
            <w:pPr>
              <w:spacing w:after="0"/>
              <w:rPr>
                <w:sz w:val="16"/>
                <w:szCs w:val="16"/>
                <w:color w:val="auto"/>
              </w:rPr>
            </w:pPr>
          </w:p>
        </w:tc>
        <w:tc>
          <w:tcPr>
            <w:tcW w:w="3000" w:type="dxa"/>
            <w:vAlign w:val="bottom"/>
            <w:gridSpan w:val="4"/>
          </w:tcPr>
          <w:p>
            <w:pPr>
              <w:jc w:val="right"/>
              <w:spacing w:after="0" w:line="189" w:lineRule="exact"/>
              <w:rPr>
                <w:rFonts w:ascii="Arial" w:cs="Arial" w:eastAsia="Arial" w:hAnsi="Arial"/>
                <w:sz w:val="17"/>
                <w:szCs w:val="17"/>
                <w:color w:val="0000EE"/>
              </w:rPr>
            </w:pPr>
            <w:hyperlink w:anchor="page76">
              <w:r>
                <w:rPr>
                  <w:rFonts w:ascii="Arial" w:cs="Arial" w:eastAsia="Arial" w:hAnsi="Arial"/>
                  <w:sz w:val="17"/>
                  <w:szCs w:val="17"/>
                  <w:color w:val="0000EE"/>
                </w:rPr>
                <w:t>72</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8420" w:type="dxa"/>
            <w:vAlign w:val="bottom"/>
            <w:gridSpan w:val="18"/>
          </w:tcPr>
          <w:p>
            <w:pPr>
              <w:spacing w:after="0" w:line="189" w:lineRule="exact"/>
              <w:rPr>
                <w:rFonts w:ascii="Arial" w:cs="Arial" w:eastAsia="Arial" w:hAnsi="Arial"/>
                <w:sz w:val="17"/>
                <w:szCs w:val="17"/>
                <w:color w:val="0000EE"/>
                <w:w w:val="97"/>
              </w:rPr>
            </w:pPr>
            <w:hyperlink w:anchor="page78">
              <w:r>
                <w:rPr>
                  <w:rFonts w:ascii="Arial" w:cs="Arial" w:eastAsia="Arial" w:hAnsi="Arial"/>
                  <w:sz w:val="17"/>
                  <w:szCs w:val="17"/>
                  <w:color w:val="0000EE"/>
                  <w:w w:val="97"/>
                </w:rPr>
                <w:t>MANAGEMENT'S DISCUSSION AND ANALYSIS OF FINANCIAL CONDITION AND RESULTS OF OPERATIONS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74</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8420" w:type="dxa"/>
            <w:vAlign w:val="bottom"/>
            <w:gridSpan w:val="18"/>
          </w:tcPr>
          <w:p>
            <w:pPr>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BUSINESS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86</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240" w:type="dxa"/>
            <w:vAlign w:val="bottom"/>
            <w:tcBorders>
              <w:bottom w:val="single" w:sz="8" w:color="0000EE"/>
            </w:tcBorders>
            <w:gridSpan w:val="4"/>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MANAGEMENT</w:t>
              </w:r>
            </w:hyperlink>
          </w:p>
        </w:tc>
        <w:tc>
          <w:tcPr>
            <w:tcW w:w="7180" w:type="dxa"/>
            <w:vAlign w:val="bottom"/>
            <w:gridSpan w:val="14"/>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34">
              <w:r>
                <w:rPr>
                  <w:rFonts w:ascii="Arial" w:cs="Arial" w:eastAsia="Arial" w:hAnsi="Arial"/>
                  <w:sz w:val="17"/>
                  <w:szCs w:val="17"/>
                  <w:color w:val="0000EE"/>
                  <w:w w:val="77"/>
                </w:rPr>
                <w:t>130</w:t>
              </w:r>
            </w:hyperlink>
          </w:p>
        </w:tc>
      </w:tr>
      <w:tr>
        <w:trPr>
          <w:trHeight w:val="190"/>
        </w:trPr>
        <w:tc>
          <w:tcPr>
            <w:tcW w:w="3660" w:type="dxa"/>
            <w:vAlign w:val="bottom"/>
            <w:tcBorders>
              <w:bottom w:val="single" w:sz="8" w:color="0000EE"/>
            </w:tcBorders>
            <w:gridSpan w:val="13"/>
          </w:tcPr>
          <w:p>
            <w:pPr>
              <w:spacing w:after="0" w:line="189" w:lineRule="exact"/>
              <w:rPr>
                <w:rFonts w:ascii="Arial" w:cs="Arial" w:eastAsia="Arial" w:hAnsi="Arial"/>
                <w:sz w:val="17"/>
                <w:szCs w:val="17"/>
                <w:color w:val="0000EE"/>
                <w:w w:val="97"/>
              </w:rPr>
            </w:pPr>
            <w:hyperlink w:anchor="page142">
              <w:r>
                <w:rPr>
                  <w:rFonts w:ascii="Arial" w:cs="Arial" w:eastAsia="Arial" w:hAnsi="Arial"/>
                  <w:sz w:val="17"/>
                  <w:szCs w:val="17"/>
                  <w:color w:val="0000EE"/>
                  <w:w w:val="97"/>
                </w:rPr>
                <w:t>EXECUTIVE AND DIRECTOR COMPENSATION</w:t>
              </w:r>
            </w:hyperlink>
          </w:p>
        </w:tc>
        <w:tc>
          <w:tcPr>
            <w:tcW w:w="4760" w:type="dxa"/>
            <w:vAlign w:val="bottom"/>
            <w:gridSpan w:val="5"/>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42">
              <w:r>
                <w:rPr>
                  <w:rFonts w:ascii="Arial" w:cs="Arial" w:eastAsia="Arial" w:hAnsi="Arial"/>
                  <w:sz w:val="17"/>
                  <w:szCs w:val="17"/>
                  <w:color w:val="0000EE"/>
                  <w:w w:val="77"/>
                </w:rPr>
                <w:t>138</w:t>
              </w:r>
            </w:hyperlink>
          </w:p>
        </w:tc>
      </w:tr>
      <w:tr>
        <w:trPr>
          <w:trHeight w:val="190"/>
        </w:trPr>
        <w:tc>
          <w:tcPr>
            <w:tcW w:w="8420" w:type="dxa"/>
            <w:vAlign w:val="bottom"/>
            <w:gridSpan w:val="18"/>
          </w:tcPr>
          <w:p>
            <w:pPr>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CERTAIN RELATIONSHIPS AND RELATED PARTY TRANSACTIONS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141</w:t>
              </w:r>
            </w:hyperlink>
          </w:p>
        </w:tc>
      </w:tr>
      <w:tr>
        <w:trPr>
          <w:trHeight w:val="190"/>
        </w:trPr>
        <w:tc>
          <w:tcPr>
            <w:tcW w:w="226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5"/>
              </w:rPr>
            </w:pPr>
            <w:hyperlink w:anchor="page149">
              <w:r>
                <w:rPr>
                  <w:rFonts w:ascii="Arial" w:cs="Arial" w:eastAsia="Arial" w:hAnsi="Arial"/>
                  <w:sz w:val="17"/>
                  <w:szCs w:val="17"/>
                  <w:color w:val="0000EE"/>
                  <w:w w:val="95"/>
                </w:rPr>
                <w:t>PRINCIPAL STOCKHOLDERS</w:t>
              </w:r>
            </w:hyperlink>
          </w:p>
        </w:tc>
        <w:tc>
          <w:tcPr>
            <w:tcW w:w="2920" w:type="dxa"/>
            <w:vAlign w:val="bottom"/>
            <w:tcBorders>
              <w:top w:val="single" w:sz="8" w:color="0000EE"/>
            </w:tcBorders>
            <w:gridSpan w:val="6"/>
          </w:tcPr>
          <w:p>
            <w:pPr>
              <w:spacing w:after="0"/>
              <w:rPr>
                <w:sz w:val="16"/>
                <w:szCs w:val="16"/>
                <w:color w:val="auto"/>
              </w:rPr>
            </w:pPr>
          </w:p>
        </w:tc>
        <w:tc>
          <w:tcPr>
            <w:tcW w:w="3240" w:type="dxa"/>
            <w:vAlign w:val="bottom"/>
            <w:gridSpan w:val="3"/>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49">
              <w:r>
                <w:rPr>
                  <w:rFonts w:ascii="Arial" w:cs="Arial" w:eastAsia="Arial" w:hAnsi="Arial"/>
                  <w:sz w:val="17"/>
                  <w:szCs w:val="17"/>
                  <w:color w:val="0000EE"/>
                  <w:w w:val="77"/>
                </w:rPr>
                <w:t>145</w:t>
              </w:r>
            </w:hyperlink>
          </w:p>
        </w:tc>
      </w:tr>
      <w:tr>
        <w:trPr>
          <w:trHeight w:val="190"/>
        </w:trPr>
        <w:tc>
          <w:tcPr>
            <w:tcW w:w="2720" w:type="dxa"/>
            <w:vAlign w:val="bottom"/>
            <w:tcBorders>
              <w:bottom w:val="single" w:sz="8" w:color="0000EE"/>
            </w:tcBorders>
            <w:gridSpan w:val="10"/>
          </w:tcPr>
          <w:p>
            <w:pPr>
              <w:spacing w:after="0" w:line="189" w:lineRule="exact"/>
              <w:rPr>
                <w:rFonts w:ascii="Arial" w:cs="Arial" w:eastAsia="Arial" w:hAnsi="Arial"/>
                <w:sz w:val="17"/>
                <w:szCs w:val="17"/>
                <w:color w:val="0000EE"/>
                <w:w w:val="95"/>
              </w:rPr>
            </w:pPr>
            <w:hyperlink w:anchor="page151">
              <w:r>
                <w:rPr>
                  <w:rFonts w:ascii="Arial" w:cs="Arial" w:eastAsia="Arial" w:hAnsi="Arial"/>
                  <w:sz w:val="17"/>
                  <w:szCs w:val="17"/>
                  <w:color w:val="0000EE"/>
                  <w:w w:val="95"/>
                </w:rPr>
                <w:t>DESCRIPTION OF CAPITAL STOCK</w:t>
              </w:r>
            </w:hyperlink>
          </w:p>
        </w:tc>
        <w:tc>
          <w:tcPr>
            <w:tcW w:w="5700" w:type="dxa"/>
            <w:vAlign w:val="bottom"/>
            <w:gridSpan w:val="8"/>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51">
              <w:r>
                <w:rPr>
                  <w:rFonts w:ascii="Arial" w:cs="Arial" w:eastAsia="Arial" w:hAnsi="Arial"/>
                  <w:sz w:val="17"/>
                  <w:szCs w:val="17"/>
                  <w:color w:val="0000EE"/>
                  <w:w w:val="77"/>
                </w:rPr>
                <w:t>147</w:t>
              </w:r>
            </w:hyperlink>
          </w:p>
        </w:tc>
      </w:tr>
      <w:tr>
        <w:trPr>
          <w:trHeight w:val="190"/>
        </w:trPr>
        <w:tc>
          <w:tcPr>
            <w:tcW w:w="3020" w:type="dxa"/>
            <w:vAlign w:val="bottom"/>
            <w:tcBorders>
              <w:bottom w:val="single" w:sz="8" w:color="0000EE"/>
            </w:tcBorders>
            <w:gridSpan w:val="11"/>
          </w:tcPr>
          <w:p>
            <w:pPr>
              <w:spacing w:after="0" w:line="189" w:lineRule="exact"/>
              <w:rPr>
                <w:rFonts w:ascii="Arial" w:cs="Arial" w:eastAsia="Arial" w:hAnsi="Arial"/>
                <w:sz w:val="17"/>
                <w:szCs w:val="17"/>
                <w:color w:val="0000EE"/>
                <w:w w:val="95"/>
              </w:rPr>
            </w:pPr>
            <w:hyperlink w:anchor="page154">
              <w:r>
                <w:rPr>
                  <w:rFonts w:ascii="Arial" w:cs="Arial" w:eastAsia="Arial" w:hAnsi="Arial"/>
                  <w:sz w:val="17"/>
                  <w:szCs w:val="17"/>
                  <w:color w:val="0000EE"/>
                  <w:w w:val="95"/>
                </w:rPr>
                <w:t>SHARES ELIGIBLE FOR FUTURE SALE</w:t>
              </w:r>
            </w:hyperlink>
          </w:p>
        </w:tc>
        <w:tc>
          <w:tcPr>
            <w:tcW w:w="5400" w:type="dxa"/>
            <w:vAlign w:val="bottom"/>
            <w:gridSpan w:val="7"/>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54">
              <w:r>
                <w:rPr>
                  <w:rFonts w:ascii="Arial" w:cs="Arial" w:eastAsia="Arial" w:hAnsi="Arial"/>
                  <w:sz w:val="17"/>
                  <w:szCs w:val="17"/>
                  <w:color w:val="0000EE"/>
                  <w:w w:val="77"/>
                </w:rPr>
                <w:t>150</w:t>
              </w:r>
            </w:hyperlink>
          </w:p>
        </w:tc>
      </w:tr>
      <w:tr>
        <w:trPr>
          <w:trHeight w:val="190"/>
        </w:trPr>
        <w:tc>
          <w:tcPr>
            <w:tcW w:w="8420" w:type="dxa"/>
            <w:vAlign w:val="bottom"/>
            <w:gridSpan w:val="18"/>
          </w:tcPr>
          <w:p>
            <w:pPr>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MATERIAL U.S. FEDERAL INCOME TAX CONSEQUENCES TO NON-U.S. HOLDERS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152</w:t>
              </w:r>
            </w:hyperlink>
          </w:p>
        </w:tc>
      </w:tr>
      <w:tr>
        <w:trPr>
          <w:trHeight w:val="190"/>
        </w:trPr>
        <w:tc>
          <w:tcPr>
            <w:tcW w:w="636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UNDERWRITING</w:t>
              </w:r>
            </w:hyperlink>
          </w:p>
        </w:tc>
        <w:tc>
          <w:tcPr>
            <w:tcW w:w="20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77"/>
              </w:rPr>
            </w:pPr>
            <w:hyperlink w:anchor="page160">
              <w:r>
                <w:rPr>
                  <w:rFonts w:ascii="Arial" w:cs="Arial" w:eastAsia="Arial" w:hAnsi="Arial"/>
                  <w:sz w:val="17"/>
                  <w:szCs w:val="17"/>
                  <w:color w:val="0000EE"/>
                  <w:w w:val="77"/>
                </w:rPr>
                <w:t>156</w:t>
              </w:r>
            </w:hyperlink>
          </w:p>
        </w:tc>
      </w:tr>
      <w:tr>
        <w:trPr>
          <w:trHeight w:val="20"/>
        </w:trPr>
        <w:tc>
          <w:tcPr>
            <w:tcW w:w="8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7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0"/>
        </w:trPr>
        <w:tc>
          <w:tcPr>
            <w:tcW w:w="8420" w:type="dxa"/>
            <w:vAlign w:val="bottom"/>
            <w:gridSpan w:val="18"/>
          </w:tcPr>
          <w:p>
            <w:pPr>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LEGAL MATTERS</w:t>
              </w:r>
            </w:hyperlink>
          </w:p>
        </w:tc>
        <w:tc>
          <w:tcPr>
            <w:tcW w:w="3000" w:type="dxa"/>
            <w:vAlign w:val="bottom"/>
            <w:gridSpan w:val="4"/>
          </w:tcPr>
          <w:p>
            <w:pPr>
              <w:jc w:val="right"/>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162</w:t>
              </w:r>
            </w:hyperlink>
          </w:p>
        </w:tc>
      </w:tr>
      <w:tr>
        <w:trPr>
          <w:trHeight w:val="190"/>
        </w:trPr>
        <w:tc>
          <w:tcPr>
            <w:tcW w:w="8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5"/>
              </w:rPr>
            </w:pPr>
            <w:hyperlink w:anchor="page166">
              <w:r>
                <w:rPr>
                  <w:rFonts w:ascii="Arial" w:cs="Arial" w:eastAsia="Arial" w:hAnsi="Arial"/>
                  <w:sz w:val="17"/>
                  <w:szCs w:val="17"/>
                  <w:color w:val="0000EE"/>
                  <w:w w:val="95"/>
                </w:rPr>
                <w:t>EXPERTS</w:t>
              </w:r>
            </w:hyperlink>
          </w:p>
        </w:tc>
        <w:tc>
          <w:tcPr>
            <w:tcW w:w="600" w:type="dxa"/>
            <w:vAlign w:val="bottom"/>
            <w:tcBorders>
              <w:top w:val="single" w:sz="8" w:color="0000EE"/>
            </w:tcBorders>
            <w:gridSpan w:val="5"/>
          </w:tcPr>
          <w:p>
            <w:pPr>
              <w:spacing w:after="0"/>
              <w:rPr>
                <w:sz w:val="16"/>
                <w:szCs w:val="16"/>
                <w:color w:val="auto"/>
              </w:rPr>
            </w:pPr>
          </w:p>
        </w:tc>
        <w:tc>
          <w:tcPr>
            <w:tcW w:w="7020" w:type="dxa"/>
            <w:vAlign w:val="bottom"/>
            <w:gridSpan w:val="12"/>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66">
              <w:r>
                <w:rPr>
                  <w:rFonts w:ascii="Arial" w:cs="Arial" w:eastAsia="Arial" w:hAnsi="Arial"/>
                  <w:sz w:val="17"/>
                  <w:szCs w:val="17"/>
                  <w:color w:val="0000EE"/>
                  <w:w w:val="77"/>
                </w:rPr>
                <w:t>162</w:t>
              </w:r>
            </w:hyperlink>
          </w:p>
        </w:tc>
      </w:tr>
      <w:tr>
        <w:trPr>
          <w:trHeight w:val="190"/>
        </w:trPr>
        <w:tc>
          <w:tcPr>
            <w:tcW w:w="3620" w:type="dxa"/>
            <w:vAlign w:val="bottom"/>
            <w:tcBorders>
              <w:bottom w:val="single" w:sz="8" w:color="0000EE"/>
            </w:tcBorders>
            <w:gridSpan w:val="12"/>
          </w:tcPr>
          <w:p>
            <w:pPr>
              <w:spacing w:after="0" w:line="189" w:lineRule="exact"/>
              <w:rPr>
                <w:rFonts w:ascii="Arial" w:cs="Arial" w:eastAsia="Arial" w:hAnsi="Arial"/>
                <w:sz w:val="17"/>
                <w:szCs w:val="17"/>
                <w:color w:val="0000EE"/>
                <w:w w:val="97"/>
              </w:rPr>
            </w:pPr>
            <w:hyperlink w:anchor="page166">
              <w:r>
                <w:rPr>
                  <w:rFonts w:ascii="Arial" w:cs="Arial" w:eastAsia="Arial" w:hAnsi="Arial"/>
                  <w:sz w:val="17"/>
                  <w:szCs w:val="17"/>
                  <w:color w:val="0000EE"/>
                  <w:w w:val="97"/>
                </w:rPr>
                <w:t>WHERE YOU CAN FIND MORE INFORMATION</w:t>
              </w:r>
            </w:hyperlink>
          </w:p>
        </w:tc>
        <w:tc>
          <w:tcPr>
            <w:tcW w:w="4800" w:type="dxa"/>
            <w:vAlign w:val="bottom"/>
            <w:gridSpan w:val="6"/>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77"/>
              </w:rPr>
            </w:pPr>
            <w:hyperlink w:anchor="page166">
              <w:r>
                <w:rPr>
                  <w:rFonts w:ascii="Arial" w:cs="Arial" w:eastAsia="Arial" w:hAnsi="Arial"/>
                  <w:sz w:val="17"/>
                  <w:szCs w:val="17"/>
                  <w:color w:val="0000EE"/>
                  <w:w w:val="77"/>
                </w:rPr>
                <w:t>162</w:t>
              </w:r>
            </w:hyperlink>
          </w:p>
        </w:tc>
      </w:tr>
      <w:tr>
        <w:trPr>
          <w:trHeight w:val="190"/>
        </w:trPr>
        <w:tc>
          <w:tcPr>
            <w:tcW w:w="4220" w:type="dxa"/>
            <w:vAlign w:val="bottom"/>
            <w:tcBorders>
              <w:bottom w:val="single" w:sz="8" w:color="0000EE"/>
            </w:tcBorders>
            <w:gridSpan w:val="14"/>
          </w:tcPr>
          <w:p>
            <w:pPr>
              <w:spacing w:after="0" w:line="189" w:lineRule="exact"/>
              <w:rPr>
                <w:rFonts w:ascii="Arial" w:cs="Arial" w:eastAsia="Arial" w:hAnsi="Arial"/>
                <w:sz w:val="17"/>
                <w:szCs w:val="17"/>
                <w:color w:val="0000EE"/>
                <w:w w:val="97"/>
              </w:rPr>
            </w:pPr>
            <w:hyperlink w:anchor="page167">
              <w:r>
                <w:rPr>
                  <w:rFonts w:ascii="Arial" w:cs="Arial" w:eastAsia="Arial" w:hAnsi="Arial"/>
                  <w:sz w:val="17"/>
                  <w:szCs w:val="17"/>
                  <w:color w:val="0000EE"/>
                  <w:w w:val="97"/>
                </w:rPr>
                <w:t>INDEX TO CONSOLIDATED FINANCIAL STATEMENTS</w:t>
              </w:r>
            </w:hyperlink>
          </w:p>
        </w:tc>
        <w:tc>
          <w:tcPr>
            <w:tcW w:w="4200" w:type="dxa"/>
            <w:vAlign w:val="bottom"/>
            <w:gridSpan w:val="4"/>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6"/>
              </w:rPr>
            </w:pPr>
            <w:hyperlink w:anchor="page167">
              <w:r>
                <w:rPr>
                  <w:rFonts w:ascii="Arial" w:cs="Arial" w:eastAsia="Arial" w:hAnsi="Arial"/>
                  <w:sz w:val="17"/>
                  <w:szCs w:val="17"/>
                  <w:color w:val="0000EE"/>
                  <w:w w:val="86"/>
                </w:rPr>
                <w:t>F-1</w:t>
              </w:r>
            </w:hyperlink>
          </w:p>
        </w:tc>
      </w:tr>
    </w:tbl>
    <w:p>
      <w:pPr>
        <w:spacing w:after="0" w:line="223" w:lineRule="exact"/>
        <w:rPr>
          <w:sz w:val="20"/>
          <w:szCs w:val="20"/>
          <w:color w:val="auto"/>
        </w:rPr>
      </w:pPr>
    </w:p>
    <w:p>
      <w:pPr>
        <w:ind w:right="60" w:firstLine="341"/>
        <w:spacing w:after="0" w:line="285" w:lineRule="auto"/>
        <w:rPr>
          <w:sz w:val="20"/>
          <w:szCs w:val="20"/>
          <w:color w:val="auto"/>
        </w:rPr>
      </w:pPr>
      <w:r>
        <w:rPr>
          <w:rFonts w:ascii="Arial" w:cs="Arial" w:eastAsia="Arial" w:hAnsi="Arial"/>
          <w:sz w:val="16"/>
          <w:szCs w:val="16"/>
          <w:b w:val="1"/>
          <w:bCs w:val="1"/>
          <w:color w:val="auto"/>
        </w:rPr>
        <w:t>You should rely only on the information contained in this prospectus or contained in any free writing prospectus prepared by or on behalf of us or to which we have referred you. We have not, and the underwriters have not, authorized anyone to provide you with information that is different from that contained in such prospectuses. We are offering to sell shares of our common stock, and seeking offers to buy shares of our common stock, only in jurisdictions where such offers and sales are permitted. The information in this prospectus is accurate only as of the date of this prospectus, regardless of the time of delivery of this prospectus or any sale of our common stock.</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Until and including , 2015 (25 days after the date of this prospectus), all dealers that buy, sell or trade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5773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ind w:left="240" w:firstLine="341"/>
        <w:spacing w:after="0" w:line="287"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common stock. Before you decide to invest in our common stock, you should read the entire prospectus carefully, including the "Risk Factors" section and our consolidated financial statements and related notes included elsewhere in this prospectus. In this prospectus, unless otherwise stated or the context otherwise indicates, references to "Axsome," "we," "us," and "our" refer to Axsome Therapeutics, Inc.</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firstLine="338"/>
        <w:spacing w:after="0" w:line="281" w:lineRule="auto"/>
        <w:rPr>
          <w:sz w:val="20"/>
          <w:szCs w:val="20"/>
          <w:color w:val="auto"/>
        </w:rPr>
      </w:pPr>
      <w:r>
        <w:rPr>
          <w:rFonts w:ascii="Arial" w:cs="Arial" w:eastAsia="Arial" w:hAnsi="Arial"/>
          <w:sz w:val="16"/>
          <w:szCs w:val="16"/>
          <w:color w:val="auto"/>
        </w:rPr>
        <w:t>We are a clinical stage biopharmaceutical company developing novel therapies for the management of pain and other central nervous system, or CNS, disorders. By focusing on this therapeutic area, we are addressing significant and growing markets where current treatment options are limited or inadequate. Our product candidate portfolio includes two late-stage candidates, AXS-02 and AXS-05, which we are developing for multiple indications. We recently initiated a Phase 3 trial with AXS-02 in complex regional pain syndrome and plan to initiate a Phase 3 trial with AXS-05 in treatment resistant depression in or before the first quarter of 2016. We aim to become a fully integrated biopharmaceutical company that develops and commercializes differentiated therapies that expand the treatment options available to caregivers and improve the lives of patients living with pain and other CNS disorders.</w:t>
      </w:r>
    </w:p>
    <w:p>
      <w:pPr>
        <w:spacing w:after="0" w:line="176" w:lineRule="exact"/>
        <w:rPr>
          <w:sz w:val="20"/>
          <w:szCs w:val="20"/>
          <w:color w:val="auto"/>
        </w:rPr>
      </w:pPr>
    </w:p>
    <w:p>
      <w:pPr>
        <w:ind w:left="240" w:firstLine="341"/>
        <w:spacing w:after="0" w:line="279" w:lineRule="auto"/>
        <w:rPr>
          <w:sz w:val="20"/>
          <w:szCs w:val="20"/>
          <w:color w:val="auto"/>
        </w:rPr>
      </w:pPr>
      <w:r>
        <w:rPr>
          <w:rFonts w:ascii="Arial" w:cs="Arial" w:eastAsia="Arial" w:hAnsi="Arial"/>
          <w:sz w:val="16"/>
          <w:szCs w:val="16"/>
          <w:color w:val="auto"/>
        </w:rPr>
        <w:t>Our first product candidate, AXS-02 (disodium zoledronate), is a potent osteoclast inhibitor being developed as a potentially first-in-class oral, targeted, non-opioid therapeutic for chronic pain. We are initially developing AXS-02 for the treatment of pain in the following three conditions: complex regional pain syndrome, or CRPS; knee osteoarthritis, or OA, associated with bone marrow lesions, or BMLs; and chronic low back pain, or CLBP, associated with Modic changes, or MCs. These conditions exhibit target lesions or specific pathology that we believe may be addressed by the mechanisms of action of AXS-02, such as inhibition of osteocla activity. These mechanisms may result in a reduction of pain in these conditions. We have successfully completed a Phase 1 trial of AXS-02. In this trial, oral administration of AXS-02 tablets resulted in rapid absorption of zoledronic acid and marked suppression of bone resorption markers. We selected the dose for our ongoing and planned Phase 3 trials based on the pharmacokinetic and pharmacodynamic results of our Phase 1 trial. We intend to seek U.S. Food and Drug Administration, or FDA, approval for AXS-02 utilizing the 505(b)(2) regulatory development pathway.</w:t>
      </w:r>
    </w:p>
    <w:p>
      <w:pPr>
        <w:spacing w:after="0" w:line="177" w:lineRule="exact"/>
        <w:rPr>
          <w:sz w:val="20"/>
          <w:szCs w:val="20"/>
          <w:color w:val="auto"/>
        </w:rPr>
      </w:pPr>
    </w:p>
    <w:p>
      <w:pPr>
        <w:ind w:left="240" w:firstLine="341"/>
        <w:spacing w:after="0" w:line="281" w:lineRule="auto"/>
        <w:rPr>
          <w:sz w:val="20"/>
          <w:szCs w:val="20"/>
          <w:color w:val="auto"/>
        </w:rPr>
      </w:pPr>
      <w:r>
        <w:rPr>
          <w:rFonts w:ascii="Arial" w:cs="Arial" w:eastAsia="Arial" w:hAnsi="Arial"/>
          <w:sz w:val="16"/>
          <w:szCs w:val="16"/>
          <w:color w:val="auto"/>
        </w:rPr>
        <w:t>Our second product candidate, AXS-05, is an innovative fixed-dose combination of dextromethorphan, or DM, and bupropion. We are developing AXS-05 initially for the treatment of the following two conditions: treatment resistant depression, or TRD; and agitation in patients with Alzheimer's disease, or AD. DM is active at multiple CNS receptors but is rapidly and extensively metabolized in humans. As a result, it is difficult to attain potential therapeutic plasma levels of DM when it is dosed as a single agent. AXS-05 uses bupropion, which is itself active at distinct CNS receptors, as a novel drug delivery method to inhibit DM metabolism and increase its bioavailability. We have demonstrated in two Phase 1 trials that DM plasma levels are significantly increased into a potentially therapeutic range with the co-administration of bupropion. We intend to seek FDA approval for AXS-05 utilizing the 505(b)(2) regulatory development pathway.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one active program, AXS-06, in preclinical development. We are developing AXS-06 for the treatment of chronic pain.</w:t>
      </w:r>
    </w:p>
    <w:p>
      <w:pPr>
        <w:spacing w:after="0" w:line="224"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color w:val="auto"/>
        </w:rPr>
        <w:t>Our product candidates are protected through a combination of patents, trade secrets, and proprietary know-how. Our intellectual property portfolio includes U.S patents with claims extending to 2034 for AXS-02 and to 2032 for AXS-05, as well as corresponding foreign patent applications. Our U.S. and E.U. orphan designations for AXS-02 for the treatment of CRPS potentially provide 7 and up to 12 years of marketing exclusivity in the respective geographies for the orphan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354330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232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423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firstLine="341"/>
        <w:spacing w:after="0" w:line="282" w:lineRule="auto"/>
        <w:rPr>
          <w:sz w:val="20"/>
          <w:szCs w:val="20"/>
          <w:color w:val="auto"/>
        </w:rPr>
      </w:pPr>
      <w:r>
        <w:rPr>
          <w:rFonts w:ascii="Arial" w:cs="Arial" w:eastAsia="Arial" w:hAnsi="Arial"/>
          <w:sz w:val="17"/>
          <w:szCs w:val="17"/>
          <w:color w:val="auto"/>
        </w:rPr>
        <w:t>Our goal is to cost-effectively and efficiently develop and commercialize novel, differentiated therapies for the management of pain and other CNS disorders. Th primary elements of our strategy to achieve this goal are the following:</w:t>
      </w:r>
    </w:p>
    <w:p>
      <w:pPr>
        <w:spacing w:after="0" w:line="196" w:lineRule="exact"/>
        <w:rPr>
          <w:sz w:val="20"/>
          <w:szCs w:val="20"/>
          <w:color w:val="auto"/>
        </w:rPr>
      </w:pPr>
    </w:p>
    <w:p>
      <w:pPr>
        <w:ind w:left="1280" w:hanging="524"/>
        <w:spacing w:after="0" w:line="265"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novel pain and other CNS indications with high unmet medical need. </w:t>
      </w:r>
      <w:r>
        <w:rPr>
          <w:rFonts w:ascii="Arial" w:cs="Arial" w:eastAsia="Arial" w:hAnsi="Arial"/>
          <w:sz w:val="17"/>
          <w:szCs w:val="17"/>
          <w:color w:val="auto"/>
        </w:rPr>
        <w:t>We are initially developing our product candidates for pain and CNS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indications that have no or few FDA-approved pharmacological treatments. By focusing on novel indications, we aim to develop products that have th potential to change current medical practice, and that are highly relevant to patients, physicians, and regulatory bodies because they address unmet medical needs.</w:t>
      </w:r>
    </w:p>
    <w:p>
      <w:pPr>
        <w:spacing w:after="0" w:line="198" w:lineRule="exact"/>
        <w:rPr>
          <w:rFonts w:ascii="Arial" w:cs="Arial" w:eastAsia="Arial" w:hAnsi="Arial"/>
          <w:sz w:val="17"/>
          <w:szCs w:val="17"/>
          <w:color w:val="auto"/>
        </w:rPr>
      </w:pPr>
    </w:p>
    <w:p>
      <w:pPr>
        <w:ind w:left="1280" w:hanging="524"/>
        <w:spacing w:after="0" w:line="287"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biomarkers to define specific patient subsets for our pain indications. </w:t>
      </w:r>
      <w:r>
        <w:rPr>
          <w:rFonts w:ascii="Arial" w:cs="Arial" w:eastAsia="Arial" w:hAnsi="Arial"/>
          <w:sz w:val="16"/>
          <w:szCs w:val="16"/>
          <w:color w:val="auto"/>
        </w:rPr>
        <w:t>We are using biomarkers, which are visible on magnetic resonance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or MRI, to define specific subsets of patients who we believe are more likely to respond to the mechanisms of action of AXS-02. We believe that our targeted biomarker approach may result in a less heterogeneous patient population in our clinical trials, which may improve our ability to demonstrate a treatment effect and, if approved, enable treatment of more appropriate patient populations.</w:t>
      </w:r>
    </w:p>
    <w:p>
      <w:pPr>
        <w:spacing w:after="0" w:line="181" w:lineRule="exact"/>
        <w:rPr>
          <w:rFonts w:ascii="Arial" w:cs="Arial" w:eastAsia="Arial" w:hAnsi="Arial"/>
          <w:sz w:val="16"/>
          <w:szCs w:val="16"/>
          <w:color w:val="auto"/>
        </w:rPr>
      </w:pPr>
    </w:p>
    <w:p>
      <w:pPr>
        <w:ind w:left="1280" w:hanging="524"/>
        <w:spacing w:after="0" w:line="270"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products with differentiated profiles. </w:t>
      </w:r>
      <w:r>
        <w:rPr>
          <w:rFonts w:ascii="Arial" w:cs="Arial" w:eastAsia="Arial" w:hAnsi="Arial"/>
          <w:sz w:val="17"/>
          <w:szCs w:val="17"/>
          <w:color w:val="auto"/>
        </w:rPr>
        <w:t>We aim to develop products with novel mechanisms of action for the intended indications that should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differentiated product profiles. We believe that products meeting this criteria will be attractive to patients and their physicians, and will provide u with a competitive commercial advantage.</w:t>
      </w:r>
    </w:p>
    <w:p>
      <w:pPr>
        <w:spacing w:after="0" w:line="205" w:lineRule="exact"/>
        <w:rPr>
          <w:rFonts w:ascii="Arial" w:cs="Arial" w:eastAsia="Arial" w:hAnsi="Arial"/>
          <w:sz w:val="17"/>
          <w:szCs w:val="17"/>
          <w:color w:val="auto"/>
        </w:rPr>
      </w:pPr>
    </w:p>
    <w:p>
      <w:pPr>
        <w:ind w:left="1280" w:right="20" w:hanging="524"/>
        <w:spacing w:after="0" w:line="287"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clinical and regulatory risk, limit development costs, and accelerate time to market. </w:t>
      </w:r>
      <w:r>
        <w:rPr>
          <w:rFonts w:ascii="Arial" w:cs="Arial" w:eastAsia="Arial" w:hAnsi="Arial"/>
          <w:sz w:val="16"/>
          <w:szCs w:val="16"/>
          <w:color w:val="auto"/>
        </w:rPr>
        <w:t>Our product candidates incorporate chemical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long histories of clinical use and well-characterized safety profiles. We can therefore seek FDA approval for our product candidates using the 505(b)(2) regulatory pathway. This pathway permits us to leverage previous preclinical and clinical experience with the active molecules in our produ candidates and potentially forego conducting certain clinical trials and certain lengthy and costly preclinical studies.</w:t>
      </w:r>
    </w:p>
    <w:p>
      <w:pPr>
        <w:spacing w:after="0" w:line="181" w:lineRule="exact"/>
        <w:rPr>
          <w:rFonts w:ascii="Arial" w:cs="Arial" w:eastAsia="Arial" w:hAnsi="Arial"/>
          <w:sz w:val="16"/>
          <w:szCs w:val="16"/>
          <w:color w:val="auto"/>
        </w:rPr>
      </w:pPr>
    </w:p>
    <w:p>
      <w:pPr>
        <w:jc w:val="both"/>
        <w:ind w:left="1280" w:right="140" w:hanging="524"/>
        <w:spacing w:after="0" w:line="270"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Retain commercial rights in the United States, where appropriate, and selectively partner outside of the United States. </w:t>
      </w:r>
      <w:r>
        <w:rPr>
          <w:rFonts w:ascii="Arial" w:cs="Arial" w:eastAsia="Arial" w:hAnsi="Arial"/>
          <w:sz w:val="17"/>
          <w:szCs w:val="17"/>
          <w:color w:val="auto"/>
        </w:rPr>
        <w:t>We intend to establish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focused, cost-effective sales and marketing organization in the United States, and to selectively partner commercial rights outside of the United States to maximize the value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77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777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Pipeline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current product candidate pipeline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AXS-02</w:t>
      </w:r>
    </w:p>
    <w:p>
      <w:pPr>
        <w:spacing w:after="0" w:line="228" w:lineRule="exact"/>
        <w:rPr>
          <w:sz w:val="20"/>
          <w:szCs w:val="20"/>
          <w:color w:val="auto"/>
        </w:rPr>
      </w:pPr>
    </w:p>
    <w:p>
      <w:pPr>
        <w:ind w:left="240" w:right="100" w:firstLine="331"/>
        <w:spacing w:after="0" w:line="270" w:lineRule="auto"/>
        <w:rPr>
          <w:sz w:val="20"/>
          <w:szCs w:val="20"/>
          <w:color w:val="auto"/>
        </w:rPr>
      </w:pPr>
      <w:r>
        <w:rPr>
          <w:rFonts w:ascii="Arial" w:cs="Arial" w:eastAsia="Arial" w:hAnsi="Arial"/>
          <w:sz w:val="17"/>
          <w:szCs w:val="17"/>
          <w:color w:val="auto"/>
        </w:rPr>
        <w:t>AXS-02 is a novel, targeted investigational pain therapeutic. It is an orally administered, non-opioid agent with a new mechanism of action for the treatment of pain. We believe that, if successfully developed, AXS-02 may overcome the limitations of current treatments for pain, and may be attractive to patients and their physicians, based on the following differentiating features:</w:t>
      </w:r>
    </w:p>
    <w:p>
      <w:pPr>
        <w:spacing w:after="0" w:line="205"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Novel osteoclast-inhibiting mechanism of action for the treatment of pain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Targeted therapy approach that utilizes radiographic biomarkers to identify appropriate patients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Oral administration</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Convenient weekly dosing and short course of treatment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for extended duration of pain relief</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Lack of opioid-related side effects and abuse and addiction potential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Complex Regional Pain Syndrome</w:t>
      </w:r>
    </w:p>
    <w:p>
      <w:pPr>
        <w:spacing w:after="0" w:line="224" w:lineRule="exact"/>
        <w:rPr>
          <w:sz w:val="20"/>
          <w:szCs w:val="20"/>
          <w:color w:val="auto"/>
        </w:rPr>
      </w:pPr>
    </w:p>
    <w:p>
      <w:pPr>
        <w:ind w:left="240" w:right="20" w:firstLine="331"/>
        <w:spacing w:after="0" w:line="283" w:lineRule="auto"/>
        <w:rPr>
          <w:sz w:val="20"/>
          <w:szCs w:val="20"/>
          <w:color w:val="auto"/>
        </w:rPr>
      </w:pPr>
      <w:r>
        <w:rPr>
          <w:rFonts w:ascii="Arial" w:cs="Arial" w:eastAsia="Arial" w:hAnsi="Arial"/>
          <w:sz w:val="16"/>
          <w:szCs w:val="16"/>
          <w:color w:val="auto"/>
        </w:rPr>
        <w:t>AXS-02 is currently in a Phase 3 trial for the treatment of pain associated with CRPS. There is currently no drug approved by the FDA or the European Medicin Agency, or EMA, to treat CRPS. CRPS is a debilitating condition characterized by severe pain in a limb, accompanied by autonomic, sensory, motor, and trophic changes. CRPS is often triggered by minor trauma, such as wrist fracture, surgery, or needle stick injury, but can occur spontaneously. The extreme nature of the pain is disproportionate to these inciting events. For many patients, the pain and associated loss of function result in significant and sometimes permanent disability. It has been estimated that approximately 80,000 individuals in the United States are diagnosed with CRPS annually.</w:t>
      </w:r>
    </w:p>
    <w:p>
      <w:pPr>
        <w:spacing w:after="0" w:line="174" w:lineRule="exact"/>
        <w:rPr>
          <w:sz w:val="20"/>
          <w:szCs w:val="20"/>
          <w:color w:val="auto"/>
        </w:rPr>
      </w:pPr>
    </w:p>
    <w:p>
      <w:pPr>
        <w:ind w:left="240" w:firstLine="331"/>
        <w:spacing w:after="0" w:line="282" w:lineRule="auto"/>
        <w:rPr>
          <w:sz w:val="20"/>
          <w:szCs w:val="20"/>
          <w:color w:val="auto"/>
        </w:rPr>
      </w:pPr>
      <w:r>
        <w:rPr>
          <w:rFonts w:ascii="Arial" w:cs="Arial" w:eastAsia="Arial" w:hAnsi="Arial"/>
          <w:sz w:val="17"/>
          <w:szCs w:val="17"/>
          <w:color w:val="auto"/>
        </w:rPr>
        <w:t>AXS-02 has been granted FDA Fast Track designation for the treatment of pain associated with CRPS. AXS-02 has also been granted Orphan Drug Designation by the FDA and Orphan Medicinal Product Designation by the EMA for the treatment of CRPS.</w:t>
      </w:r>
    </w:p>
    <w:p>
      <w:pPr>
        <w:spacing w:after="0" w:line="170" w:lineRule="exact"/>
        <w:rPr>
          <w:sz w:val="20"/>
          <w:szCs w:val="20"/>
          <w:color w:val="auto"/>
        </w:rPr>
      </w:pPr>
    </w:p>
    <w:p>
      <w:pPr>
        <w:ind w:left="240" w:right="360" w:firstLine="338"/>
        <w:spacing w:after="0" w:line="282" w:lineRule="auto"/>
        <w:rPr>
          <w:sz w:val="20"/>
          <w:szCs w:val="20"/>
          <w:color w:val="auto"/>
        </w:rPr>
      </w:pPr>
      <w:r>
        <w:rPr>
          <w:rFonts w:ascii="Arial" w:cs="Arial" w:eastAsia="Arial" w:hAnsi="Arial"/>
          <w:sz w:val="17"/>
          <w:szCs w:val="17"/>
          <w:color w:val="auto"/>
        </w:rPr>
        <w:t>The rationale for the use of AXS-02 for the treatment of pain associated with CRPS is supported by the pharmacological action of AXS-02. Increased bone resorption is seen in the affected limbs of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40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61" w:lineRule="auto"/>
        <w:rPr>
          <w:sz w:val="20"/>
          <w:szCs w:val="20"/>
          <w:color w:val="auto"/>
        </w:rPr>
      </w:pPr>
      <w:r>
        <w:rPr>
          <w:rFonts w:ascii="Arial" w:cs="Arial" w:eastAsia="Arial" w:hAnsi="Arial"/>
          <w:sz w:val="17"/>
          <w:szCs w:val="17"/>
          <w:color w:val="auto"/>
        </w:rPr>
        <w:t>majority of CRPS patients. In our completed Phase 1 trial, oral administration of AXS-02 to healthy human volunteers resulted in substantial reductions in markers of bone resorption, suggesting the ability of AXS-02 to address a common finding in CRPS patients. Furthermore, zoledronic acid, the active molecule in AXS-02, localizes preferentially to regions of high bone turnover suggesting it may be able to preferentially target CRPS-affected limbs. Results of several small clinical trials with other less potent bisphosphonate compounds have shown a reduction in pain in CRPS patients treated with these agents. The rationale for using AXS-02 in CRP is also supported by positive results of preclinical studies we conducted with orally administered AXS-02 in the rat tibia fracture model, a well-validated animal mod of CRPS. In one study, 20 rats underwent a right distal tibia fracture with casting to induce CRPS-like symptoms and signs, and were then orally administered either placebo or AXS-02. Oral administration of AXS-02 reduced pain by 77% and edema by 60%, and resulted in a 56% improvement in weight bearing as compared to placebo.</w:t>
      </w:r>
    </w:p>
    <w:p>
      <w:pPr>
        <w:spacing w:after="0" w:line="187"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color w:val="auto"/>
        </w:rPr>
        <w:t>In July 2015, we initiated the CREATE-1 study, a Phase 3, randomized, double-blind, placebo-controlled trial to assess the efficacy and safety of AXS-02 in the treatment of pain associated with CRPS. The design of this study is informed by feedback from a June 2014 meeting with the FDA and by subsequent ongoing communications with the FDA. The trial is enrolling patients with recently diagnosed CRPS, and the primary endpoint is the change in pain intensity from baseline to week 12. We anticipate that the study will enroll a total of approximately 190 patients. An interim analysis for efficacy is planned on the first approximately 50% of patients who are enrolled and who complete the double-blind treatment phase. We expect to complete this trial by the end of 2017.</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Knee Osteoarthritis Associated with Bone Marrow Lesions</w:t>
      </w:r>
    </w:p>
    <w:p>
      <w:pPr>
        <w:spacing w:after="0" w:line="224" w:lineRule="exact"/>
        <w:rPr>
          <w:sz w:val="20"/>
          <w:szCs w:val="20"/>
          <w:color w:val="auto"/>
        </w:rPr>
      </w:pPr>
    </w:p>
    <w:p>
      <w:pPr>
        <w:ind w:left="240" w:firstLine="338"/>
        <w:spacing w:after="0" w:line="261" w:lineRule="auto"/>
        <w:rPr>
          <w:sz w:val="20"/>
          <w:szCs w:val="20"/>
          <w:color w:val="auto"/>
        </w:rPr>
      </w:pPr>
      <w:r>
        <w:rPr>
          <w:rFonts w:ascii="Arial" w:cs="Arial" w:eastAsia="Arial" w:hAnsi="Arial"/>
          <w:sz w:val="17"/>
          <w:szCs w:val="17"/>
          <w:color w:val="auto"/>
        </w:rPr>
        <w:t>We plan to initiate a Phase 3 clinical trial with AXS-02 for the treatment of pain in patients with knee OA associated with BMLs in or before the first quarter of 2016. There is currently no therapy specifically approved by the FDA or the EMA to treat this subset of knee OA. BMLs are regions of increased signal intensity on MRI of the knee. Results from cross-sectional and longitudinal studies have shown that BMLs are strongly associated with the presence and severity of pain in patien with knee OA, and that new or enlarging BMLs are associated with increased pain and diminishing BMLs with decreased pain. These studies therefore suggest that BMLs are a source of knee pain and a potential target for pharmaceutical intervention. We believe the mechanisms of action of AXS-02 may preferentially target BMLs. We estimate that there are as many as 7 million patients 50 years of age or older in the U.S. with symptomatic knee OA and BMLs, based on results of epidemiological studies.</w:t>
      </w:r>
    </w:p>
    <w:p>
      <w:pPr>
        <w:spacing w:after="0" w:line="190" w:lineRule="exact"/>
        <w:rPr>
          <w:sz w:val="20"/>
          <w:szCs w:val="20"/>
          <w:color w:val="auto"/>
        </w:rPr>
      </w:pPr>
    </w:p>
    <w:p>
      <w:pPr>
        <w:jc w:val="both"/>
        <w:ind w:left="240" w:right="280" w:firstLine="341"/>
        <w:spacing w:after="0" w:line="270" w:lineRule="auto"/>
        <w:rPr>
          <w:sz w:val="20"/>
          <w:szCs w:val="20"/>
          <w:color w:val="auto"/>
        </w:rPr>
      </w:pPr>
      <w:r>
        <w:rPr>
          <w:rFonts w:ascii="Arial" w:cs="Arial" w:eastAsia="Arial" w:hAnsi="Arial"/>
          <w:sz w:val="17"/>
          <w:szCs w:val="17"/>
          <w:color w:val="auto"/>
        </w:rPr>
        <w:t>Intravenously administered zoledronic acid, the active molecule in AXS-02, was tested in an investigator-initiated, single-center, randomized, double-blind, placebo-controlled trial in 59 patients with knee OA associated with BMLs. In this trial, zoledronic acid treatment significantly reduced pain and BML size at six months, demonstrating an effect on symptom and structure.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Chronic Low Back Pain Associated with Modic Changes</w:t>
      </w:r>
    </w:p>
    <w:p>
      <w:pPr>
        <w:spacing w:after="0" w:line="224" w:lineRule="exact"/>
        <w:rPr>
          <w:sz w:val="20"/>
          <w:szCs w:val="20"/>
          <w:color w:val="auto"/>
        </w:rPr>
      </w:pPr>
    </w:p>
    <w:p>
      <w:pPr>
        <w:ind w:left="240" w:firstLine="338"/>
        <w:spacing w:after="0" w:line="280" w:lineRule="auto"/>
        <w:rPr>
          <w:sz w:val="20"/>
          <w:szCs w:val="20"/>
          <w:color w:val="auto"/>
        </w:rPr>
      </w:pPr>
      <w:r>
        <w:rPr>
          <w:rFonts w:ascii="Arial" w:cs="Arial" w:eastAsia="Arial" w:hAnsi="Arial"/>
          <w:sz w:val="16"/>
          <w:szCs w:val="16"/>
          <w:color w:val="auto"/>
        </w:rPr>
        <w:t>We plan to initiate a Phase 3 clinical trial with AXS-02 for the treatment of CLBP associated with type 1 or mixed type 1 and type 2 MCs in the first half of 201 There is currently no therapy specifically approved by the FDA or the EMA to treat this subset of CLBP. CLBP is defined as persistent or fluctuating low back pain lasting at least three months. It is a disabling and costly condition that is associated with increased healthcare utilization. MCs are vertebral bone marrow changes tha are visible on MRI of the spine. Findings from various studies suggest that MCs, especially type 1 MCs, are correlated with low back pain, predict persistent symptoms, and sick leaves, and are associated with poor outcomes. These studies therefore suggest that MCs are a potential target for pharmaceutical intervention. W believe the mechanisms of action of AXS-02 may preferentially target MCs. We estimate that as many as 1.6 million individuals in the United States suffer from CLBP associated with type 1 MCs, based on results of epidemiological studies.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Intravenously administered zoledronic acid, the active molecule in AXS-02, was tested in an investigator-initiated, single-center, randomized, double-blind, placebo-controlled trial in 40 patients with CLBP associated with MCs. In this trial, zoledronic acid treatment significantly reduced pain at 1 month and non-steroidal anti-inflammatory drug, or NSAID, use at 12 months.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AXS-05</w:t>
      </w:r>
    </w:p>
    <w:p>
      <w:pPr>
        <w:spacing w:after="0" w:line="228" w:lineRule="exact"/>
        <w:rPr>
          <w:sz w:val="20"/>
          <w:szCs w:val="20"/>
          <w:color w:val="auto"/>
        </w:rPr>
      </w:pPr>
    </w:p>
    <w:p>
      <w:pPr>
        <w:ind w:left="240" w:firstLine="331"/>
        <w:spacing w:after="0" w:line="283" w:lineRule="auto"/>
        <w:rPr>
          <w:sz w:val="20"/>
          <w:szCs w:val="20"/>
          <w:color w:val="auto"/>
        </w:rPr>
      </w:pPr>
      <w:r>
        <w:rPr>
          <w:rFonts w:ascii="Arial" w:cs="Arial" w:eastAsia="Arial" w:hAnsi="Arial"/>
          <w:sz w:val="16"/>
          <w:szCs w:val="16"/>
          <w:color w:val="auto"/>
        </w:rPr>
        <w:t>AXS-05 is an innovative fixed-dose combination of DM and bupropion. DM is active at multiple CNS receptors but is rapidly metabolized when dosed alone. Our combination uses bupropion as a novel drug delivery method to inhibit DM metabolism and increase its bioavailability. We have demonstrated in two Phase 1 trials that co-administration of bupropion and DM leads to significantly increased DM plasma levels. This positive pharmacokinetic interaction between bupropion an DM therefore potentially enables DM's clinical utility by increasing DM's plasma levels into a potentially therapeutic range. In addition to its ability to inhibit DM metabolism, bupropion is also active at distinct CNS receptors. The activity of the two components may provide an additive or synergistic effect.</w:t>
      </w:r>
    </w:p>
    <w:p>
      <w:pPr>
        <w:spacing w:after="0" w:line="174" w:lineRule="exact"/>
        <w:rPr>
          <w:sz w:val="20"/>
          <w:szCs w:val="20"/>
          <w:color w:val="auto"/>
        </w:rPr>
      </w:pPr>
    </w:p>
    <w:p>
      <w:pPr>
        <w:ind w:left="240" w:firstLine="341"/>
        <w:spacing w:after="0" w:line="311" w:lineRule="auto"/>
        <w:rPr>
          <w:sz w:val="20"/>
          <w:szCs w:val="20"/>
          <w:color w:val="auto"/>
        </w:rPr>
      </w:pPr>
      <w:r>
        <w:rPr>
          <w:rFonts w:ascii="Arial" w:cs="Arial" w:eastAsia="Arial" w:hAnsi="Arial"/>
          <w:sz w:val="15"/>
          <w:szCs w:val="15"/>
          <w:color w:val="auto"/>
        </w:rPr>
        <w:t>Bupropion is a well-characterized antidepressant. DM is a well-known CNS-active agent that is used in over-the-counter cough and cold preparations. DM, in combination with quinidine, was approved in 2010 for the treatment of pseudobulbar affect, also known as emotional lability. Like bupropion in our product candidat quinidine is used to inhibit the metabolism of DM and increase its plasma concentrations. Unlike bupropion, however, the quinidine in the preparation does not have CNS activity. AXS-05 is potentially applicable to the treatment of a variety of CNS disorders, based on the mechanisms of action of its two components.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Treatment Resistant Depression</w:t>
      </w:r>
    </w:p>
    <w:p>
      <w:pPr>
        <w:spacing w:after="0" w:line="224" w:lineRule="exact"/>
        <w:rPr>
          <w:sz w:val="20"/>
          <w:szCs w:val="20"/>
          <w:color w:val="auto"/>
        </w:rPr>
      </w:pPr>
    </w:p>
    <w:p>
      <w:pPr>
        <w:ind w:left="240" w:right="20" w:firstLine="338"/>
        <w:spacing w:after="0" w:line="270" w:lineRule="auto"/>
        <w:rPr>
          <w:sz w:val="20"/>
          <w:szCs w:val="20"/>
          <w:color w:val="auto"/>
        </w:rPr>
      </w:pPr>
      <w:r>
        <w:rPr>
          <w:rFonts w:ascii="Arial" w:cs="Arial" w:eastAsia="Arial" w:hAnsi="Arial"/>
          <w:sz w:val="17"/>
          <w:szCs w:val="17"/>
          <w:color w:val="auto"/>
        </w:rPr>
        <w:t>We plan to initiate a Phase 3 trial of AXS-05 in TRD in or before the first quarter of 2016. Currently, only one product is approved in the United States for the treatment of TRD. Patients diagnosed with major depressive disorder are defined as having TRD if they have failed two or more antidepressant therapies. We estimat that approximately 3 million individuals in the United States suffer from TRD.</w:t>
      </w:r>
    </w:p>
    <w:p>
      <w:pPr>
        <w:spacing w:after="0" w:line="179" w:lineRule="exact"/>
        <w:rPr>
          <w:sz w:val="20"/>
          <w:szCs w:val="20"/>
          <w:color w:val="auto"/>
        </w:rPr>
      </w:pPr>
    </w:p>
    <w:p>
      <w:pPr>
        <w:ind w:left="240" w:right="40" w:firstLine="338"/>
        <w:spacing w:after="0" w:line="281" w:lineRule="auto"/>
        <w:rPr>
          <w:sz w:val="20"/>
          <w:szCs w:val="20"/>
          <w:color w:val="auto"/>
        </w:rPr>
      </w:pPr>
      <w:r>
        <w:rPr>
          <w:rFonts w:ascii="Arial" w:cs="Arial" w:eastAsia="Arial" w:hAnsi="Arial"/>
          <w:sz w:val="16"/>
          <w:szCs w:val="16"/>
          <w:color w:val="auto"/>
        </w:rPr>
        <w:t>The potential utility of AXS-05 in TRD is supported by DM's mechanisms of action which encompass those of several currently marketed antidepressant drugs, and the established efficacy of bupropion as an antidepressant. DM administration has also resulted in dose-dependent antidepressant-like effects in two widely used preclinical models of antidepressant effect. Preliminary clinical evidence with DM and an inhibitor of its metabolism also supports the rationale of using AXS-05 in TRD. Administration of DM with quinidine, which inhibits DM metabolism, significantly reduced depressive symptoms in patients with pseudobulbar affect, as shown in a third-party study. The plasma concentrations of DM achieved with AXS-05 in our Phase 1 trials are in the range of those associated with the DM and quinidine dose that resulted in a reduction in depressive symptoms, based on data published by the FDA.</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Agitation in Patients with Alzheimer's Disease</w:t>
      </w:r>
    </w:p>
    <w:p>
      <w:pPr>
        <w:spacing w:after="0" w:line="224"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We intend to develop AXS-05 for the treatment of agitation in patients with AD, and plan to request a meeting with the FDA in 2016 to discuss our development plans. There is currently no FDA-approved pharmacological treatment for the indication of agitation in patients with AD. Agitation in patients with AD has been associated with increased caregiver burden, decreased functioning, earlier nursing home placement, and death. It has been estimated that AD afflicts approximately 5 million individuals in the United States, with agitation being reported in as many as 40% of those afflicted.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31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83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firstLine="341"/>
        <w:spacing w:after="0" w:line="311" w:lineRule="auto"/>
        <w:rPr>
          <w:sz w:val="20"/>
          <w:szCs w:val="20"/>
          <w:color w:val="auto"/>
        </w:rPr>
      </w:pPr>
      <w:r>
        <w:rPr>
          <w:rFonts w:ascii="Arial" w:cs="Arial" w:eastAsia="Arial" w:hAnsi="Arial"/>
          <w:sz w:val="15"/>
          <w:szCs w:val="15"/>
          <w:color w:val="auto"/>
        </w:rPr>
        <w:t>Preliminary clinical evidence with DM and an inhibitor of its metabolism supports the rationale of using AXS-05 for the treatment of agitation in patients with AD. Administration of DM with quinidine, which inhibits DM metabolism, significantly reduced agitation in patients with probable AD, as shown in a randomized, double-blind, placebo-controlled, third-party clinical trial. The plasma concentrations of DM achieved with AXS-05 in our Phase 1 trials are in the range of those associated with the DM and quinidine doses that resulted in a reduction in agitation in patients with probable AD, based on data published by the FDA.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Team</w:t>
      </w:r>
    </w:p>
    <w:p>
      <w:pPr>
        <w:spacing w:after="0" w:line="228" w:lineRule="exact"/>
        <w:rPr>
          <w:sz w:val="20"/>
          <w:szCs w:val="20"/>
          <w:color w:val="auto"/>
        </w:rPr>
      </w:pPr>
    </w:p>
    <w:p>
      <w:pPr>
        <w:ind w:left="240" w:firstLine="341"/>
        <w:spacing w:after="0" w:line="278" w:lineRule="auto"/>
        <w:rPr>
          <w:sz w:val="20"/>
          <w:szCs w:val="20"/>
          <w:color w:val="auto"/>
        </w:rPr>
      </w:pPr>
      <w:r>
        <w:rPr>
          <w:rFonts w:ascii="Arial" w:cs="Arial" w:eastAsia="Arial" w:hAnsi="Arial"/>
          <w:sz w:val="16"/>
          <w:szCs w:val="16"/>
          <w:color w:val="auto"/>
        </w:rPr>
        <w:t>Our management and scientific teams possess considerable experience in clinical development and regulatory matters. Our founder, Chief Executive Officer and Chairman of the Board, Dr. Herriot Tabuteau, is uniquely suited to guide Axsome in strategic planning and operational and commercial matters as a result of his medical background and his extensive investment experience in the healthcare field. Our Chief Medical Officer, Dr. Randall Kaye, has more than 20 years of clinical, regulatory, and medical affairs leadership experience, most recently as Chief Medical Officer of Avanir Pharmaceuticals, Inc., where his efforts culminated in the approval and launch of Nuedexta, a DM / quinidine combination product. Dr. Robert Niecestro, our Head of Regulatory, has more than 25 years of experience in regulatory affairs and project management. His leadership has resulted in the approval of 11 new drug applications and the successful filing of over 45 investigational new drug applications over the course of his career. We also benefit from the significant executive, financial, and medical expertise of the members of our board of directors, as well as the key scientific, clinical, and strategic guidance of our scientific advisors. Our Depression Scientific Advisory Board includes leading experts i the areas of depression, FDA regulations, and CNS clinical trial design. We also benefit from the guidance of our other scientific advisors in the areas of CRPS, knee OA, CLBP, and pain clinical trial design.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ind w:left="240" w:right="20" w:firstLine="341"/>
        <w:spacing w:after="0" w:line="287" w:lineRule="auto"/>
        <w:rPr>
          <w:sz w:val="20"/>
          <w:szCs w:val="20"/>
          <w:color w:val="auto"/>
        </w:rPr>
      </w:pPr>
      <w:r>
        <w:rPr>
          <w:rFonts w:ascii="Arial" w:cs="Arial" w:eastAsia="Arial" w:hAnsi="Arial"/>
          <w:sz w:val="16"/>
          <w:szCs w:val="16"/>
          <w:color w:val="auto"/>
        </w:rPr>
        <w:t>Our business and our ability to implement our business strategy are subject to numerous risks and uncertainties, as more fully described in the section entitled "Risk Factors" beginning on page 13. You should read these risks before you decide to invest in our common stock. If any of these risks actually occurs, our business financial condition, results of operations, or prospects would likely be materially and adversely affected. In such case, the trading price of our common stock would likely decline, and you may lose all or part of your investment. The following is a summary of some of the principal risks we face:</w:t>
      </w:r>
    </w:p>
    <w:p>
      <w:pPr>
        <w:spacing w:after="0" w:line="195" w:lineRule="exact"/>
        <w:rPr>
          <w:sz w:val="20"/>
          <w:szCs w:val="20"/>
          <w:color w:val="auto"/>
        </w:rPr>
      </w:pPr>
    </w:p>
    <w:p>
      <w:pPr>
        <w:ind w:left="1280" w:right="16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anticipate that we will incur substantial and increasing losses for the foreseeable future, and may never achieve or maintain profitability.</w:t>
      </w:r>
    </w:p>
    <w:p>
      <w:pPr>
        <w:spacing w:after="0" w:line="182" w:lineRule="exact"/>
        <w:rPr>
          <w:rFonts w:ascii="Arial" w:cs="Arial" w:eastAsia="Arial" w:hAnsi="Arial"/>
          <w:sz w:val="17"/>
          <w:szCs w:val="17"/>
          <w:color w:val="auto"/>
        </w:rPr>
      </w:pPr>
    </w:p>
    <w:p>
      <w:pPr>
        <w:ind w:left="1280" w:right="160" w:hanging="524"/>
        <w:spacing w:after="0" w:line="270"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additional funding to conduct our future clinical trials and to complete development and commercialization of our product candidates. Even if this offering is successful, if we are unable to raise capital when needed, we would be forced to delay, reduce, or eliminate our product development programs or commercialization efforts.</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a limited operating history and no history of commercializing products, which may make it difficult to evaluate our business and prospects.</w:t>
      </w:r>
    </w:p>
    <w:p>
      <w:pPr>
        <w:spacing w:after="0" w:line="273" w:lineRule="exact"/>
        <w:rPr>
          <w:rFonts w:ascii="Arial" w:cs="Arial" w:eastAsia="Arial" w:hAnsi="Arial"/>
          <w:sz w:val="15"/>
          <w:szCs w:val="15"/>
          <w:color w:val="auto"/>
        </w:rPr>
      </w:pPr>
    </w:p>
    <w:p>
      <w:pPr>
        <w:ind w:left="1280" w:right="40" w:hanging="524"/>
        <w:spacing w:after="0" w:line="315"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substantially dependent on the success of our lead product candidates, AXS-02 and AXS-05, and cannot guarantee that these product candidat will successfully complete our planned Phase 3 clinical trials, receive regulatory approval, or be successfully commercialized.</w:t>
      </w:r>
    </w:p>
    <w:p>
      <w:pPr>
        <w:spacing w:after="0" w:line="159"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safety and efficacy data for our product candidates or a reference listed drug does not satisfactorily demonstrate safety and efficacy to the FDA or if the FDA and other regulators do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64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626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line="282" w:lineRule="auto"/>
        <w:rPr>
          <w:sz w:val="20"/>
          <w:szCs w:val="20"/>
          <w:color w:val="auto"/>
        </w:rPr>
      </w:pPr>
      <w:r>
        <w:rPr>
          <w:rFonts w:ascii="Arial" w:cs="Arial" w:eastAsia="Arial" w:hAnsi="Arial"/>
          <w:sz w:val="17"/>
          <w:szCs w:val="17"/>
          <w:color w:val="auto"/>
        </w:rPr>
        <w:t>not permit us to rely on the data of a reference listed drug or published literature, we may incur additional costs or experience delays in completing, or ultimately be unable to complete, the development and commercialization of these product candidates.</w:t>
      </w:r>
    </w:p>
    <w:p>
      <w:pPr>
        <w:spacing w:after="0" w:line="196" w:lineRule="exact"/>
        <w:rPr>
          <w:sz w:val="20"/>
          <w:szCs w:val="20"/>
          <w:color w:val="auto"/>
        </w:rPr>
      </w:pPr>
    </w:p>
    <w:p>
      <w:pPr>
        <w:ind w:left="1280" w:right="36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82" w:lineRule="exact"/>
        <w:rPr>
          <w:rFonts w:ascii="Arial" w:cs="Arial" w:eastAsia="Arial" w:hAnsi="Arial"/>
          <w:sz w:val="17"/>
          <w:szCs w:val="17"/>
          <w:color w:val="auto"/>
        </w:rPr>
      </w:pPr>
    </w:p>
    <w:p>
      <w:pPr>
        <w:ind w:left="1280" w:right="240" w:hanging="524"/>
        <w:spacing w:after="0" w:line="270"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9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It is difficult and costly to protect our proprietary rights and as a result we may not be able to ensure their protection. In addition, patents have a limite lifespan and will eventually expire.</w:t>
      </w:r>
    </w:p>
    <w:p>
      <w:pPr>
        <w:spacing w:after="0" w:line="196" w:lineRule="exact"/>
        <w:rPr>
          <w:rFonts w:ascii="Arial" w:cs="Arial" w:eastAsia="Arial" w:hAnsi="Arial"/>
          <w:sz w:val="17"/>
          <w:szCs w:val="17"/>
          <w:color w:val="auto"/>
        </w:rPr>
      </w:pPr>
    </w:p>
    <w:p>
      <w:pPr>
        <w:ind w:left="1280" w:right="100" w:hanging="524"/>
        <w:spacing w:after="0" w:line="352" w:lineRule="auto"/>
        <w:tabs>
          <w:tab w:leader="none" w:pos="1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fail to comply with federal and state healthcare laws, including fraud and abuse and health and other information privacy and security laws, we could face substantial penalties and our business, financial condition, results of operations, and prospects could be adversely affected.</w:t>
      </w:r>
    </w:p>
    <w:p>
      <w:pPr>
        <w:spacing w:after="0" w:line="136" w:lineRule="exact"/>
        <w:rPr>
          <w:rFonts w:ascii="Arial" w:cs="Arial" w:eastAsia="Arial" w:hAnsi="Arial"/>
          <w:sz w:val="15"/>
          <w:szCs w:val="15"/>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need to significantly increase the size of our organization, and we may experience difficulties in managing growth.</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is no established public market for our common stock and a public market may not be obtained or be liquid and therefore you may not be able t sell your shares.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firstLine="338"/>
        <w:spacing w:after="0" w:line="265" w:lineRule="auto"/>
        <w:rPr>
          <w:sz w:val="20"/>
          <w:szCs w:val="20"/>
          <w:color w:val="auto"/>
        </w:rPr>
      </w:pPr>
      <w:r>
        <w:rPr>
          <w:rFonts w:ascii="Arial" w:cs="Arial" w:eastAsia="Arial" w:hAnsi="Arial"/>
          <w:sz w:val="17"/>
          <w:szCs w:val="17"/>
          <w:color w:val="auto"/>
        </w:rPr>
        <w:t>We were incorporated under the laws of the State of Delaware in January 2012. Our offices are located at 25 Broadway, New York, New York 10004,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 purchase our common stock.</w:t>
      </w:r>
    </w:p>
    <w:p>
      <w:pPr>
        <w:spacing w:after="0" w:line="185" w:lineRule="exact"/>
        <w:rPr>
          <w:sz w:val="20"/>
          <w:szCs w:val="20"/>
          <w:color w:val="auto"/>
        </w:rPr>
      </w:pPr>
    </w:p>
    <w:p>
      <w:pPr>
        <w:ind w:left="240" w:firstLine="338"/>
        <w:spacing w:after="0" w:line="265" w:lineRule="auto"/>
        <w:rPr>
          <w:sz w:val="20"/>
          <w:szCs w:val="20"/>
          <w:color w:val="auto"/>
        </w:rPr>
      </w:pPr>
      <w:r>
        <w:rPr>
          <w:rFonts w:ascii="Arial" w:cs="Arial" w:eastAsia="Arial" w:hAnsi="Arial"/>
          <w:sz w:val="17"/>
          <w:szCs w:val="17"/>
          <w:color w:val="auto"/>
        </w:rPr>
        <w:t>We have proprietary rights to a number of trademarks used in this prospectus which are important to our business, including "Axsome Therapeutics."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 appearing in this prospectus are the property of their respective owners.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28" w:lineRule="exact"/>
        <w:rPr>
          <w:sz w:val="20"/>
          <w:szCs w:val="20"/>
          <w:color w:val="auto"/>
        </w:rPr>
      </w:pPr>
    </w:p>
    <w:p>
      <w:pPr>
        <w:ind w:left="240" w:firstLine="338"/>
        <w:spacing w:after="0" w:line="352"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An emerging growth company may tak advantage of relief from certain reporting requirements and other burdens that are otherwise generally applicable to public companies. These provisions include:</w:t>
      </w:r>
    </w:p>
    <w:p>
      <w:pPr>
        <w:spacing w:after="0" w:line="150" w:lineRule="exact"/>
        <w:rPr>
          <w:sz w:val="20"/>
          <w:szCs w:val="20"/>
          <w:color w:val="auto"/>
        </w:rPr>
      </w:pPr>
    </w:p>
    <w:p>
      <w:pPr>
        <w:ind w:left="1280" w:right="44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202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220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requirements for non-binding advisory votes on executive compensation or golden parachute arrangements.</w:t>
      </w:r>
    </w:p>
    <w:p>
      <w:pPr>
        <w:spacing w:after="0" w:line="224" w:lineRule="exact"/>
        <w:rPr>
          <w:sz w:val="20"/>
          <w:szCs w:val="20"/>
          <w:color w:val="auto"/>
        </w:rPr>
      </w:pPr>
    </w:p>
    <w:p>
      <w:pPr>
        <w:ind w:left="240" w:firstLine="338"/>
        <w:spacing w:after="0" w:line="279" w:lineRule="auto"/>
        <w:rPr>
          <w:sz w:val="20"/>
          <w:szCs w:val="20"/>
          <w:color w:val="auto"/>
        </w:rPr>
      </w:pPr>
      <w:r>
        <w:rPr>
          <w:rFonts w:ascii="Arial" w:cs="Arial" w:eastAsia="Arial" w:hAnsi="Arial"/>
          <w:sz w:val="16"/>
          <w:szCs w:val="16"/>
          <w:color w:val="auto"/>
        </w:rPr>
        <w:t>We may take advantage of these provisions for up to five years or such earlier time that we no longer qualify as an emerging growth company. We would cease t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reporting requirements and other burdens. For example, we have taken advantage of the reduced reporting requirements with respect to disclosure regarding our executive compensation arrangements, have presented only two years of audited consolidated financial statements, have presented reduced "Management's Discussio and Analysis of Financial Condition and Results of Operations" disclosure, and have taken the exemption from auditor attestation on the effectiveness of our internal controls over financial reporting. To the extent that we take advantage of these reduced reporting requirements, the information that we provide stockholders may be different than you might obtain from other public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6347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634746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right="100" w:hanging="174"/>
        <w:spacing w:after="0" w:line="282" w:lineRule="auto"/>
        <w:rPr>
          <w:sz w:val="20"/>
          <w:szCs w:val="20"/>
          <w:color w:val="auto"/>
        </w:rPr>
      </w:pPr>
      <w:r>
        <w:rPr>
          <w:rFonts w:ascii="Arial" w:cs="Arial" w:eastAsia="Arial" w:hAnsi="Arial"/>
          <w:sz w:val="17"/>
          <w:szCs w:val="17"/>
          <w:color w:val="auto"/>
        </w:rPr>
        <w:t>Common stock offered by us</w:t>
      </w:r>
    </w:p>
    <w:p>
      <w:pPr>
        <w:spacing w:after="0" w:line="170" w:lineRule="exact"/>
        <w:rPr>
          <w:sz w:val="20"/>
          <w:szCs w:val="20"/>
          <w:color w:val="auto"/>
        </w:rPr>
      </w:pPr>
    </w:p>
    <w:p>
      <w:pPr>
        <w:ind w:left="400" w:right="20" w:hanging="174"/>
        <w:spacing w:after="0" w:line="322" w:lineRule="auto"/>
        <w:rPr>
          <w:sz w:val="20"/>
          <w:szCs w:val="20"/>
          <w:color w:val="auto"/>
        </w:rPr>
      </w:pPr>
      <w:r>
        <w:rPr>
          <w:rFonts w:ascii="Arial" w:cs="Arial" w:eastAsia="Arial" w:hAnsi="Arial"/>
          <w:sz w:val="15"/>
          <w:szCs w:val="15"/>
          <w:color w:val="auto"/>
        </w:rPr>
        <w:t>Common stock to be outstanding immediately after this offering</w:t>
      </w:r>
    </w:p>
    <w:p>
      <w:pPr>
        <w:spacing w:after="0" w:line="145" w:lineRule="exact"/>
        <w:rPr>
          <w:sz w:val="20"/>
          <w:szCs w:val="20"/>
          <w:color w:val="auto"/>
        </w:rPr>
      </w:pPr>
    </w:p>
    <w:p>
      <w:pPr>
        <w:jc w:val="right"/>
        <w:ind w:left="240" w:right="560"/>
        <w:spacing w:after="0" w:line="352" w:lineRule="auto"/>
        <w:rPr>
          <w:sz w:val="20"/>
          <w:szCs w:val="20"/>
          <w:color w:val="auto"/>
        </w:rPr>
      </w:pPr>
      <w:r>
        <w:rPr>
          <w:rFonts w:ascii="Arial" w:cs="Arial" w:eastAsia="Arial" w:hAnsi="Arial"/>
          <w:sz w:val="15"/>
          <w:szCs w:val="15"/>
          <w:color w:val="auto"/>
        </w:rPr>
        <w:t>Option to purchase additional shares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Risk factors</w:t>
      </w: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Proposed</w:t>
      </w:r>
    </w:p>
    <w:p>
      <w:pPr>
        <w:spacing w:after="0" w:line="20" w:lineRule="exact"/>
        <w:rPr>
          <w:sz w:val="20"/>
          <w:szCs w:val="20"/>
          <w:color w:val="auto"/>
        </w:rPr>
      </w:pPr>
    </w:p>
    <w:p>
      <w:pPr>
        <w:ind w:left="400"/>
        <w:spacing w:after="0" w:line="275" w:lineRule="auto"/>
        <w:rPr>
          <w:sz w:val="20"/>
          <w:szCs w:val="20"/>
          <w:color w:val="auto"/>
        </w:rPr>
      </w:pPr>
      <w:r>
        <w:rPr>
          <w:rFonts w:ascii="Arial" w:cs="Arial" w:eastAsia="Arial" w:hAnsi="Arial"/>
          <w:sz w:val="17"/>
          <w:szCs w:val="17"/>
          <w:color w:val="auto"/>
        </w:rPr>
        <w:t>NASDAQ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50"/>
        <w:spacing w:after="0"/>
        <w:rPr>
          <w:sz w:val="20"/>
          <w:szCs w:val="20"/>
          <w:color w:val="auto"/>
        </w:rPr>
      </w:pPr>
      <w:r>
        <w:rPr>
          <w:rFonts w:ascii="Arial" w:cs="Arial" w:eastAsia="Arial" w:hAnsi="Arial"/>
          <w:sz w:val="17"/>
          <w:szCs w:val="17"/>
          <w:b w:val="1"/>
          <w:bCs w:val="1"/>
          <w:color w:val="auto"/>
        </w:rPr>
        <w:t>The Offering</w:t>
      </w:r>
    </w:p>
    <w:p>
      <w:pPr>
        <w:spacing w:after="0" w:line="200" w:lineRule="exact"/>
        <w:rPr>
          <w:sz w:val="20"/>
          <w:szCs w:val="20"/>
          <w:color w:val="auto"/>
        </w:rPr>
      </w:pPr>
    </w:p>
    <w:p>
      <w:pPr>
        <w:spacing w:after="0" w:line="238" w:lineRule="exact"/>
        <w:rPr>
          <w:sz w:val="20"/>
          <w:szCs w:val="20"/>
          <w:color w:val="auto"/>
        </w:rPr>
      </w:pPr>
    </w:p>
    <w:p>
      <w:pPr>
        <w:ind w:left="51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0"/>
        <w:spacing w:after="0"/>
        <w:rPr>
          <w:sz w:val="20"/>
          <w:szCs w:val="20"/>
          <w:color w:val="auto"/>
        </w:rPr>
      </w:pPr>
      <w:r>
        <w:rPr>
          <w:rFonts w:ascii="Arial" w:cs="Arial" w:eastAsia="Arial" w:hAnsi="Arial"/>
          <w:sz w:val="17"/>
          <w:szCs w:val="17"/>
          <w:color w:val="auto"/>
        </w:rPr>
        <w:t>shares</w:t>
      </w:r>
    </w:p>
    <w:p>
      <w:pPr>
        <w:spacing w:after="0" w:line="224" w:lineRule="exact"/>
        <w:rPr>
          <w:sz w:val="20"/>
          <w:szCs w:val="20"/>
          <w:color w:val="auto"/>
        </w:rPr>
      </w:pPr>
    </w:p>
    <w:p>
      <w:pPr>
        <w:ind w:left="10"/>
        <w:spacing w:after="0"/>
        <w:rPr>
          <w:sz w:val="20"/>
          <w:szCs w:val="20"/>
          <w:color w:val="auto"/>
        </w:rPr>
      </w:pPr>
      <w:r>
        <w:rPr>
          <w:rFonts w:ascii="Arial" w:cs="Arial" w:eastAsia="Arial" w:hAnsi="Arial"/>
          <w:sz w:val="16"/>
          <w:szCs w:val="16"/>
          <w:color w:val="auto"/>
        </w:rPr>
        <w:t>We have granted the underwriters an option, exercisable for 30 days from the date of this prospectus, to purchase up to an</w:t>
      </w:r>
    </w:p>
    <w:p>
      <w:pPr>
        <w:spacing w:after="0" w:line="32" w:lineRule="exact"/>
        <w:rPr>
          <w:sz w:val="20"/>
          <w:szCs w:val="20"/>
          <w:color w:val="auto"/>
        </w:rPr>
      </w:pPr>
    </w:p>
    <w:p>
      <w:pPr>
        <w:ind w:left="10"/>
        <w:spacing w:after="0"/>
        <w:tabs>
          <w:tab w:leader="none" w:pos="1169" w:val="left"/>
        </w:tabs>
        <w:rPr>
          <w:sz w:val="20"/>
          <w:szCs w:val="20"/>
          <w:color w:val="auto"/>
        </w:rPr>
      </w:pPr>
      <w:r>
        <w:rPr>
          <w:rFonts w:ascii="Arial" w:cs="Arial" w:eastAsia="Arial" w:hAnsi="Arial"/>
          <w:sz w:val="17"/>
          <w:szCs w:val="17"/>
          <w:color w:val="auto"/>
        </w:rPr>
        <w:t>additional</w:t>
      </w:r>
      <w:r>
        <w:rPr>
          <w:sz w:val="20"/>
          <w:szCs w:val="20"/>
          <w:color w:val="auto"/>
        </w:rPr>
        <w:tab/>
      </w:r>
      <w:r>
        <w:rPr>
          <w:rFonts w:ascii="Arial" w:cs="Arial" w:eastAsia="Arial" w:hAnsi="Arial"/>
          <w:sz w:val="17"/>
          <w:szCs w:val="17"/>
          <w:color w:val="auto"/>
        </w:rPr>
        <w:t>shares from us to cover over-allotments.</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16"/>
          <w:szCs w:val="16"/>
          <w:color w:val="auto"/>
        </w:rPr>
        <w:t>We estimate that the net proceeds to us from this offering, after deducting estimated underwriting discounts and commissions and</w:t>
      </w:r>
    </w:p>
    <w:p>
      <w:pPr>
        <w:spacing w:after="0" w:line="32" w:lineRule="exact"/>
        <w:rPr>
          <w:sz w:val="20"/>
          <w:szCs w:val="20"/>
          <w:color w:val="auto"/>
        </w:rPr>
      </w:pPr>
    </w:p>
    <w:p>
      <w:pPr>
        <w:ind w:left="10"/>
        <w:spacing w:after="0"/>
        <w:tabs>
          <w:tab w:leader="none" w:pos="5129" w:val="left"/>
        </w:tabs>
        <w:rPr>
          <w:sz w:val="20"/>
          <w:szCs w:val="20"/>
          <w:color w:val="auto"/>
        </w:rPr>
      </w:pPr>
      <w:r>
        <w:rPr>
          <w:rFonts w:ascii="Arial" w:cs="Arial" w:eastAsia="Arial" w:hAnsi="Arial"/>
          <w:sz w:val="17"/>
          <w:szCs w:val="17"/>
          <w:color w:val="auto"/>
        </w:rPr>
        <w:t>estimated offering expenses payable by us, will be approximately $</w:t>
      </w:r>
      <w:r>
        <w:rPr>
          <w:sz w:val="20"/>
          <w:szCs w:val="20"/>
          <w:color w:val="auto"/>
        </w:rPr>
        <w:tab/>
      </w:r>
      <w:r>
        <w:rPr>
          <w:rFonts w:ascii="Arial" w:cs="Arial" w:eastAsia="Arial" w:hAnsi="Arial"/>
          <w:sz w:val="16"/>
          <w:szCs w:val="16"/>
          <w:color w:val="auto"/>
        </w:rPr>
        <w:t>million, assuming an initial public offering price of</w:t>
      </w:r>
    </w:p>
    <w:p>
      <w:pPr>
        <w:spacing w:after="0" w:line="14" w:lineRule="exact"/>
        <w:rPr>
          <w:sz w:val="20"/>
          <w:szCs w:val="20"/>
          <w:color w:val="auto"/>
        </w:rPr>
      </w:pPr>
    </w:p>
    <w:p>
      <w:pPr>
        <w:ind w:left="590" w:hanging="590"/>
        <w:spacing w:after="0"/>
        <w:tabs>
          <w:tab w:leader="none" w:pos="59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w:t>
      </w:r>
    </w:p>
    <w:p>
      <w:pPr>
        <w:spacing w:after="0" w:line="218" w:lineRule="exact"/>
        <w:rPr>
          <w:sz w:val="20"/>
          <w:szCs w:val="20"/>
          <w:color w:val="auto"/>
        </w:rPr>
      </w:pPr>
    </w:p>
    <w:p>
      <w:pPr>
        <w:jc w:val="both"/>
        <w:ind w:left="10"/>
        <w:spacing w:after="0" w:line="270" w:lineRule="auto"/>
        <w:rPr>
          <w:sz w:val="20"/>
          <w:szCs w:val="20"/>
          <w:color w:val="auto"/>
        </w:rPr>
      </w:pPr>
      <w:r>
        <w:rPr>
          <w:rFonts w:ascii="Arial" w:cs="Arial" w:eastAsia="Arial" w:hAnsi="Arial"/>
          <w:sz w:val="17"/>
          <w:szCs w:val="17"/>
          <w:color w:val="auto"/>
        </w:rPr>
        <w:t>We anticipate that the majority of the net proceeds from this offering will be used to fund the ongoing clinical development of our two main product candidates, AXS-02 and AXS-05. The remaining proceeds will be used for working capital and other corporate purposes. See "Use of Proceeds" for additional information.</w:t>
      </w:r>
    </w:p>
    <w:p>
      <w:pPr>
        <w:spacing w:after="0" w:line="179" w:lineRule="exact"/>
        <w:rPr>
          <w:sz w:val="20"/>
          <w:szCs w:val="20"/>
          <w:color w:val="auto"/>
        </w:rPr>
      </w:pPr>
    </w:p>
    <w:p>
      <w:pPr>
        <w:jc w:val="both"/>
        <w:ind w:left="10"/>
        <w:spacing w:after="0" w:line="282"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 shares of our common stock.</w:t>
      </w:r>
    </w:p>
    <w:p>
      <w:pPr>
        <w:spacing w:after="0" w:line="200" w:lineRule="exact"/>
        <w:rPr>
          <w:sz w:val="20"/>
          <w:szCs w:val="20"/>
          <w:color w:val="auto"/>
        </w:rPr>
      </w:pPr>
    </w:p>
    <w:p>
      <w:pPr>
        <w:spacing w:after="0" w:line="389" w:lineRule="exact"/>
        <w:rPr>
          <w:sz w:val="20"/>
          <w:szCs w:val="20"/>
          <w:color w:val="auto"/>
        </w:rPr>
      </w:pPr>
    </w:p>
    <w:p>
      <w:pPr>
        <w:ind w:left="10"/>
        <w:spacing w:after="0"/>
        <w:rPr>
          <w:sz w:val="20"/>
          <w:szCs w:val="20"/>
          <w:color w:val="auto"/>
        </w:rPr>
      </w:pPr>
      <w:r>
        <w:rPr>
          <w:rFonts w:ascii="Arial" w:cs="Arial" w:eastAsia="Arial" w:hAnsi="Arial"/>
          <w:sz w:val="17"/>
          <w:szCs w:val="17"/>
          <w:color w:val="auto"/>
        </w:rPr>
        <w:t>AXSM</w:t>
      </w:r>
    </w:p>
    <w:p>
      <w:pPr>
        <w:spacing w:after="0" w:line="223" w:lineRule="exact"/>
        <w:rPr>
          <w:sz w:val="20"/>
          <w:szCs w:val="20"/>
          <w:color w:val="auto"/>
        </w:rPr>
      </w:pPr>
    </w:p>
    <w:p>
      <w:pPr>
        <w:sectPr>
          <w:pgSz w:w="11900" w:h="16838" w:orient="portrait"/>
          <w:cols w:equalWidth="0" w:num="2">
            <w:col w:w="2120" w:space="170"/>
            <w:col w:w="9230"/>
          </w:cols>
          <w:pgMar w:left="240" w:top="131" w:right="139" w:bottom="1440" w:gutter="0" w:footer="0" w:header="0"/>
          <w:type w:val="continuous"/>
        </w:sectPr>
      </w:pPr>
    </w:p>
    <w:p>
      <w:pPr>
        <w:jc w:val="both"/>
        <w:ind w:left="240" w:right="20" w:firstLine="338"/>
        <w:spacing w:after="0" w:line="270" w:lineRule="auto"/>
        <w:rPr>
          <w:sz w:val="20"/>
          <w:szCs w:val="20"/>
          <w:color w:val="auto"/>
        </w:rPr>
      </w:pPr>
      <w:r>
        <w:rPr>
          <w:rFonts w:ascii="Arial" w:cs="Arial" w:eastAsia="Arial" w:hAnsi="Arial"/>
          <w:sz w:val="17"/>
          <w:szCs w:val="17"/>
          <w:color w:val="auto"/>
        </w:rPr>
        <w:t>The number of shares of our common stock that will be outstanding immediately after this offering includes 1,512,449 shares of common stock outstanding as o June 30, 2015, and 317,170 shares of common stock issuable upon conversion of all currently outstanding convertible notes upon the completion of this offering. Thi calculation excludes:</w:t>
      </w:r>
    </w:p>
    <w:p>
      <w:pPr>
        <w:spacing w:after="0" w:line="205"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shares of common stock issuable upon exercise of the over-allotment option granted to the underwriters;</w:t>
      </w:r>
    </w:p>
    <w:p>
      <w:pPr>
        <w:spacing w:after="0" w:line="237" w:lineRule="exact"/>
        <w:rPr>
          <w:rFonts w:ascii="Arial" w:cs="Arial" w:eastAsia="Arial" w:hAnsi="Arial"/>
          <w:sz w:val="17"/>
          <w:szCs w:val="17"/>
          <w:color w:val="auto"/>
        </w:rPr>
      </w:pPr>
    </w:p>
    <w:p>
      <w:pPr>
        <w:ind w:left="1280" w:right="34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122,430 shares of common stock issuable upon exercise of stock options outstanding as of June 30, 2015, at a weighted average exercise price of $20.91 per share;</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31,372 shares of common stock issuable upon the exercise of outstanding warrants as of June 30, 2015, at an exercise price of $9.55 per share;</w:t>
      </w:r>
    </w:p>
    <w:p>
      <w:pPr>
        <w:spacing w:after="0" w:line="261" w:lineRule="exact"/>
        <w:rPr>
          <w:rFonts w:ascii="Arial" w:cs="Arial" w:eastAsia="Arial" w:hAnsi="Arial"/>
          <w:sz w:val="16"/>
          <w:szCs w:val="16"/>
          <w:color w:val="auto"/>
        </w:rPr>
      </w:pPr>
    </w:p>
    <w:p>
      <w:pPr>
        <w:jc w:val="both"/>
        <w:ind w:left="1280" w:hanging="524"/>
        <w:spacing w:after="0" w:line="287"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5,727 shares of common stock issuable upon the exercise of outstanding warrants as of June 30, 2015, with a current exercise price of $43.64 per shar The warrant price will automatically adjust to a 10% premium to the conversion price of the convertible notes we issued from September 2014 throug November 2014 during a mandatory conversion, defined in the notes as the occurrence of an equity financing of at least $2,000,000 in gross aggregate cash proceeds, in which the conversion price would be equal to the lesser of (1) 75% of the lowest price per share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709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370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 which shares of our equity securities are sold or (2) $39.67, as adjusted for any capitalization changes; and</w:t>
      </w:r>
    </w:p>
    <w:p>
      <w:pPr>
        <w:spacing w:after="0" w:line="250" w:lineRule="exact"/>
        <w:rPr>
          <w:sz w:val="20"/>
          <w:szCs w:val="20"/>
          <w:color w:val="auto"/>
        </w:rPr>
      </w:pPr>
    </w:p>
    <w:p>
      <w:pPr>
        <w:ind w:left="580" w:right="1980" w:firstLine="176"/>
        <w:spacing w:after="0" w:line="515" w:lineRule="auto"/>
        <w:tabs>
          <w:tab w:leader="none" w:pos="12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13,444 shares of common stock available for future grant under our 2013 Equity Compensation Plan as of June 30, 2015. Unless otherwise indicated, all information in this prospectus reflects and assumes the following:</w:t>
      </w:r>
    </w:p>
    <w:p>
      <w:pPr>
        <w:spacing w:after="0" w:line="13"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182" w:lineRule="exact"/>
        <w:rPr>
          <w:rFonts w:ascii="Arial" w:cs="Arial" w:eastAsia="Arial" w:hAnsi="Arial"/>
          <w:sz w:val="17"/>
          <w:szCs w:val="17"/>
          <w:color w:val="auto"/>
        </w:rPr>
      </w:pPr>
    </w:p>
    <w:p>
      <w:pPr>
        <w:ind w:left="1280" w:hanging="524"/>
        <w:spacing w:after="0" w:line="261"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automatic conversion upon the closing of the offering of (1) the aggregate principal amount of approximately $4.1 million and interest accrued as August 25, 2015, under our outstanding convertible notes at an assumed conversion price of $39.67 per share into 111,737 shares of common stock, and (2) the aggregate principal amount of approximately $8.7 million and interest accrued as of August 25, 2015, under our outstanding convertible notes at an assumed conversion price of $43.63 per share into 205,433 shares of common stock. The number of shares of our common stock to be issued upon conversion of the convertible notes depends on the initial public offering price of our common stock. The convertible notes will convert a a conversion price equal to the lesser of (1) 75% of the initial public offering price and (2) the respective assumed conversion price listed above, as adjusted for any capitalization changes. For a description of the convertible notes, see Note 7 to our consolidated financial statements included elsewhere in this prospectus;</w:t>
      </w:r>
    </w:p>
    <w:p>
      <w:pPr>
        <w:spacing w:after="0" w:line="213"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outstanding options or warrants after June 30, 2015;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5"/>
          <w:szCs w:val="15"/>
          <w:color w:val="auto"/>
        </w:rPr>
        <w:t>-for-one forward stock split of our common stock to be effected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4657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8" w:lineRule="exact"/>
        <w:rPr>
          <w:sz w:val="20"/>
          <w:szCs w:val="20"/>
          <w:color w:val="auto"/>
        </w:rPr>
      </w:pPr>
    </w:p>
    <w:p>
      <w:pPr>
        <w:ind w:left="240" w:firstLine="338"/>
        <w:spacing w:after="0" w:line="278" w:lineRule="auto"/>
        <w:rPr>
          <w:sz w:val="20"/>
          <w:szCs w:val="20"/>
          <w:color w:val="auto"/>
        </w:rPr>
      </w:pPr>
      <w:r>
        <w:rPr>
          <w:rFonts w:ascii="Arial" w:cs="Arial" w:eastAsia="Arial" w:hAnsi="Arial"/>
          <w:sz w:val="16"/>
          <w:szCs w:val="16"/>
          <w:color w:val="auto"/>
        </w:rPr>
        <w:t>The following table summarizes our consolidated financial data. We have derived the following consolidated statements of operations data for the years ended December 31, 2013 and 2014 from our audited consolidated financial statements, included elsewhere in this prospectus. We have derived the consolidated statements of operations data for the six months ended June 30, 2014 and 2015, and the consolidated balance sheet data as of June 30, 2015, from our unaudited consolidated financial statements included elsewhere in this prospectus. The unaudited consolidated financial data include, in the opinion of management, all adjustments, consisting of normal recurring adjustments, that are necessary for a fair statement of our consolidated financial position and results of operations for these periods. O historical results for any prior period are not necessarily indicative of results to be expected in any future period, and our results for any interim period are not necessarily indicative of the results to be expected for a full fiscal year. The following summary consolidated financial data should be read in conjunction with the information under "Selected Consolidated Financial Data," "Management's Discussion and Analysis of Financial Condition and Results of Operations" and our consolidated financial statements and related notes included elsewhere in this 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8"/>
          </w:tcPr>
          <w:p>
            <w:pPr>
              <w:jc w:val="center"/>
              <w:ind w:right="132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center"/>
              <w:ind w:left="560"/>
              <w:spacing w:after="0"/>
              <w:rPr>
                <w:sz w:val="20"/>
                <w:szCs w:val="20"/>
                <w:color w:val="auto"/>
              </w:rPr>
            </w:pPr>
            <w:r>
              <w:rPr>
                <w:rFonts w:ascii="Arial" w:cs="Arial" w:eastAsia="Arial" w:hAnsi="Arial"/>
                <w:sz w:val="13"/>
                <w:szCs w:val="13"/>
                <w:b w:val="1"/>
                <w:bCs w:val="1"/>
                <w:color w:val="auto"/>
                <w:w w:val="88"/>
              </w:rPr>
              <w:t>June 30,</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9"/>
              <w:spacing w:after="0" w:line="138"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gridSpan w:val="8"/>
          </w:tcPr>
          <w:p>
            <w:pPr>
              <w:ind w:left="56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1,535,255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4,279,200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1,630,149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3,044,677</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1,392,830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396,784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973,250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1,839,438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5,672,030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2,026,933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4,017,927</w:t>
            </w:r>
          </w:p>
        </w:tc>
        <w:tc>
          <w:tcPr>
            <w:tcW w:w="16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138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(1,839,438)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(5,672,030)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(2,026,933)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5"/>
              </w:rPr>
              <w:t>(4,017,927)</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w w:val="98"/>
              </w:rPr>
              <w:t>Interest and amortization of debt discount/premium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(327,192)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2,233,338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455,525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(339,843)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Tax credit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184,139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184,139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warrant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(57,106)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17,442</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Change in fair value of embedded derivative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182,000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70,800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Loss on extinguishment of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(2,870,903)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(2,870,903)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1380"/>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(2,166,630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(6,000,562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(4,258,172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(4,269,528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2"/>
              </w:rPr>
              <w:t>Weighted average basic and diluted common shares outstanding</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1,047,120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1,238,915</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1,065,027</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1,512,449</w:t>
            </w:r>
          </w:p>
        </w:tc>
        <w:tc>
          <w:tcPr>
            <w:tcW w:w="16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1380"/>
              <w:spacing w:after="0"/>
              <w:rPr>
                <w:sz w:val="20"/>
                <w:szCs w:val="20"/>
                <w:color w:val="auto"/>
              </w:rPr>
            </w:pPr>
            <w:r>
              <w:rPr>
                <w:rFonts w:ascii="Arial" w:cs="Arial" w:eastAsia="Arial" w:hAnsi="Arial"/>
                <w:sz w:val="17"/>
                <w:szCs w:val="17"/>
                <w:color w:val="auto"/>
              </w:rPr>
              <w:t>Net loss per common share—basic and diluted</w:t>
            </w: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highlight w:val="white"/>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(2.82)</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gridSpan w:val="2"/>
          </w:tcPr>
          <w:p>
            <w:pPr>
              <w:jc w:val="right"/>
              <w:ind w:right="55"/>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49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464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4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As of June 30, 2015</w:t>
            </w:r>
          </w:p>
        </w:tc>
        <w:tc>
          <w:tcPr>
            <w:tcW w:w="1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0"/>
        </w:trPr>
        <w:tc>
          <w:tcPr>
            <w:tcW w:w="4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0"/>
                <w:szCs w:val="10"/>
                <w:color w:val="auto"/>
              </w:rPr>
            </w:pPr>
          </w:p>
        </w:tc>
      </w:tr>
      <w:tr>
        <w:trPr>
          <w:trHeight w:val="188"/>
        </w:trPr>
        <w:tc>
          <w:tcPr>
            <w:tcW w:w="4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Actual</w:t>
            </w:r>
          </w:p>
        </w:tc>
        <w:tc>
          <w:tcPr>
            <w:tcW w:w="40" w:type="dxa"/>
            <w:vAlign w:val="bottom"/>
          </w:tcPr>
          <w:p>
            <w:pPr>
              <w:spacing w:after="0"/>
              <w:rPr>
                <w:sz w:val="16"/>
                <w:szCs w:val="16"/>
                <w:color w:val="auto"/>
              </w:rPr>
            </w:pPr>
          </w:p>
        </w:tc>
        <w:tc>
          <w:tcPr>
            <w:tcW w:w="1140" w:type="dxa"/>
            <w:vAlign w:val="bottom"/>
            <w:gridSpan w:val="2"/>
          </w:tcPr>
          <w:p>
            <w:pPr>
              <w:ind w:left="140"/>
              <w:spacing w:after="0" w:line="188"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(1)</w:t>
            </w:r>
          </w:p>
        </w:tc>
        <w:tc>
          <w:tcPr>
            <w:tcW w:w="1340" w:type="dxa"/>
            <w:vAlign w:val="bottom"/>
            <w:gridSpan w:val="2"/>
          </w:tcPr>
          <w:p>
            <w:pPr>
              <w:jc w:val="center"/>
              <w:ind w:right="140"/>
              <w:spacing w:after="0" w:line="188" w:lineRule="exact"/>
              <w:rPr>
                <w:sz w:val="20"/>
                <w:szCs w:val="20"/>
                <w:color w:val="auto"/>
              </w:rPr>
            </w:pPr>
            <w:r>
              <w:rPr>
                <w:rFonts w:ascii="Arial" w:cs="Arial" w:eastAsia="Arial" w:hAnsi="Arial"/>
                <w:sz w:val="13"/>
                <w:szCs w:val="13"/>
                <w:b w:val="1"/>
                <w:bCs w:val="1"/>
                <w:color w:val="auto"/>
                <w:w w:val="83"/>
              </w:rPr>
              <w:t>as adjusted</w:t>
            </w:r>
            <w:r>
              <w:rPr>
                <w:rFonts w:ascii="Arial" w:cs="Arial" w:eastAsia="Arial" w:hAnsi="Arial"/>
                <w:sz w:val="21"/>
                <w:szCs w:val="21"/>
                <w:b w:val="1"/>
                <w:bCs w:val="1"/>
                <w:color w:val="auto"/>
                <w:w w:val="83"/>
                <w:vertAlign w:val="superscript"/>
              </w:rPr>
              <w:t>(2)(3)</w:t>
            </w:r>
          </w:p>
        </w:tc>
      </w:tr>
      <w:tr>
        <w:trPr>
          <w:trHeight w:val="137"/>
        </w:trPr>
        <w:tc>
          <w:tcPr>
            <w:tcW w:w="4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center"/>
              <w:ind w:left="114"/>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Borders>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8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Cash</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   6,414,273</w:t>
            </w:r>
          </w:p>
        </w:tc>
        <w:tc>
          <w:tcPr>
            <w:tcW w:w="100" w:type="dxa"/>
            <w:vAlign w:val="bottom"/>
          </w:tcPr>
          <w:p>
            <w:pPr>
              <w:spacing w:after="0"/>
              <w:rPr>
                <w:sz w:val="18"/>
                <w:szCs w:val="18"/>
                <w:color w:val="auto"/>
              </w:rPr>
            </w:pPr>
          </w:p>
        </w:tc>
        <w:tc>
          <w:tcPr>
            <w:tcW w:w="1040" w:type="dxa"/>
            <w:vAlign w:val="bottom"/>
            <w:gridSpan w:val="2"/>
          </w:tcPr>
          <w:p>
            <w:pPr>
              <w:jc w:val="right"/>
              <w:ind w:right="8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tcPr>
          <w:p>
            <w:pPr>
              <w:jc w:val="right"/>
              <w:ind w:right="100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6,875,107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1,529,643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Convertible notes, net of discounts, non-current portion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10,908,831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Interest payable, non-current portion</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362,963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Embedded derivative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1,285,600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1960" w:type="dxa"/>
            <w:vAlign w:val="bottom"/>
            <w:gridSpan w:val="3"/>
          </w:tcPr>
          <w:p>
            <w:pPr>
              <w:jc w:val="right"/>
              <w:ind w:right="60"/>
              <w:spacing w:after="0"/>
              <w:rPr>
                <w:sz w:val="20"/>
                <w:szCs w:val="20"/>
                <w:color w:val="auto"/>
              </w:rPr>
            </w:pPr>
            <w:r>
              <w:rPr>
                <w:rFonts w:ascii="Arial" w:cs="Arial" w:eastAsia="Arial" w:hAnsi="Arial"/>
                <w:sz w:val="17"/>
                <w:szCs w:val="17"/>
                <w:color w:val="auto"/>
              </w:rPr>
              <w:t>(7,211,930)</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21" w:lineRule="exact"/>
        <w:rPr>
          <w:sz w:val="20"/>
          <w:szCs w:val="20"/>
          <w:color w:val="auto"/>
        </w:rPr>
      </w:pPr>
    </w:p>
    <w:p>
      <w:pPr>
        <w:ind w:left="1900" w:hanging="526"/>
        <w:spacing w:after="0"/>
        <w:tabs>
          <w:tab w:leader="none" w:pos="1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 forma amounts reflect (a) the automatic conversion of all of our outstanding convertible notes, together with any accrued and unpaid</w:t>
      </w:r>
    </w:p>
    <w:p>
      <w:pPr>
        <w:spacing w:after="0" w:line="43" w:lineRule="exact"/>
        <w:rPr>
          <w:sz w:val="20"/>
          <w:szCs w:val="20"/>
          <w:color w:val="auto"/>
        </w:rPr>
      </w:pPr>
    </w:p>
    <w:p>
      <w:pPr>
        <w:ind w:left="1900" w:right="20"/>
        <w:spacing w:after="0" w:line="273" w:lineRule="auto"/>
        <w:rPr>
          <w:sz w:val="20"/>
          <w:szCs w:val="20"/>
          <w:color w:val="auto"/>
        </w:rPr>
      </w:pPr>
      <w:r>
        <w:rPr>
          <w:rFonts w:ascii="Arial" w:cs="Arial" w:eastAsia="Arial" w:hAnsi="Arial"/>
          <w:sz w:val="16"/>
          <w:szCs w:val="16"/>
          <w:color w:val="auto"/>
        </w:rPr>
        <w:t>interest thereon, into an aggregate of shares of our common stock upon the closing of this offering, assuming an initial public offering price of $ per share (the midpoint of the price range set forth on the cover page of this prospectus), and (b) in conjunction with the conversion of the convertible notes: (i) the accelerated amortization of $ of unamortized debt discount and $ of unamortized de</w:t>
      </w:r>
    </w:p>
    <w:p>
      <w:pPr>
        <w:spacing w:after="0" w:line="1" w:lineRule="exact"/>
        <w:rPr>
          <w:sz w:val="20"/>
          <w:szCs w:val="20"/>
          <w:color w:val="auto"/>
        </w:rPr>
      </w:pPr>
    </w:p>
    <w:p>
      <w:pPr>
        <w:ind w:left="1900" w:right="60"/>
        <w:spacing w:after="0" w:line="257" w:lineRule="auto"/>
        <w:rPr>
          <w:sz w:val="20"/>
          <w:szCs w:val="20"/>
          <w:color w:val="auto"/>
        </w:rPr>
      </w:pPr>
      <w:r>
        <w:rPr>
          <w:rFonts w:ascii="Arial" w:cs="Arial" w:eastAsia="Arial" w:hAnsi="Arial"/>
          <w:sz w:val="17"/>
          <w:szCs w:val="17"/>
          <w:color w:val="auto"/>
        </w:rPr>
        <w:t>issuance costs; and (ii) the reclassification of warrant and embedded derivative liabilities to additional paid-in capital as, upon the closing of this offering, neither is subject to remeasurement.</w:t>
      </w:r>
    </w:p>
    <w:p>
      <w:pPr>
        <w:spacing w:after="0" w:line="8" w:lineRule="exact"/>
        <w:rPr>
          <w:sz w:val="20"/>
          <w:szCs w:val="20"/>
          <w:color w:val="auto"/>
        </w:rPr>
      </w:pPr>
    </w:p>
    <w:p>
      <w:pPr>
        <w:ind w:left="1900" w:hanging="526"/>
        <w:spacing w:after="0"/>
        <w:tabs>
          <w:tab w:leader="none" w:pos="1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 forma as adjusted amounts reflect the pro forma conversion adjustments described in footnote (1) above, as well as the sale of</w:t>
      </w:r>
    </w:p>
    <w:p>
      <w:pPr>
        <w:spacing w:after="0" w:line="32" w:lineRule="exact"/>
        <w:rPr>
          <w:sz w:val="20"/>
          <w:szCs w:val="20"/>
          <w:color w:val="auto"/>
        </w:rPr>
      </w:pPr>
    </w:p>
    <w:p>
      <w:pPr>
        <w:jc w:val="both"/>
        <w:ind w:left="1900"/>
        <w:spacing w:after="0" w:line="257" w:lineRule="auto"/>
        <w:rPr>
          <w:sz w:val="20"/>
          <w:szCs w:val="20"/>
          <w:color w:val="auto"/>
        </w:rPr>
      </w:pPr>
      <w:r>
        <w:rPr>
          <w:rFonts w:ascii="Arial" w:cs="Arial" w:eastAsia="Arial" w:hAnsi="Arial"/>
          <w:sz w:val="17"/>
          <w:szCs w:val="17"/>
          <w:color w:val="auto"/>
        </w:rPr>
        <w:t>shares of our common stock in this offering at an assumed initial public offering price of $ per share (the midpoint of the price range s forth on the cover page of this prospectus), and after deducting the estimated underwriting discounts and commissions and estimated offering expenses payable by us.</w:t>
      </w:r>
    </w:p>
    <w:p>
      <w:pPr>
        <w:spacing w:after="0" w:line="8" w:lineRule="exact"/>
        <w:rPr>
          <w:sz w:val="20"/>
          <w:szCs w:val="20"/>
          <w:color w:val="auto"/>
        </w:rPr>
      </w:pPr>
    </w:p>
    <w:p>
      <w:pPr>
        <w:ind w:left="1900" w:hanging="526"/>
        <w:spacing w:after="0"/>
        <w:tabs>
          <w:tab w:leader="none" w:pos="1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$1.00 increase (decrease) in the assumed initial public offering price would increase (decrease) cash, total assets and total stockholders'</w:t>
      </w:r>
    </w:p>
    <w:p>
      <w:pPr>
        <w:spacing w:after="0" w:line="43" w:lineRule="exact"/>
        <w:rPr>
          <w:rFonts w:ascii="Arial" w:cs="Arial" w:eastAsia="Arial" w:hAnsi="Arial"/>
          <w:sz w:val="15"/>
          <w:szCs w:val="15"/>
          <w:color w:val="auto"/>
        </w:rPr>
      </w:pPr>
    </w:p>
    <w:p>
      <w:pPr>
        <w:jc w:val="both"/>
        <w:ind w:left="1900"/>
        <w:spacing w:after="0" w:line="291" w:lineRule="auto"/>
        <w:rPr>
          <w:rFonts w:ascii="Arial" w:cs="Arial" w:eastAsia="Arial" w:hAnsi="Arial"/>
          <w:sz w:val="15"/>
          <w:szCs w:val="15"/>
          <w:color w:val="auto"/>
        </w:rPr>
      </w:pPr>
      <w:r>
        <w:rPr>
          <w:rFonts w:ascii="Arial" w:cs="Arial" w:eastAsia="Arial" w:hAnsi="Arial"/>
          <w:sz w:val="15"/>
          <w:szCs w:val="15"/>
          <w:color w:val="auto"/>
        </w:rPr>
        <w:t>(deficit) equity by $ , assuming the number of shares offered by us as stated on the cover page of this prospectus remain unchanged an after deducting the estimated underwriting discounts and commissions and estimated offering expenses payable by us. Similarly, a 1,000,000 share increase (decrease) in the number of shares offered by us, as set forth on the cover page of this prospectus, would increase (decrease)</w:t>
      </w:r>
    </w:p>
    <w:p>
      <w:pPr>
        <w:spacing w:after="0" w:line="1" w:lineRule="exact"/>
        <w:rPr>
          <w:rFonts w:ascii="Arial" w:cs="Arial" w:eastAsia="Arial" w:hAnsi="Arial"/>
          <w:sz w:val="15"/>
          <w:szCs w:val="15"/>
          <w:color w:val="auto"/>
        </w:rPr>
      </w:pPr>
    </w:p>
    <w:p>
      <w:pPr>
        <w:ind w:left="1900"/>
        <w:spacing w:after="0" w:line="307" w:lineRule="auto"/>
        <w:rPr>
          <w:rFonts w:ascii="Arial" w:cs="Arial" w:eastAsia="Arial" w:hAnsi="Arial"/>
          <w:sz w:val="15"/>
          <w:szCs w:val="15"/>
          <w:color w:val="auto"/>
        </w:rPr>
      </w:pPr>
      <w:r>
        <w:rPr>
          <w:rFonts w:ascii="Arial" w:cs="Arial" w:eastAsia="Arial" w:hAnsi="Arial"/>
          <w:sz w:val="16"/>
          <w:szCs w:val="16"/>
          <w:color w:val="auto"/>
        </w:rPr>
        <w:t>cash, total assets and total stockholders' (deficit) equity by $ , assuming the assumed initial public 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228"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70"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AXS-02 and AXS-05, with the goal of achieving regulatory approval. Since inception, we have incurred significant operating losses. Our net losses were $2.2 million, $6.0 million, and $4.3 million for the years ended December 31, 2013 and 2014, and the six months ended June 30, 2015, respectively. As of June 30, 2015, we had an accumulated deficit of $12.5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AXS-02, AXS-05, and our other current and future product candidates. In addition, we expect to incur significant sales, marketing, and manufacturing expenses related to the commercialization of AXS-02, AXS-05, and our other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93"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our Phase 3 clinical trial with AXS-02 for the treatment of pain associated with complex regional pain syndrome, or CRPS;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enroll patients in our Phase 3 clinical trials in other indications for AXS-02 and for AXS-05;</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in-license or acquire additional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late-stage clinical trials for any product candidates that successfully complete early-stage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late-stage clinical trials;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additional non-clinical studies with any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preclinical studies with AXS-06 or any additional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manufacturing batch sizes of AXS-02 to satisfy FDA requirements for a marketing application submission;</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larger quantities of product;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hire additional clinical, quality control, and scientific personnel;</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product candidates to our pipeline in the future.</w:t>
      </w:r>
    </w:p>
    <w:p>
      <w:pPr>
        <w:spacing w:after="0" w:line="224"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most of these activities. We may never succeed in these activities and, even if we do, may never achieve profitability.</w:t>
      </w:r>
    </w:p>
    <w:p>
      <w:pPr>
        <w:spacing w:after="0" w:line="16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5" w:lineRule="exact"/>
        <w:rPr>
          <w:sz w:val="20"/>
          <w:szCs w:val="20"/>
          <w:color w:val="auto"/>
        </w:rPr>
      </w:pPr>
    </w:p>
    <w:p>
      <w:pPr>
        <w:ind w:right="200" w:firstLine="341"/>
        <w:spacing w:after="0" w:line="322" w:lineRule="auto"/>
        <w:rPr>
          <w:sz w:val="20"/>
          <w:szCs w:val="20"/>
          <w:color w:val="auto"/>
        </w:rPr>
      </w:pPr>
      <w:r>
        <w:rPr>
          <w:rFonts w:ascii="Arial" w:cs="Arial" w:eastAsia="Arial" w:hAnsi="Arial"/>
          <w:sz w:val="15"/>
          <w:szCs w:val="15"/>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4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i w:val="1"/>
          <w:iCs w:val="1"/>
          <w:color w:val="auto"/>
        </w:rPr>
        <w:t>We will need additional funding to conduct our future clinical trials and to complete development and commercialization of our product candidates. Even if this offering is successful, if we are unable to raise capital when needed, we would be forced to delay, reduce, or eliminate our product development programs or commercialization efforts.</w:t>
      </w:r>
    </w:p>
    <w:p>
      <w:pPr>
        <w:spacing w:after="0" w:line="179"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including AXS-02 and AXS-05, is, and will be, a very time-consuming, expensive, and uncertain process that takes years to complete. We will need to raise additional capital to:</w:t>
      </w:r>
    </w:p>
    <w:p>
      <w:pPr>
        <w:spacing w:after="0" w:line="192" w:lineRule="exact"/>
        <w:rPr>
          <w:sz w:val="20"/>
          <w:szCs w:val="20"/>
          <w:color w:val="auto"/>
        </w:rPr>
      </w:pPr>
    </w:p>
    <w:p>
      <w:pPr>
        <w:ind w:left="1060" w:right="64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fund our future clinical trials for our current product candidates, especially if we encounter any unforeseen delays or difficulties in our planned development activities;</w:t>
      </w:r>
    </w:p>
    <w:p>
      <w:pPr>
        <w:spacing w:after="0" w:line="182"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fund our operations and continue our efforts to hire additional personnel and build a commercial infrastructure to prepare for the commercialization of AXS-02, AXS-05, and our other current and future product candidates, if approved by the FDA;</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qualify and outsource the commercial-scale manufacturing of our products under current good manufacturing practices, or cGMP;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 additional product candidates, including AXS-06;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in-license other product candidates.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believe that with our available cash as of June 30, 2015, along with the net proceeds from this offering, we will have sufficient funds to meet our projected</w:t>
      </w:r>
    </w:p>
    <w:p>
      <w:pPr>
        <w:spacing w:after="0" w:line="4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operating requirements for at least the next months. We have based this estimate on assumptions that may prove to be wrong and we could spend our available financial resources faster than we currently expect. Further, we may not have sufficient financial resources to meet all of our objectives if AXS-02 or AXS-05 is approved, which could require us to postpone, scale back, or eliminate some, or all, of these objectives, including our potential launch activities relating to AXS-02 and AXS-05. Our future funding requirements will depend on many factors, including, but not limited to:</w:t>
      </w:r>
    </w:p>
    <w:p>
      <w:pPr>
        <w:spacing w:after="0" w:line="19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for delays in our efforts to seek regulatory approval for AXS-02 and AXS-05, and any costs associated with such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AXS-02 and AXS-05;</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rate of progress and costs related to our Phase 3 development of AXS-02 and AXS-05;</w:t>
      </w:r>
    </w:p>
    <w:p>
      <w:pPr>
        <w:spacing w:after="0" w:line="237" w:lineRule="exact"/>
        <w:rPr>
          <w:rFonts w:ascii="Arial" w:cs="Arial" w:eastAsia="Arial" w:hAnsi="Arial"/>
          <w:sz w:val="17"/>
          <w:szCs w:val="17"/>
          <w:color w:val="auto"/>
        </w:rPr>
      </w:pPr>
    </w:p>
    <w:p>
      <w:pPr>
        <w:ind w:left="1060" w:right="220" w:hanging="531"/>
        <w:spacing w:after="0" w:line="270"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in-license or acquire in the future, and the potential that we may need to conduct additional clinical or preclinical trials to support applications for regulatory approval;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and timing of manufacturing sufficient supplies of AXS-02 and AXS-05 in preparation for commercialization;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terms and timing of any collaborative, licensing, co-promotion, or other arrangements that we may establish;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the commercialization of AXS-02, AXS-05, and any other of our current or future product candidates.</w:t>
      </w:r>
    </w:p>
    <w:p>
      <w:pPr>
        <w:spacing w:after="0" w:line="22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and no history of commercializing products, which may make it difficult to evaluate our business and prospects.</w:t>
      </w:r>
    </w:p>
    <w:p>
      <w:pPr>
        <w:spacing w:after="0" w:line="236" w:lineRule="exact"/>
        <w:rPr>
          <w:sz w:val="20"/>
          <w:szCs w:val="20"/>
          <w:color w:val="auto"/>
        </w:rPr>
      </w:pPr>
    </w:p>
    <w:p>
      <w:pPr>
        <w:ind w:right="180" w:firstLine="338"/>
        <w:spacing w:after="0" w:line="28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lead product candidates, AXS-02 and AXS-05, and our other product candidates. We have not yet demonstrated an ability to obtain regulatory approval for, or successfully commercialize, a product candidate. In addition, as a relatively nascent business, we may encounter unforeseen expenses, difficulties, complications, delays,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THE DEVELOPMENT OF OUR PRODUCT CANDIDATES</w:t>
      </w:r>
    </w:p>
    <w:p>
      <w:pPr>
        <w:spacing w:after="0" w:line="228" w:lineRule="exact"/>
        <w:rPr>
          <w:sz w:val="20"/>
          <w:szCs w:val="20"/>
          <w:color w:val="auto"/>
        </w:rPr>
      </w:pPr>
    </w:p>
    <w:p>
      <w:pPr>
        <w:ind w:right="440"/>
        <w:spacing w:after="0" w:line="315" w:lineRule="auto"/>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candidates, AXS-02 and AXS-05, and cannot guarantee that these product candidates will successfully complete our planned Phase 3 clinical trials, receive regulatory approval, or be successfully commercialized.</w:t>
      </w:r>
    </w:p>
    <w:p>
      <w:pPr>
        <w:spacing w:after="0" w:line="146"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most advanced product candidates, AXS-02 and AXS-05. Our business depends entirely on the successful development and commercialization of our product candidates, and in particular, AXS-02 and AXS-05, which may never occur. Our ability to generate revenues in the near term is substantially dependent on our ability to develop, obtain regulatory approval for, and then successfully commercialize AXS-02 and AXS-05. We currently generate no revenues from sales of any products, and we may never be able to develop or commercialize a marketable product.</w:t>
      </w:r>
    </w:p>
    <w:p>
      <w:pPr>
        <w:spacing w:after="0" w:line="187"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Our lead product candidates, AXS-02 and AXS-05,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trial with AXS-02 for the treatment of pain in patients with CRPS in July 2015, which we expect to complete by the end of 2017. However, we cannot assure you that we will meet this timeline. Further, we plan to initiate a Phase 3 clinical trial with AXS-05 for the treatment of treatment resistant depression, or TRD, in or before the first quarter of 2016. Our Phase 1 trial with AXS-05 was initially conducted with two tablets, one tablet consisting of dextromethorphan, or DM, and one tablet consisting of bupropion. However, we intend to conduct our Phase 3 clinical trial using one tablet containing both DM and bupropion. This change in formulation may delay the filing of our investigational new drug application, or IND, and thereby delay the start of our clinical trial with AXS-05 for the treatment of TRD.</w:t>
      </w:r>
    </w:p>
    <w:p>
      <w:pPr>
        <w:spacing w:after="0" w:line="187" w:lineRule="exact"/>
        <w:rPr>
          <w:sz w:val="20"/>
          <w:szCs w:val="20"/>
          <w:color w:val="auto"/>
        </w:rPr>
      </w:pPr>
    </w:p>
    <w:p>
      <w:pPr>
        <w:ind w:right="40" w:firstLine="338"/>
        <w:spacing w:after="0" w:line="300" w:lineRule="auto"/>
        <w:rPr>
          <w:sz w:val="20"/>
          <w:szCs w:val="20"/>
          <w:color w:val="auto"/>
        </w:rPr>
      </w:pPr>
      <w:r>
        <w:rPr>
          <w:rFonts w:ascii="Arial" w:cs="Arial" w:eastAsia="Arial" w:hAnsi="Arial"/>
          <w:sz w:val="15"/>
          <w:szCs w:val="15"/>
          <w:color w:val="auto"/>
        </w:rPr>
        <w:t>We are not permitted to market or promote any of our product candidates, including AXS-02 or AXS-05, before we receive regulatory approval from the FDA or comparable foreign regulatory authorities, and we may never receive such regulatory approval for any of our product candidates. Even if AXS-02 or AXS-05 is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FDA approval for, and successfully commercialize, AXS-02 or AXS-05, we will not be able to generate revenue from these product candidates in the United States in the foreseeable future, or at all. Any significant delays in obtaining approval for and commercializing AXS-02 or AXS-05 will have a material adverse impact on our business and financial condition.</w:t>
      </w:r>
    </w:p>
    <w:p>
      <w:pPr>
        <w:spacing w:after="0" w:line="163"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AXS-02, AXS-05, or any other of our current or future product candidates will be successful in clinical trials or receive regulatory approval. In addition, we have not submitted an IND for AXS-05. AXS-02 has only completed one Phase 1 clinical trial and is susceptible to the risks of failure inherent at any stage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product development, including the appearance of unexpected adverse events or failure to achieve its primary endpoints in subsequent clinical trials, including our initiated and planned Phase 3 clinical trials. Further, our product candidates, including AXS-02 and AXS-05, may not receive regulatory approval even if they are successful in clinical trials.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approved for marketing by applicable regulatory authorities, our ability to generate revenues from AXS-02 or AXS-05 will depend on our ability to:</w:t>
      </w:r>
    </w:p>
    <w:p>
      <w:pPr>
        <w:spacing w:after="0" w:line="237" w:lineRule="exact"/>
        <w:rPr>
          <w:sz w:val="20"/>
          <w:szCs w:val="20"/>
          <w:color w:val="auto"/>
        </w:rPr>
      </w:pPr>
    </w:p>
    <w:p>
      <w:pPr>
        <w:ind w:left="1060" w:right="12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create market demand for AXS-02 and AXS-05 through our own marketing and sales activities, and any other arrangements to promote these product candidates that we may otherwise establish;</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receive regulatory approval for claims that are necessary or desirable for successful marketing;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hire, train, and deploy a sales force to commercialize AXS-02 and AXS-05 in the United States;</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manufacture AXS-02 and AXS-05 in sufficient quantities and at acceptable quality and manufacturing cost to meet commercial demand at launch and thereafter;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create partnerships with, or offer licenses to, third parties to promote and sell AXS-02 in foreign markets where we receive marketing approval;</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patent and trade secret protection and regulatory exclusivity for AXS-02 and AXS-05;</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launch commercial sales of AXS-02 and AXS-05, whether alone or in collaboration with others;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achieve market acceptance of AXS-02 and AXS-05 by patients, the medical community, and third-party payors;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achieve appropriate reimbursement for AXS-02 and AXS-05;</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effectively compete with other therapies;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 continued acceptable safety profile of AXS-02 and AXS-05 following launch.</w:t>
      </w:r>
    </w:p>
    <w:p>
      <w:pPr>
        <w:spacing w:after="0" w:line="224" w:lineRule="exact"/>
        <w:rPr>
          <w:sz w:val="20"/>
          <w:szCs w:val="20"/>
          <w:color w:val="auto"/>
        </w:rPr>
      </w:pPr>
    </w:p>
    <w:p>
      <w:pPr>
        <w:ind w:right="300" w:firstLine="332"/>
        <w:spacing w:after="0" w:line="282" w:lineRule="auto"/>
        <w:rPr>
          <w:sz w:val="20"/>
          <w:szCs w:val="20"/>
          <w:color w:val="auto"/>
        </w:rPr>
      </w:pPr>
      <w:r>
        <w:rPr>
          <w:rFonts w:ascii="Arial" w:cs="Arial" w:eastAsia="Arial" w:hAnsi="Arial"/>
          <w:sz w:val="17"/>
          <w:szCs w:val="17"/>
          <w:color w:val="auto"/>
        </w:rPr>
        <w:t>As we continue to develop our other product candidates, including AXS-06, we expect to face similar risks related to our ability to develop, obtain regulatory approval for, and successfully commercialize such product candidates as we face with AXS-02 and AXS-05.</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AXS-02 for the treatment of pain associated with CRPS and knee osteoarthritis, or OA, associated with bone marrow lesions, or BMLs, and AXS-05 for the treatment of TRD.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affiliated with our Chief Executive Officer and Chairman of the Board certain royalty payments related to the development of AXS-02 and AXS-05, as well as AXS-04, a product candidate that is currently in early-stage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0"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pain therapeutics and central nervous system, or CNS, therapeutics. However, these business activities may entail numerous operational and financial risks, including:</w:t>
      </w:r>
    </w:p>
    <w:p>
      <w:pPr>
        <w:spacing w:after="0" w:line="192"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or inability to secure financing to fund business activities for such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 of our business and diversion of our management's time and attention;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than expected development costs;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exposure to unknown liabilities;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in managing multiple product development programs;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successfully develop new products or clinical failure.</w:t>
      </w:r>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5" w:lineRule="exact"/>
        <w:rPr>
          <w:sz w:val="20"/>
          <w:szCs w:val="20"/>
          <w:color w:val="auto"/>
        </w:rPr>
      </w:pPr>
    </w:p>
    <w:p>
      <w:pPr>
        <w:jc w:val="both"/>
        <w:ind w:right="200"/>
        <w:spacing w:after="0" w:line="322" w:lineRule="auto"/>
        <w:rPr>
          <w:sz w:val="20"/>
          <w:szCs w:val="20"/>
          <w:color w:val="auto"/>
        </w:rPr>
      </w:pPr>
      <w:r>
        <w:rPr>
          <w:rFonts w:ascii="Arial" w:cs="Arial" w:eastAsia="Arial" w:hAnsi="Arial"/>
          <w:sz w:val="15"/>
          <w:szCs w:val="15"/>
          <w:b w:val="1"/>
          <w:bCs w:val="1"/>
          <w:i w:val="1"/>
          <w:iCs w:val="1"/>
          <w:color w:val="auto"/>
        </w:rPr>
        <w:t>If safety and efficacy data for our product candidates or a reference listed drug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these product candidates.</w:t>
      </w:r>
    </w:p>
    <w:p>
      <w:pPr>
        <w:spacing w:after="0" w:line="145"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FDA interprets Section 505(b)(2) of the Federal Food, Drug and Cosmetic Act, or FDCA, for purposes of approving an NDA, to permit the applicant to rely, in part, upon published literature or the FDA's previous findings of safety and efficacy for an approved product. The FDA may also require companies to perform additional clinical trials or preclinical studies to support any deviation from the previously approved product and to support reliance on the FDA's prior findings of safety and efficacy or published literature. The FDA may then approve the new product candidate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black box warning, or may require additional limitations, contraindications, warnings, or precautions.</w:t>
      </w:r>
    </w:p>
    <w:p>
      <w:pPr>
        <w:spacing w:after="0" w:line="19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AXS-02, may result in nausea, fatigue, anemia, bone pain, constipation, fever, vomiting, dyspnea, hypersensitivity reactions, osteonecrosis of the jaw, renal toxicity, musculoskeletal pain, atypical fractures, bronchoconstriction, or other adverse events or potential adverse events reported or discussed in the product labels for zoledronic acid-containing products including Zometa, Reclast, and Aclasta.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AXS-05 may result in dry mouth, nausea, insomnia, dizziness, pharyngitis, abdominal pain, agitation, anxiety, tremor, palpitation, sweating, tinnitus, myalgia, anorexia, urinary frequency, rash, seizure, hypertension, activation of mania or hypomania, psychosis and other neuropsychiatric reactions, suicidal ideation, suicide attempt, completed suicide, allergic or anaphylactoid or anaphylactic reactions, diarrhea, cough, vomiting, asthenia, peripheral edema, urinary tract infection, influenza, increased gamma-glutamyltransferase, flatulence, or other adverse events or potential adverse events reported or discussed in the product labels for bupropion-containing products or dextromethorphan-containing products including Wellbutrin, Wellbutrin SR, Wellbutrin XL, Zyban, Contrave, and Nuedexta.</w:t>
      </w:r>
    </w:p>
    <w:p>
      <w:pPr>
        <w:spacing w:after="0" w:line="176"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 We may never receive such approvals. To obtain regulatory approvals, we must, among other requirements, complete clinical trials showing that our products are safe and effective for a particular indication. Under the 505(b)(2) NDA approval process, although we may not have performed some of the studies ourselves, we must submit clinical and non-clinical data and/or rely on FDA findings of safety and efficacy for approved drug products to demonstrate the medication is safe and effective in humans. For example, we intend to rely on data collected in certain investigator-initiated Phase 2 clinical trials and other third-party studies. We also must be able to provide data and information, such as bioavailability, bioequivalence, or comparative bioavailability studies, to establish sufficiently the appropriateness of relying on FDA's findings of safety and efficacy for a previously approved drug product, or a reference listed drug, without the right of reference from the owner of that data and information, or the appropriateness of relying on published literature.</w:t>
      </w:r>
    </w:p>
    <w:p>
      <w:pPr>
        <w:spacing w:after="0" w:line="17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addition, because we plan to file our product candidates under an NDA submitted pursuant to 505(b)(2), we will rely, at least in part, upon a reference listed drug and published literature.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Moreover, the FDA could require the conduct of additional clinical trials or other studies to support the safety and efficacy of any differences between our product candidates and the reference listed drug, which could also lead to unanticipated costs and delays or to the termination of our development programs. If we are unable to obtain approval for our pharmaceutical formulations through the 505(b)(2) NDA process, we may be required to pursue the more expensive and time-consuming 505(b)(1) approval process, which consists of a full report of investigations of safety and effectiveness conducted by or for the applicant. In addition, because we plan to submit NDAs for AXS-02 and AXS-05, pursuant to the 505(b)(2) process, we have not conducted Phase 2 clinical trials for these product candidates and, as such, we will have less experience with actual testing of the product candidate.</w:t>
      </w:r>
    </w:p>
    <w:p>
      <w:pPr>
        <w:spacing w:after="0" w:line="179"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as we could be blocked by others' periods of patent and regulatory exclusivity protection.</w:t>
      </w:r>
    </w:p>
    <w:p>
      <w:pPr>
        <w:spacing w:after="0" w:line="16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REMS, to monitor the safety or efficacy of the products. Moreover, any future actions or inquiries by the FDA with respect to the reference listed drug may require that we make changes to our labeling or, possibly, withdraw the product from the market.</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70"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applicant relies. One such certification is known as paragraph IV certification, which certifies that any patents listed in the FDA's publication, the </w:t>
      </w:r>
      <w:r>
        <w:rPr>
          <w:rFonts w:ascii="Arial" w:cs="Arial" w:eastAsia="Arial" w:hAnsi="Arial"/>
          <w:sz w:val="16"/>
          <w:szCs w:val="16"/>
          <w:i w:val="1"/>
          <w:iCs w:val="1"/>
          <w:color w:val="auto"/>
        </w:rPr>
        <w:t>Approved Drug Products with Therapeutic Equivalence Evaluations</w:t>
      </w:r>
      <w:r>
        <w:rPr>
          <w:rFonts w:ascii="Arial" w:cs="Arial" w:eastAsia="Arial" w:hAnsi="Arial"/>
          <w:sz w:val="16"/>
          <w:szCs w:val="16"/>
          <w:color w:val="auto"/>
        </w:rPr>
        <w:t>, commonly known as the Orange Book, are invalid, unenforceable or will not be infringed by the manufacture, use or sale of the product that is the subject of the 505(b)(2) NDA.</w:t>
      </w:r>
    </w:p>
    <w:p>
      <w:pPr>
        <w:spacing w:after="0" w:line="169"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Under the Hatch-Waxman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one-time, automatic, 30-month stay of the FDA's ability to approve the 505(b)(2) NDA. In such a case, the FDA may not approve the 505(b)(2) NDA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9"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could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"at-risk launch." The risk involved in doing so can be substantial because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While, at this time, we believe that we will not need to file a paragraph IV certification for AXS-02 or AXS-05, should circumstances change, should the FDA disagree or should we be required to file a paragraph IV certification in the future for other product candidates, we may risk patent litigation and substantial delays.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9"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including AXS-02 and AXS-05,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3"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third-party clinical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3"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results in earlier trials. Our future clinical trial results may not be successful. Moreover, should there be a flaw in a clinical trial, it may not become apparent until the clinical trial is well advanced.</w:t>
      </w:r>
    </w:p>
    <w:p>
      <w:pPr>
        <w:spacing w:after="0" w:line="170"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83" w:lineRule="exact"/>
        <w:rPr>
          <w:sz w:val="20"/>
          <w:szCs w:val="20"/>
          <w:color w:val="auto"/>
        </w:rPr>
      </w:pPr>
    </w:p>
    <w:p>
      <w:pPr>
        <w:ind w:left="1060" w:right="14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regulators or IRBs may not authorize us or our investigators to commence a clinical trial or conduct a clinical trial at a prospective trial site or amend trial protocols;</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and our CROs;</w:t>
      </w:r>
    </w:p>
    <w:p>
      <w:pPr>
        <w:spacing w:after="0" w:line="182" w:lineRule="exact"/>
        <w:rPr>
          <w:rFonts w:ascii="Arial" w:cs="Arial" w:eastAsia="Arial" w:hAnsi="Arial"/>
          <w:sz w:val="17"/>
          <w:szCs w:val="17"/>
          <w:color w:val="auto"/>
        </w:rPr>
      </w:pPr>
    </w:p>
    <w:p>
      <w:pPr>
        <w:ind w:left="1060" w:right="120" w:hanging="531"/>
        <w:spacing w:after="0" w:line="352" w:lineRule="auto"/>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36" w:lineRule="exact"/>
        <w:rPr>
          <w:rFonts w:ascii="Arial" w:cs="Arial" w:eastAsia="Arial" w:hAnsi="Arial"/>
          <w:sz w:val="15"/>
          <w:szCs w:val="15"/>
          <w:color w:val="auto"/>
        </w:rPr>
      </w:pPr>
    </w:p>
    <w:p>
      <w:pPr>
        <w:ind w:left="1060" w:right="10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2"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marketing approval policies during the development period rendering our data insufficient to obtain marketing approval;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or the enactment of additional statutes or regulations;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regulatory review for each submitted product application;</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96"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w:t>
      </w:r>
    </w:p>
    <w:p>
      <w:pPr>
        <w:spacing w:after="0" w:line="182" w:lineRule="exact"/>
        <w:rPr>
          <w:rFonts w:ascii="Arial" w:cs="Arial" w:eastAsia="Arial" w:hAnsi="Arial"/>
          <w:sz w:val="17"/>
          <w:szCs w:val="17"/>
          <w:color w:val="auto"/>
        </w:rPr>
      </w:pPr>
    </w:p>
    <w:p>
      <w:pPr>
        <w:ind w:left="1060" w:right="100" w:hanging="531"/>
        <w:spacing w:after="0" w:line="311" w:lineRule="auto"/>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 trials, or we may abandon product development programs. For instance, for the development of AXS-02, the FDA has indicated that we will need to conduct additional preclinical and clinical studies, such as non-clinical oral toxicology studies, and clinical studies to further assess the safety and duration of effect of AXS-02, AXS-02 food effects, and possibly repeat dosing. The outcome of our studies may further necessitate additional clinical or preclinical work;</w:t>
      </w:r>
    </w:p>
    <w:p>
      <w:pPr>
        <w:spacing w:after="0" w:line="167" w:lineRule="exact"/>
        <w:rPr>
          <w:rFonts w:ascii="Arial" w:cs="Arial" w:eastAsia="Arial" w:hAnsi="Arial"/>
          <w:sz w:val="15"/>
          <w:szCs w:val="15"/>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fail to reach an agreement with regulators regarding the scope or design of our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have delays in adding new investigators or clinical trial sites, or we may experience a withdrawal of clinical trial sites;</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clinical trial, increase the needed enrollment size for the study or clinical trial or extend the study's or clinical trial's duration;</w:t>
      </w:r>
    </w:p>
    <w:p>
      <w:pPr>
        <w:spacing w:after="0" w:line="237"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there may be regulatory questions regarding interpretations of data and results, or new information may emerge regarding our product candidates;</w:t>
      </w:r>
    </w:p>
    <w:p>
      <w:pPr>
        <w:spacing w:after="0" w:line="273" w:lineRule="exact"/>
        <w:rPr>
          <w:rFonts w:ascii="Arial" w:cs="Arial" w:eastAsia="Arial" w:hAnsi="Arial"/>
          <w:sz w:val="15"/>
          <w:szCs w:val="15"/>
          <w:color w:val="auto"/>
        </w:rPr>
      </w:pPr>
    </w:p>
    <w:p>
      <w:pPr>
        <w:ind w:left="1060" w:right="180" w:hanging="531"/>
        <w:spacing w:after="0" w:line="306" w:lineRule="auto"/>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and clinical studies, such as comments on the acceptability of the proposed trial designs for our product candidates, the number of patients planned for our studies, our data analysis plans, the applicability of the serum biomarkers studied in our Phase 1 study of AXS-02, the species and doses used in our preclinical studies, and the results of our preclinical studies;</w:t>
      </w:r>
    </w:p>
    <w:p>
      <w:pPr>
        <w:spacing w:after="0" w:line="172" w:lineRule="exact"/>
        <w:rPr>
          <w:rFonts w:ascii="Arial" w:cs="Arial" w:eastAsia="Arial" w:hAnsi="Arial"/>
          <w:sz w:val="15"/>
          <w:szCs w:val="15"/>
          <w:color w:val="auto"/>
        </w:rPr>
      </w:pPr>
    </w:p>
    <w:p>
      <w:pPr>
        <w:ind w:left="1060" w:right="28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comparable regulatory authorities may disagree with our intended indications. For instance, the FDA has raised questions regarding the relevance of only studying knee OA with BMLs;</w:t>
      </w:r>
    </w:p>
    <w:p>
      <w:pPr>
        <w:spacing w:after="0" w:line="182" w:lineRule="exact"/>
        <w:rPr>
          <w:rFonts w:ascii="Arial" w:cs="Arial" w:eastAsia="Arial" w:hAnsi="Arial"/>
          <w:sz w:val="17"/>
          <w:szCs w:val="17"/>
          <w:color w:val="auto"/>
        </w:rPr>
      </w:pPr>
    </w:p>
    <w:p>
      <w:pPr>
        <w:ind w:left="1060" w:right="72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comparable regulatory authorities may take longer than we anticipate to make a decision on our product candidates; and</w:t>
      </w:r>
    </w:p>
    <w:p>
      <w:pPr>
        <w:spacing w:after="0" w:line="237" w:lineRule="exact"/>
        <w:rPr>
          <w:rFonts w:ascii="Arial" w:cs="Arial" w:eastAsia="Arial" w:hAnsi="Arial"/>
          <w:sz w:val="17"/>
          <w:szCs w:val="17"/>
          <w:color w:val="auto"/>
        </w:rPr>
      </w:pPr>
    </w:p>
    <w:p>
      <w:pPr>
        <w:ind w:left="1060" w:right="44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be able to demonstrate that a product candidate provides an advantage over current standards of care or current or future competitive therapies in development.</w:t>
      </w:r>
    </w:p>
    <w:p>
      <w:pPr>
        <w:spacing w:after="0" w:line="170"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92"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48" w:lineRule="exact"/>
        <w:rPr>
          <w:rFonts w:ascii="Arial" w:cs="Arial" w:eastAsia="Arial" w:hAnsi="Arial"/>
          <w:sz w:val="16"/>
          <w:szCs w:val="16"/>
          <w:color w:val="auto"/>
        </w:rPr>
      </w:pPr>
    </w:p>
    <w:p>
      <w:pPr>
        <w:ind w:left="1060" w:hanging="531"/>
        <w:spacing w:after="0" w:line="270"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subject to additional post-marketing testing and surveillance requirements, including REMS;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24" w:lineRule="exact"/>
        <w:rPr>
          <w:sz w:val="20"/>
          <w:szCs w:val="20"/>
          <w:color w:val="auto"/>
        </w:rPr>
      </w:pPr>
    </w:p>
    <w:p>
      <w:pPr>
        <w:ind w:right="100" w:firstLine="341"/>
        <w:spacing w:after="0" w:line="279" w:lineRule="auto"/>
        <w:rPr>
          <w:sz w:val="20"/>
          <w:szCs w:val="20"/>
          <w:color w:val="auto"/>
        </w:rPr>
      </w:pPr>
      <w:r>
        <w:rPr>
          <w:rFonts w:ascii="Arial" w:cs="Arial" w:eastAsia="Arial" w:hAnsi="Arial"/>
          <w:sz w:val="16"/>
          <w:szCs w:val="16"/>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Furthermore, there is the possibility that the FDA has not previously reviewed product candidates for the indications we are pursuing, such as bisphosphonates for the treatment of pain. As a result, we may experience delays in regulatory approval due to uncertainties in the approval process.</w:t>
      </w:r>
    </w:p>
    <w:p>
      <w:pPr>
        <w:spacing w:after="0" w:line="187"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74" w:lineRule="exact"/>
        <w:rPr>
          <w:sz w:val="20"/>
          <w:szCs w:val="20"/>
          <w:color w:val="auto"/>
        </w:rPr>
      </w:pPr>
    </w:p>
    <w:p>
      <w:pPr>
        <w:ind w:right="320" w:firstLine="341"/>
        <w:spacing w:after="0" w:line="270" w:lineRule="auto"/>
        <w:rPr>
          <w:sz w:val="20"/>
          <w:szCs w:val="20"/>
          <w:color w:val="auto"/>
        </w:rPr>
      </w:pPr>
      <w:r>
        <w:rPr>
          <w:rFonts w:ascii="Arial" w:cs="Arial" w:eastAsia="Arial" w:hAnsi="Arial"/>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79"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The FDA may determine that AXS-02, AXS-05, or any other of our current or future product candidates have undesirable side effects that could delay or prevent their regulatory approval or commercialization.</w:t>
      </w:r>
    </w:p>
    <w:p>
      <w:pPr>
        <w:spacing w:after="0" w:line="170"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7" w:lineRule="exact"/>
        <w:rPr>
          <w:sz w:val="20"/>
          <w:szCs w:val="20"/>
          <w:color w:val="auto"/>
        </w:rPr>
      </w:pPr>
    </w:p>
    <w:p>
      <w:pPr>
        <w:ind w:right="220" w:firstLine="338"/>
        <w:spacing w:after="0" w:line="301" w:lineRule="auto"/>
        <w:rPr>
          <w:sz w:val="20"/>
          <w:szCs w:val="20"/>
          <w:color w:val="auto"/>
        </w:rPr>
      </w:pPr>
      <w:r>
        <w:rPr>
          <w:rFonts w:ascii="Arial" w:cs="Arial" w:eastAsia="Arial" w:hAnsi="Arial"/>
          <w:sz w:val="15"/>
          <w:szCs w:val="15"/>
          <w:color w:val="auto"/>
        </w:rPr>
        <w:t>The number of requests for additional data or information issued by the FDA in recent years has increased, and resulted in substantial delays in the approval of several new drugs. Undesirable side effects caused by AXS-02, AXS-05, or any other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AXS-02, AXS-05, or any other of our current or future product candidates.</w:t>
      </w:r>
    </w:p>
    <w:p>
      <w:pPr>
        <w:spacing w:after="0" w:line="164"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To date, the most commonly reported adverse events observed in the completed clinical trial of AXS-02 include headache, fever, musculoskeletal pain, diarrhea, abdominal pain, nausea, myalgia, and chills. Some reported adverse events led to discontinuation from our trial of AXS-02. These adverse events included abdominal pain.</w:t>
      </w:r>
    </w:p>
    <w:p>
      <w:pPr>
        <w:spacing w:after="0" w:line="179"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AXS-02, for the treatment of the pain of knee OA associated with BMLs, include acute phase reactions, primarily cold or flu-like symptoms and headaches.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To date, the most commonly reported adverse events observed in a completed clinical trial with zoledronic acid, the active molecule in AXS-02, for the treatment of chronic low back pain, or CLBP, associated with Modic changes, or MCs, include fever, headache, myalgia, arthralgia, pain, nausea, and flu-like symptoms. Sinusitis requiring temporary hospitalization following zoledronic acid infusion was reported in one patient and was therefore classified as a serious adverse event.</w:t>
      </w:r>
    </w:p>
    <w:p>
      <w:pPr>
        <w:spacing w:after="0" w:line="145"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To date, the most commonly reported adverse events observed in the completed clinical trial of the combination of DM, one of the active molecules in AXS-05, and quinidine for the treatment of agitation in patients with probable AD, include falls, diarrhea, and urinary tract infection.</w:t>
      </w:r>
    </w:p>
    <w:p>
      <w:pPr>
        <w:spacing w:after="0" w:line="170"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To date, the most commonly reported adverse events observed in the completed clinical trials of AXS-05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AXS-05. These adverse events included chest pain, headache, abdominal pain, diarrhea, signs of potential allergic reactions, atrial tachycardia, disturbance in attention, metamorphosia, tremor, feeling hot, dizziness, dyspnea, and increased respiratory rate.</w:t>
      </w:r>
    </w:p>
    <w:p>
      <w:pPr>
        <w:spacing w:after="0" w:line="15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9"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237"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eligibility criteria for, and design of, the clinical trial in question, including factors such as frequency of required assessments, length of the study and ongoing monitoring requirements;</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 including the potential advantages or disadvantages of the product candidate being studied in relation to other available therapies;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competition in recruiting and enrolling patients in clinical trials;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effectiveness of publicity created by clinical trial sites regarding the trial;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patients' ability to comply with the specific instructions related to the trial protocol, proper documentation, and use of the drug product;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obtain or maintain patient informed consents;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 that enrolled patients will drop out before completion;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Our current development plan for AXS-02 contemplates recruiting and enrolling more than 475 patients for our Phase 3 clinical trials for the treatment of pain associated with CRPS. We may encounter difficulties or delays in completing our planned enrollments for these trials. In addition, because of some of our other entry criteria for our Phase 3 clinical trials with AXS-02 for the treatment of pain associated with CRPS, such as the requirement that patients cease any usage of previous opioid therapy, we may further limit our potential patient population. For our planned Phase 3 clinical trials with AXS-02 for the treatment of the pain of knee OA associated with BMLs and CLBP associated with type 1 or mixed type 2 MCs, enrollment will require the existence of radiographic biomarkers and we may require patients to discontinue use of their existing medication before participating in our clinical trials. We may also exclude patients who have been treated with opioids or other classes of medications. For our planned Phase 3 clinical trial with AXS-05 for the treatment of TRD, we will require patients to have previously failed one or two, or perhaps more, antidepressant treatments, which further limits our potential patient population. As a result, these entry criteria may make it difficult for us to enroll patients in any of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9" w:lineRule="exact"/>
        <w:rPr>
          <w:sz w:val="20"/>
          <w:szCs w:val="20"/>
          <w:color w:val="auto"/>
        </w:rPr>
      </w:pPr>
    </w:p>
    <w:p>
      <w:pPr>
        <w:ind w:right="120"/>
        <w:spacing w:after="0" w:line="352" w:lineRule="auto"/>
        <w:rPr>
          <w:sz w:val="20"/>
          <w:szCs w:val="20"/>
          <w:color w:val="auto"/>
        </w:rPr>
      </w:pPr>
      <w:r>
        <w:rPr>
          <w:rFonts w:ascii="Arial" w:cs="Arial" w:eastAsia="Arial" w:hAnsi="Arial"/>
          <w:sz w:val="15"/>
          <w:szCs w:val="15"/>
          <w:b w:val="1"/>
          <w:bCs w:val="1"/>
          <w:i w:val="1"/>
          <w:iCs w:val="1"/>
          <w:color w:val="auto"/>
        </w:rPr>
        <w:t>One of our lead product candidates, AXS-05, if approved, will compete in the marketplace with other bupropion products that are subject to restrictive marketing and distribution regulations, which if applied to our product candidates would restrict their use and harm our ability to generate profits.</w:t>
      </w:r>
    </w:p>
    <w:p>
      <w:pPr>
        <w:spacing w:after="0" w:line="123"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Some of the currently approved bupropion products require REMS. REMS programs may require medication guides for patients,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AXS-05 will require a REMS program. We cannot predict whether REMS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proposed REMS for such product candidates may also prevent or delay their approval for commercialization.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224" w:lineRule="exact"/>
        <w:rPr>
          <w:sz w:val="20"/>
          <w:szCs w:val="20"/>
          <w:color w:val="auto"/>
        </w:rPr>
      </w:pPr>
    </w:p>
    <w:p>
      <w:pPr>
        <w:ind w:right="160" w:firstLine="332"/>
        <w:spacing w:after="0" w:line="303" w:lineRule="auto"/>
        <w:rPr>
          <w:sz w:val="20"/>
          <w:szCs w:val="20"/>
          <w:color w:val="auto"/>
        </w:rPr>
      </w:pPr>
      <w:r>
        <w:rPr>
          <w:rFonts w:ascii="Arial" w:cs="Arial" w:eastAsia="Arial" w:hAnsi="Arial"/>
          <w:sz w:val="15"/>
          <w:szCs w:val="15"/>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24"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In order to market and sell our products in the European Union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79" w:lineRule="exact"/>
        <w:rPr>
          <w:sz w:val="20"/>
          <w:szCs w:val="20"/>
          <w:color w:val="auto"/>
        </w:rPr>
      </w:pPr>
    </w:p>
    <w:p>
      <w:pPr>
        <w:ind w:right="380"/>
        <w:spacing w:after="0" w:line="315"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46"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have received a Fast Track product designation for AXS-02 for the treatment of pain associated with CRPS,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b w:val="1"/>
          <w:bCs w:val="1"/>
          <w:i w:val="1"/>
          <w:iCs w:val="1"/>
          <w:color w:val="auto"/>
        </w:rPr>
        <w:t>Regulatory approval is limited by the FDA to those specific indications and conditions for which clinical safety and efficacy have been demonstrated, and we may be subject to fines, penalties or injunctions if we are determined to be promoting the use of our products for unapproved or "off-label" uses, resulting in damage to our reputation and business.</w:t>
      </w:r>
    </w:p>
    <w:p>
      <w:pPr>
        <w:spacing w:after="0" w:line="179" w:lineRule="exact"/>
        <w:rPr>
          <w:sz w:val="20"/>
          <w:szCs w:val="20"/>
          <w:color w:val="auto"/>
        </w:rPr>
      </w:pPr>
    </w:p>
    <w:p>
      <w:pPr>
        <w:ind w:right="60" w:firstLine="338"/>
        <w:spacing w:after="0" w:line="294" w:lineRule="auto"/>
        <w:rPr>
          <w:sz w:val="20"/>
          <w:szCs w:val="20"/>
          <w:color w:val="auto"/>
        </w:rPr>
      </w:pPr>
      <w:r>
        <w:rPr>
          <w:rFonts w:ascii="Arial" w:cs="Arial" w:eastAsia="Arial" w:hAnsi="Arial"/>
          <w:sz w:val="16"/>
          <w:szCs w:val="16"/>
          <w:color w:val="auto"/>
        </w:rPr>
        <w:t>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and our business may be adversely affected.</w:t>
      </w:r>
    </w:p>
    <w:p>
      <w:pPr>
        <w:spacing w:after="0" w:line="163" w:lineRule="exact"/>
        <w:rPr>
          <w:sz w:val="20"/>
          <w:szCs w:val="20"/>
          <w:color w:val="auto"/>
        </w:rPr>
      </w:pPr>
    </w:p>
    <w:p>
      <w:pPr>
        <w:ind w:right="380" w:firstLine="338"/>
        <w:spacing w:after="0" w:line="306" w:lineRule="auto"/>
        <w:rPr>
          <w:sz w:val="20"/>
          <w:szCs w:val="20"/>
          <w:color w:val="auto"/>
        </w:rPr>
      </w:pPr>
      <w:r>
        <w:rPr>
          <w:rFonts w:ascii="Arial" w:cs="Arial" w:eastAsia="Arial" w:hAnsi="Arial"/>
          <w:sz w:val="15"/>
          <w:szCs w:val="15"/>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pharmaceutical companies concerning off-label use.</w:t>
      </w:r>
    </w:p>
    <w:p>
      <w:pPr>
        <w:spacing w:after="0" w:line="159" w:lineRule="exact"/>
        <w:rPr>
          <w:sz w:val="20"/>
          <w:szCs w:val="20"/>
          <w:color w:val="auto"/>
        </w:rPr>
      </w:pPr>
    </w:p>
    <w:p>
      <w:pPr>
        <w:ind w:right="20" w:firstLine="338"/>
        <w:spacing w:after="0" w:line="277" w:lineRule="auto"/>
        <w:rPr>
          <w:sz w:val="20"/>
          <w:szCs w:val="20"/>
          <w:color w:val="auto"/>
        </w:rPr>
      </w:pPr>
      <w:r>
        <w:rPr>
          <w:rFonts w:ascii="Arial" w:cs="Arial" w:eastAsia="Arial" w:hAnsi="Arial"/>
          <w:sz w:val="16"/>
          <w:szCs w:val="16"/>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The FDA strictly regulates the promotional claims that may be made about prescription products. For example, claims about our products as well as comparisons to other products would be subject to stringent regulation. In particular, a product may not be promoted for off-label uses.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81"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Individuals may bring actions on behalf of the government, on their own, called qui tam actions. If the government decides to intervene and prevails in the lawsuit, the individual will share in the proceeds from any fines or settlement funds. If the government declines to intervene, the individual may pursue the case alone. Since 2004, these False Claims Act lawsuits against pharmaceutical companies have increased significantly in volume and breadth, leading to several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59" w:lineRule="exact"/>
        <w:rPr>
          <w:sz w:val="20"/>
          <w:szCs w:val="20"/>
          <w:color w:val="auto"/>
        </w:rPr>
      </w:pPr>
    </w:p>
    <w:p>
      <w:pPr>
        <w:ind w:right="60" w:firstLine="341"/>
        <w:spacing w:after="0" w:line="279" w:lineRule="auto"/>
        <w:rPr>
          <w:sz w:val="20"/>
          <w:szCs w:val="20"/>
          <w:color w:val="auto"/>
        </w:rPr>
      </w:pPr>
      <w:r>
        <w:rPr>
          <w:rFonts w:ascii="Arial" w:cs="Arial" w:eastAsia="Arial" w:hAnsi="Arial"/>
          <w:sz w:val="16"/>
          <w:szCs w:val="16"/>
          <w:color w:val="auto"/>
        </w:rPr>
        <w:t>In addition to the prohibition of promotion of off-label uses, if any of our product candidates are approved, we will be subject to other regulatory restrictions on how we may promote and market our products. For instance, the FDA strictly regulates the content of drug promotion and advertising. We must also be able to sufficiently substantiate any claims that we make for our products including claims comparing our products to other companies' products. 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enforcement actions, including issuance of warning letters or untitled letters, suspend or withdraw an approved product from the market, undertake mandatory or voluntary recalls, pay civil fines, disgorge money, and face operating restrictions, injunctions or criminal prosecution. These regulatory and enforcement actions could significantly harm our business, financial condition, results of operations, and prospects.</w:t>
      </w:r>
    </w:p>
    <w:p>
      <w:pPr>
        <w:spacing w:after="0" w:line="17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Even if AXS-02 or AXS-05 receive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for our product candidates, if approved, and the establishments at which they are manufactured,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181"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pre-approval for product and manufacturing changes. Application fees may apply to certain changes.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352" w:lineRule="auto"/>
        <w:rPr>
          <w:sz w:val="20"/>
          <w:szCs w:val="20"/>
          <w:color w:val="auto"/>
        </w:rPr>
      </w:pPr>
      <w:r>
        <w:rPr>
          <w:rFonts w:ascii="Arial" w:cs="Arial" w:eastAsia="Arial" w:hAnsi="Arial"/>
          <w:sz w:val="15"/>
          <w:szCs w:val="15"/>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36"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manufacturing or distribution, or marketing of such products;</w:t>
      </w:r>
    </w:p>
    <w:p>
      <w:pPr>
        <w:spacing w:after="0" w:line="250"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labeling, including required additional warnings, such as black box warnings, contraindications, precautions, and restrictions on the approved indication or use;</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modifications to promotional pieces;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clinical holds or termination of clinical trials;</w:t>
      </w:r>
    </w:p>
    <w:p>
      <w:pPr>
        <w:spacing w:after="0" w:line="237" w:lineRule="exact"/>
        <w:rPr>
          <w:rFonts w:ascii="Arial" w:cs="Arial" w:eastAsia="Arial" w:hAnsi="Arial"/>
          <w:sz w:val="17"/>
          <w:szCs w:val="17"/>
          <w:color w:val="auto"/>
        </w:rPr>
      </w:pPr>
    </w:p>
    <w:p>
      <w:pPr>
        <w:ind w:left="1060" w:hanging="531"/>
        <w:spacing w:after="0" w:line="294"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75" w:lineRule="exact"/>
        <w:rPr>
          <w:rFonts w:ascii="Arial" w:cs="Arial" w:eastAsia="Arial" w:hAnsi="Arial"/>
          <w:sz w:val="16"/>
          <w:szCs w:val="16"/>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to the way the drug is administered;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liability for harm caused to patients or subjects;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reputational harm;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drug becoming less competitive;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warning, untitled, or cyber letters;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 of marketing or withdrawal of the products from the market;</w:t>
      </w:r>
    </w:p>
    <w:p>
      <w:pPr>
        <w:spacing w:after="0" w:line="237"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 seizure or detention;</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FDA debarment, debarment from government contracts, and refusal of future orders under existing contracts, exclusion from federal healthcare programs, consent decrees, or corporate integrity agreements;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including imprisonment.</w:t>
      </w:r>
    </w:p>
    <w:p>
      <w:pPr>
        <w:spacing w:after="0" w:line="224"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5"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to obtain FDA approval of any proposed product names, and any failure or delay associated with such approval may adversely affect our business.</w:t>
      </w:r>
    </w:p>
    <w:p>
      <w:pPr>
        <w:spacing w:after="0" w:line="259" w:lineRule="exact"/>
        <w:rPr>
          <w:sz w:val="20"/>
          <w:szCs w:val="20"/>
          <w:color w:val="auto"/>
        </w:rPr>
      </w:pPr>
    </w:p>
    <w:p>
      <w:pPr>
        <w:ind w:right="20" w:firstLine="332"/>
        <w:spacing w:after="0" w:line="26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28"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0"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central nervous system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6" w:lineRule="exact"/>
        <w:rPr>
          <w:sz w:val="20"/>
          <w:szCs w:val="20"/>
          <w:color w:val="auto"/>
        </w:rPr>
      </w:pPr>
    </w:p>
    <w:p>
      <w:pPr>
        <w:ind w:right="260" w:firstLine="341"/>
        <w:spacing w:after="0" w:line="263" w:lineRule="auto"/>
        <w:rPr>
          <w:sz w:val="20"/>
          <w:szCs w:val="20"/>
          <w:color w:val="auto"/>
        </w:rPr>
      </w:pPr>
      <w:r>
        <w:rPr>
          <w:rFonts w:ascii="Arial" w:cs="Arial" w:eastAsia="Arial" w:hAnsi="Arial"/>
          <w:sz w:val="17"/>
          <w:szCs w:val="17"/>
          <w:color w:val="auto"/>
        </w:rPr>
        <w:t>Specifically, there are a large number of companies developing or marketing therapies for the treatment and management of pain and other CNS disorders, including many major pharmaceutical and biotechnology companies. Among the companies that currently market or are developing therapies that, if approved, our product candidates would potentially compete with include: Alkermes plc; Allergan plc; Carbylan Therapeutics, Inc.; Eli Lilly and Company; Flexion Therapeutics, Inc.; Grunenthal GmbH; Janssen Research &amp; Development, LLC; Levolta Pharmaceuticals, Inc.; Merrion Pharmaceuticals plc; Otsuka Pharmaceutical Co. Ltd.; Thar Pharmaceuticals, Inc.; and Transition Therapeutics Inc.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 which would further impact our commercialization efforts.</w:t>
      </w:r>
    </w:p>
    <w:p>
      <w:pPr>
        <w:spacing w:after="0" w:line="188" w:lineRule="exact"/>
        <w:rPr>
          <w:sz w:val="20"/>
          <w:szCs w:val="20"/>
          <w:color w:val="auto"/>
        </w:rPr>
      </w:pPr>
    </w:p>
    <w:p>
      <w:pPr>
        <w:ind w:right="40" w:firstLine="338"/>
        <w:spacing w:after="0" w:line="311" w:lineRule="auto"/>
        <w:rPr>
          <w:sz w:val="20"/>
          <w:szCs w:val="20"/>
          <w:color w:val="auto"/>
        </w:rPr>
      </w:pPr>
      <w:r>
        <w:rPr>
          <w:rFonts w:ascii="Arial" w:cs="Arial" w:eastAsia="Arial" w:hAnsi="Arial"/>
          <w:sz w:val="15"/>
          <w:szCs w:val="15"/>
          <w:color w:val="auto"/>
        </w:rPr>
        <w:t>We are not aware of any generic products currently available on the market that are approved for the specific indications that we are pursuing; however, generic forms of the active ingredients of our product candidates, including zoledronic acid, DM, and bupropion, are available and could be used off-label. Any such off-label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w:t>
      </w:r>
    </w:p>
    <w:p>
      <w:pPr>
        <w:spacing w:after="0" w:line="155" w:lineRule="exact"/>
        <w:rPr>
          <w:sz w:val="20"/>
          <w:szCs w:val="20"/>
          <w:color w:val="auto"/>
        </w:rPr>
      </w:pPr>
    </w:p>
    <w:p>
      <w:pPr>
        <w:ind w:right="80" w:firstLine="341"/>
        <w:spacing w:after="0" w:line="303"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79" w:lineRule="exact"/>
        <w:rPr>
          <w:sz w:val="20"/>
          <w:szCs w:val="20"/>
          <w:color w:val="auto"/>
        </w:rPr>
      </w:pPr>
    </w:p>
    <w:p>
      <w:pPr>
        <w:ind w:right="160" w:firstLine="341"/>
        <w:spacing w:after="0" w:line="301" w:lineRule="auto"/>
        <w:rPr>
          <w:sz w:val="20"/>
          <w:szCs w:val="20"/>
          <w:color w:val="auto"/>
        </w:rPr>
      </w:pPr>
      <w:r>
        <w:rPr>
          <w:rFonts w:ascii="Arial" w:cs="Arial" w:eastAsia="Arial" w:hAnsi="Arial"/>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and are generally preferred by third-party payors. Thus, following the introduction of a generic drug, a significant percentage of the sales of any branded product or reference listed drug is typically lost to the generic product.</w:t>
      </w:r>
    </w:p>
    <w:p>
      <w:pPr>
        <w:spacing w:after="0" w:line="164" w:lineRule="exact"/>
        <w:rPr>
          <w:sz w:val="20"/>
          <w:szCs w:val="20"/>
          <w:color w:val="auto"/>
        </w:rPr>
      </w:pPr>
    </w:p>
    <w:p>
      <w:pPr>
        <w:ind w:right="120" w:firstLine="341"/>
        <w:spacing w:after="0" w:line="322" w:lineRule="auto"/>
        <w:rPr>
          <w:sz w:val="20"/>
          <w:szCs w:val="20"/>
          <w:color w:val="auto"/>
        </w:rPr>
      </w:pPr>
      <w:r>
        <w:rPr>
          <w:rFonts w:ascii="Arial" w:cs="Arial" w:eastAsia="Arial" w:hAnsi="Arial"/>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Further, if we do not file a patent infringement lawsuit against a generic manufacturer within 45 days of receiving notice of its paragraph IV certification, the ANDA or 505(b)(2) applicant would not be subject to a 30-month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competition from similar products, or may need to commence patent infringement proceedings, which would divert our resources.</w:t>
      </w:r>
    </w:p>
    <w:p>
      <w:pPr>
        <w:spacing w:after="0" w:line="159"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We currently anticipate that we may be eligible for three years of non-patent marketing exclusivity for our product candidates if they are approved. These three years, however, would only protect against modifications in formulation or approved uses in comparison to the reference listed drug and would not prevent other companies from submitting full NDAs. Moreover, a 505(b)(2) applicant could rely on a reference listed drug that is not one of our product candidates, or published literature, in which case any periods of patent or non-patent protection may not prevent FDA approval. We may also be eligible in the United States for seven years of orphan exclusivity for AXS-02 for the treatment of CRPS, which is further discussed below.</w:t>
      </w:r>
    </w:p>
    <w:p>
      <w:pPr>
        <w:spacing w:after="0" w:line="187" w:lineRule="exact"/>
        <w:rPr>
          <w:sz w:val="20"/>
          <w:szCs w:val="20"/>
          <w:color w:val="auto"/>
        </w:rPr>
      </w:pPr>
    </w:p>
    <w:p>
      <w:pPr>
        <w:ind w:right="180" w:firstLine="341"/>
        <w:spacing w:after="0" w:line="315"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46" w:lineRule="exact"/>
        <w:rPr>
          <w:sz w:val="20"/>
          <w:szCs w:val="20"/>
          <w:color w:val="auto"/>
        </w:rPr>
      </w:pPr>
    </w:p>
    <w:p>
      <w:pPr>
        <w:ind w:right="460"/>
        <w:spacing w:after="0" w:line="352" w:lineRule="auto"/>
        <w:rPr>
          <w:sz w:val="20"/>
          <w:szCs w:val="20"/>
          <w:color w:val="auto"/>
        </w:rPr>
      </w:pPr>
      <w:r>
        <w:rPr>
          <w:rFonts w:ascii="Arial" w:cs="Arial" w:eastAsia="Arial" w:hAnsi="Arial"/>
          <w:sz w:val="15"/>
          <w:szCs w:val="15"/>
          <w:b w:val="1"/>
          <w:bCs w:val="1"/>
          <w:i w:val="1"/>
          <w:iCs w:val="1"/>
          <w:color w:val="auto"/>
        </w:rPr>
        <w:t>AXS-02 has received Orphan Drug Designation from the FDA. However, there is no guarantee that we will be able to maintain this designation for AXS-02, receive this designation for any of our other product candidates, or receive or maintain any corresponding benefits, including periods of exclusivity.</w:t>
      </w:r>
    </w:p>
    <w:p>
      <w:pPr>
        <w:spacing w:after="0" w:line="123" w:lineRule="exact"/>
        <w:rPr>
          <w:sz w:val="20"/>
          <w:szCs w:val="20"/>
          <w:color w:val="auto"/>
        </w:rPr>
      </w:pPr>
    </w:p>
    <w:p>
      <w:pPr>
        <w:ind w:right="400" w:firstLine="332"/>
        <w:spacing w:after="0" w:line="282" w:lineRule="auto"/>
        <w:rPr>
          <w:sz w:val="20"/>
          <w:szCs w:val="20"/>
          <w:color w:val="auto"/>
        </w:rPr>
      </w:pPr>
      <w:r>
        <w:rPr>
          <w:rFonts w:ascii="Arial" w:cs="Arial" w:eastAsia="Arial" w:hAnsi="Arial"/>
          <w:sz w:val="17"/>
          <w:szCs w:val="17"/>
          <w:color w:val="auto"/>
        </w:rPr>
        <w:t>AXS-02 has received Orphan Drug Designation from the FDA for the treatment of CRPS. We may also seek Orphan Drug Designation for our other product candidates, as appropriate.</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Orphan Drug Designation, however, may be lost if the indication for which we develop AXS-02 or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AXS-02, AXS-05, or any other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more effective or makes a major contribution to patient care.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acid-containing product for the treatment of CRPS. If Thar Pharmaceuticals or another sponsor receives FDA approval for a zoledronic acid-containing product for the treatment of CRPS before we obtain FDA approval for AXS-02 for the treatment of pain associated with CRPS, we would be prevented from launching our product in the United States for this indication for a period of at least 7 years. If another sponsor receives EMA approval for a zoledronic acid-containing product for the treatment of CRPS before we obtain EMA approval for AXS-02 for the treatment of pain associated with CRPS, we would be prevented from launching our product in the European Union for this indication for a period of at least 10 to 12 years.</w:t>
      </w:r>
    </w:p>
    <w:p>
      <w:pPr>
        <w:spacing w:after="0" w:line="19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5"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90"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AXS-02, AXS-05, or any other of our current or future product candidates, which would limit our ability to generate product revenues. Factors that may inhibit our efforts to commercialize AXS-02, AXS-05, or any other of our current or future product candidates on our own include:</w:t>
      </w:r>
    </w:p>
    <w:p>
      <w:pPr>
        <w:spacing w:after="0" w:line="189"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250"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AXS-02, AXS-05, or any other of our current or future product candidates;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effectively oversee a geographically dispersed sales and marketing team;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inability to secure adequate coverage and reimbursement by government and private health plans;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clinical indications for which the product is approved;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liability for sales or marketing personnel who fail to comply with the applicable legal and regulatory requirements;</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4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AXS-02, AXS-05, or any other of our current or future product candidates.</w:t>
      </w:r>
    </w:p>
    <w:p>
      <w:pPr>
        <w:spacing w:after="0" w:line="187"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In the event we are unable to collaborate with a third-party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AXS-02 or AXS-05 does not achieve broad market acceptance, the revenues that we generate from their sales will be limited.</w:t>
      </w:r>
    </w:p>
    <w:p>
      <w:pPr>
        <w:spacing w:after="0" w:line="224" w:lineRule="exact"/>
        <w:rPr>
          <w:sz w:val="20"/>
          <w:szCs w:val="20"/>
          <w:color w:val="auto"/>
        </w:rPr>
      </w:pPr>
    </w:p>
    <w:p>
      <w:pPr>
        <w:ind w:right="40" w:firstLine="338"/>
        <w:spacing w:after="0" w:line="280" w:lineRule="auto"/>
        <w:rPr>
          <w:sz w:val="20"/>
          <w:szCs w:val="20"/>
          <w:color w:val="auto"/>
        </w:rPr>
      </w:pPr>
      <w:r>
        <w:rPr>
          <w:rFonts w:ascii="Arial" w:cs="Arial" w:eastAsia="Arial" w:hAnsi="Arial"/>
          <w:sz w:val="16"/>
          <w:szCs w:val="16"/>
          <w:color w:val="auto"/>
        </w:rPr>
        <w:t>We have never commercialized a product candidate for any indication. Even if AXS-02 or AXS-05 is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AXS-02 or AXS-05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7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any of our product candidates, and in particular AXS-02 and AXS-05, will depend on a number of factors, including:</w:t>
      </w:r>
    </w:p>
    <w:p>
      <w:pPr>
        <w:spacing w:after="0" w:line="237"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of our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adverse events associated with such product candidate;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indications for which the product is approved and the approved claims that we may make for the product;</w:t>
      </w:r>
    </w:p>
    <w:p>
      <w:pPr>
        <w:spacing w:after="0" w:line="237"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FDA-approved labeling, including potential limitations or warnings for such product candidate, that may be more restrictive than other competitive products;</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the standard of care for the targeted indications for such product candidate, which could reduce the marketing impact of any claims that we could make following FDA approval, if obtained;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 of such product candidate;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250"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extent and strength of our marketing and distribution of such product candidate;</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safety, efficacy, and other potential advantages over, and availability of, alternative treatments already used or that may later be approved for any of our intended indications;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offer such product candidate for sale at competitive prices, including prices that are competitive with generic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indications for which such product candidate is approved;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extent and strength of our third-party manufacturer and supplier support;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approval of other new products for the same indications;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publicity about the product or favorable publicity about competitive products;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22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third-party payors. If AXS-02, AXS-05, or any other of our current or future product candidates is approved but does not achieve an adequate level of acceptance among physicians,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patients, and third-party payors, we may not generate meaningful revenues from our product candidates, and we may not become profitable.</w:t>
      </w:r>
    </w:p>
    <w:p>
      <w:pPr>
        <w:spacing w:after="0" w:line="224"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off-label. Any use of these generic forms of the active molecules of our product candidates could adversely affect our business and our results of operations.</w:t>
      </w:r>
    </w:p>
    <w:p>
      <w:pPr>
        <w:spacing w:after="0" w:line="185"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potential market opportunities for our product candidates are difficult to precisely estimate.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7"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for AXS-02, AXS-05, or any other of our current or future product candidates and may have to limit their commercialization.</w:t>
      </w:r>
    </w:p>
    <w:p>
      <w:pPr>
        <w:spacing w:after="0" w:line="170" w:lineRule="exact"/>
        <w:rPr>
          <w:sz w:val="20"/>
          <w:szCs w:val="20"/>
          <w:color w:val="auto"/>
        </w:rPr>
      </w:pPr>
    </w:p>
    <w:p>
      <w:pPr>
        <w:ind w:right="20" w:firstLine="338"/>
        <w:spacing w:after="0" w:line="278" w:lineRule="auto"/>
        <w:rPr>
          <w:sz w:val="20"/>
          <w:szCs w:val="20"/>
          <w:color w:val="auto"/>
        </w:rPr>
      </w:pPr>
      <w:r>
        <w:rPr>
          <w:rFonts w:ascii="Arial" w:cs="Arial" w:eastAsia="Arial" w:hAnsi="Arial"/>
          <w:sz w:val="16"/>
          <w:szCs w:val="16"/>
          <w:color w:val="auto"/>
        </w:rPr>
        <w:t>The use of AXS-02, AXS-05, or any other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93"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impairment of our business reputation or financial stability;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costs of related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substantial monetary awards to patients or other claimants;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diversion of management attention;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 of revenues;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negative media attention;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 in our stock price;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initiation of investigations and enforcement actions by regulators;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We have obtained limited product liability insurance coverage for our products and our clinical trials with a $8 million annual aggregate coverage limit.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28" w:lineRule="exact"/>
        <w:rPr>
          <w:sz w:val="20"/>
          <w:szCs w:val="20"/>
          <w:color w:val="auto"/>
        </w:rPr>
      </w:pPr>
    </w:p>
    <w:p>
      <w:pPr>
        <w:ind w:right="240"/>
        <w:spacing w:after="0" w:line="352"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23"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We rely on third-party CROs to conduct, supervise, and monitor our preclinical and clinical trials for our product candidates, including AXS-02 and AXS-05, and do not currently plan to independently conduct clinical or preclinical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87"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90" w:lineRule="exact"/>
        <w:rPr>
          <w:sz w:val="20"/>
          <w:szCs w:val="20"/>
          <w:color w:val="auto"/>
        </w:rPr>
      </w:pPr>
    </w:p>
    <w:p>
      <w:pPr>
        <w:ind w:right="420" w:firstLine="341"/>
        <w:spacing w:after="0" w:line="287" w:lineRule="auto"/>
        <w:rPr>
          <w:sz w:val="20"/>
          <w:szCs w:val="20"/>
          <w:color w:val="auto"/>
        </w:rPr>
      </w:pPr>
      <w:r>
        <w:rPr>
          <w:rFonts w:ascii="Arial" w:cs="Arial" w:eastAsia="Arial" w:hAnsi="Arial"/>
          <w:sz w:val="16"/>
          <w:szCs w:val="16"/>
          <w:color w:val="auto"/>
        </w:rPr>
        <w:t>In addition, once we have an approved product,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impact study outcome, proprietary interests in a product candidate, certain company equity interests, or significant payments of other sorts.</w:t>
      </w:r>
    </w:p>
    <w:p>
      <w:pPr>
        <w:spacing w:after="0" w:line="224" w:lineRule="exact"/>
        <w:rPr>
          <w:sz w:val="20"/>
          <w:szCs w:val="20"/>
          <w:color w:val="auto"/>
        </w:rPr>
      </w:pPr>
    </w:p>
    <w:p>
      <w:pPr>
        <w:ind w:right="140" w:firstLine="338"/>
        <w:spacing w:after="0" w:line="263" w:lineRule="auto"/>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187"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66" w:lineRule="exact"/>
        <w:rPr>
          <w:sz w:val="20"/>
          <w:szCs w:val="20"/>
          <w:color w:val="auto"/>
        </w:rPr>
      </w:pPr>
    </w:p>
    <w:p>
      <w:pPr>
        <w:ind w:right="80" w:firstLine="341"/>
        <w:spacing w:after="0" w:line="306" w:lineRule="auto"/>
        <w:rPr>
          <w:sz w:val="20"/>
          <w:szCs w:val="20"/>
          <w:color w:val="auto"/>
        </w:rPr>
      </w:pPr>
      <w:r>
        <w:rPr>
          <w:rFonts w:ascii="Arial" w:cs="Arial" w:eastAsia="Arial" w:hAnsi="Arial"/>
          <w:sz w:val="15"/>
          <w:szCs w:val="15"/>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5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9"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AXS-02, AXS-05, or any other of our current or future product candidates for which we obtain approval in the future.</w:t>
      </w:r>
    </w:p>
    <w:p>
      <w:pPr>
        <w:spacing w:after="0" w:line="18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candidates may compete with other products and product candidates for access to manufacturing facilities. There are a limited number of manufacturers that operate under cGMP regulations and that are both capable of manufacturing for us and willing to do so. If our existing third-party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175" w:lineRule="exact"/>
        <w:rPr>
          <w:sz w:val="20"/>
          <w:szCs w:val="20"/>
          <w:color w:val="auto"/>
        </w:rPr>
      </w:pPr>
    </w:p>
    <w:p>
      <w:pPr>
        <w:ind w:right="80" w:firstLine="332"/>
        <w:spacing w:after="0" w:line="300" w:lineRule="auto"/>
        <w:rPr>
          <w:sz w:val="20"/>
          <w:szCs w:val="20"/>
          <w:color w:val="auto"/>
        </w:rPr>
      </w:pPr>
      <w:r>
        <w:rPr>
          <w:rFonts w:ascii="Arial" w:cs="Arial" w:eastAsia="Arial" w:hAnsi="Arial"/>
          <w:sz w:val="15"/>
          <w:szCs w:val="15"/>
          <w:color w:val="auto"/>
        </w:rPr>
        <w:t>Any problems or delays we experience in preparing for commercial-scale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this acceptable stability data for our product candidates, as well as validate methods and manufacturing processes, in order to receive regulatory approval to commercialize AXS-02, AXS-05, or any of our other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3"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We only have one contract manufacturer for each of AXS-02 and AXS-05 for use in our clinical trials. In addition, we do not have any long-term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75"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In addition, all manufacturers of our product candidates must comply with cGMP requirements enforced by the FDA that are applicable to both finished drug products and active pharmaceutical ingredients used both for clinical and commercial supply, through its facilities inspection program. Our manufacturers must be approved by the FDA pursuant to inspections that will be conducted after we submit our marketing applications to the agency.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We rely on third-party manufacturers for various components of our product candidates, and our business could be harmed if those third parties fail to provide us with sufficient quantities of those components at acceptable quality levels and prices.</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We rely on third-party manufacturers for various components of our product candidates, including active pharmaceutical ingredients, raw materials used in manufacturing, and capital equipment. Reliance on third-party manufacturers entails additional risks, including reliance on the third party for regulatory compliance and quality assurance. In addition, third-party manufacturers may not be able to comply with cGMP,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or any other product candidates or products that we may develop in the future.</w:t>
      </w:r>
    </w:p>
    <w:p>
      <w:pPr>
        <w:spacing w:after="0" w:line="190" w:lineRule="exact"/>
        <w:rPr>
          <w:sz w:val="20"/>
          <w:szCs w:val="20"/>
          <w:color w:val="auto"/>
        </w:rPr>
      </w:pPr>
    </w:p>
    <w:p>
      <w:pPr>
        <w:ind w:right="120" w:firstLine="332"/>
        <w:spacing w:after="0" w:line="263" w:lineRule="auto"/>
        <w:rPr>
          <w:sz w:val="20"/>
          <w:szCs w:val="20"/>
          <w:color w:val="auto"/>
        </w:rPr>
      </w:pPr>
      <w:r>
        <w:rPr>
          <w:rFonts w:ascii="Arial" w:cs="Arial" w:eastAsia="Arial" w:hAnsi="Arial"/>
          <w:sz w:val="17"/>
          <w:szCs w:val="17"/>
          <w:color w:val="auto"/>
        </w:rPr>
        <w:t>Any failure or refusal to supply the components for our current or future product candidates that we may develop could delay, prevent or impair our clinical development or commercialization efforts. If our contract manufacturers were to fail to fill our purchase orders, the development or commercialization of the affected products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AXS-02, AXS-05, or any other of our current or future product candidates will be significantly impacted and we may be subject to regulatory sanctions.</w:t>
      </w:r>
    </w:p>
    <w:p>
      <w:pPr>
        <w:spacing w:after="0" w:line="155"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color w:val="auto"/>
        </w:rPr>
        <w:t>We may retain third-party service providers to perform a variety of functions related to the sale and distribution of AXS-02, AXS-05, or any other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5"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Additionally, if a third party errs in calculating government pricing information from transactional data in our financial records, it could impact our discount and rebate liability.</w:t>
      </w:r>
    </w:p>
    <w:p>
      <w:pPr>
        <w:spacing w:after="0" w:line="170"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0"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for the development or commercialization of our product candidates in the rest of the world. We currently have not entered into any sub-license agreements. Our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75"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79"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92"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50"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2" w:lineRule="exact"/>
        <w:rPr>
          <w:rFonts w:ascii="Arial" w:cs="Arial" w:eastAsia="Arial" w:hAnsi="Arial"/>
          <w:sz w:val="17"/>
          <w:szCs w:val="17"/>
          <w:color w:val="auto"/>
        </w:rPr>
      </w:pPr>
    </w:p>
    <w:p>
      <w:pPr>
        <w:ind w:left="1060" w:right="3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250"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comply with all applicable regulatory requirements or may fail to report safety data in accordance with all applicable regulatory requirements;</w:t>
      </w:r>
    </w:p>
    <w:p>
      <w:pPr>
        <w:spacing w:after="0" w:line="182"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80" w:hanging="531"/>
        <w:spacing w:after="0" w:line="315"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2" w:lineRule="exact"/>
        <w:rPr>
          <w:rFonts w:ascii="Arial" w:cs="Arial" w:eastAsia="Arial" w:hAnsi="Arial"/>
          <w:sz w:val="16"/>
          <w:szCs w:val="16"/>
          <w:color w:val="auto"/>
        </w:rPr>
      </w:pPr>
    </w:p>
    <w:p>
      <w:pPr>
        <w:ind w:left="1060" w:right="58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82" w:lineRule="exact"/>
        <w:rPr>
          <w:rFonts w:ascii="Arial" w:cs="Arial" w:eastAsia="Arial" w:hAnsi="Arial"/>
          <w:sz w:val="17"/>
          <w:szCs w:val="17"/>
          <w:color w:val="auto"/>
        </w:rPr>
      </w:pPr>
    </w:p>
    <w:p>
      <w:pPr>
        <w:ind w:left="1060" w:right="20" w:hanging="531"/>
        <w:spacing w:after="0" w:line="322" w:lineRule="auto"/>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7" w:lineRule="exact"/>
        <w:rPr>
          <w:rFonts w:ascii="Arial" w:cs="Arial" w:eastAsia="Arial" w:hAnsi="Arial"/>
          <w:sz w:val="15"/>
          <w:szCs w:val="15"/>
          <w:color w:val="auto"/>
        </w:rPr>
      </w:pPr>
    </w:p>
    <w:p>
      <w:pPr>
        <w:ind w:left="1060" w:right="340" w:hanging="531"/>
        <w:spacing w:after="0" w:line="315"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2" w:lineRule="exact"/>
        <w:rPr>
          <w:rFonts w:ascii="Arial" w:cs="Arial" w:eastAsia="Arial" w:hAnsi="Arial"/>
          <w:sz w:val="16"/>
          <w:szCs w:val="16"/>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5" w:lineRule="exact"/>
        <w:rPr>
          <w:sz w:val="20"/>
          <w:szCs w:val="20"/>
          <w:color w:val="auto"/>
        </w:rPr>
      </w:pPr>
    </w:p>
    <w:p>
      <w:pPr>
        <w:ind w:right="280" w:firstLine="332"/>
        <w:spacing w:after="0" w:line="270" w:lineRule="auto"/>
        <w:rPr>
          <w:sz w:val="20"/>
          <w:szCs w:val="20"/>
          <w:color w:val="auto"/>
        </w:rPr>
      </w:pPr>
      <w:r>
        <w:rPr>
          <w:rFonts w:ascii="Arial" w:cs="Arial" w:eastAsia="Arial" w:hAnsi="Arial"/>
          <w:sz w:val="17"/>
          <w:szCs w:val="17"/>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9" w:lineRule="exact"/>
        <w:rPr>
          <w:sz w:val="20"/>
          <w:szCs w:val="20"/>
          <w:color w:val="auto"/>
        </w:rPr>
      </w:pPr>
    </w:p>
    <w:p>
      <w:pPr>
        <w:ind w:right="20" w:firstLine="341"/>
        <w:spacing w:after="0" w:line="298" w:lineRule="auto"/>
        <w:rPr>
          <w:sz w:val="20"/>
          <w:szCs w:val="20"/>
          <w:color w:val="auto"/>
        </w:rPr>
      </w:pPr>
      <w:r>
        <w:rPr>
          <w:rFonts w:ascii="Arial" w:cs="Arial" w:eastAsia="Arial" w:hAnsi="Arial"/>
          <w:sz w:val="15"/>
          <w:szCs w:val="15"/>
          <w:color w:val="auto"/>
        </w:rPr>
        <w:t>For AXS-02, AXS-05, and any other current or future product candidates, we may in the future determine to collaborate with additional pharmaceutical and biotechnology companies for their development and potential commercialization.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b w:val="1"/>
          <w:bCs w:val="1"/>
          <w:i w:val="1"/>
          <w:iCs w:val="1"/>
          <w:color w:val="auto"/>
        </w:rPr>
        <w:t>We are dependent on third parties to decide to utilize AXS-02 and AXS-05 to make them readily available at the point of care throughout their networks of pharmacies.</w:t>
      </w:r>
    </w:p>
    <w:p>
      <w:pPr>
        <w:spacing w:after="0" w:line="170"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In addition to extensive internal efforts, the successful commercialization of AXS-02 and AXS-05 will require many third parties, over whom we have no control, to decide to utilize AXS-02 and AXS-05,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AXS-02 or AXS-05 for its own pharmacies, or a PBM will pay retail network pharmacies on behalf of its health plans, AXS-02 and AXS-05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AXS-02 or AXS-05 for use in their institutions or reimbursing retail pharmacies outweighs clinical benefits and will resist efforts to add AXS-02 or AXS-05 to the formulary, or implement restrictions on the usage of the drug in order to control costs. We cannot guarantee that we will be successful in getting the approvals we need from enough P&amp;T committees quickly enough to maintain and grow sales of AXS-02 or AXS-05.</w:t>
      </w:r>
    </w:p>
    <w:p>
      <w:pPr>
        <w:spacing w:after="0" w:line="171"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46" w:lineRule="exact"/>
        <w:rPr>
          <w:sz w:val="20"/>
          <w:szCs w:val="20"/>
          <w:color w:val="auto"/>
        </w:rPr>
      </w:pPr>
    </w:p>
    <w:p>
      <w:pPr>
        <w:ind w:right="100" w:firstLine="341"/>
        <w:spacing w:after="0" w:line="293" w:lineRule="auto"/>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Pursuant to the agreements, we are required to use commercially reasonable efforts to develop, obtain regulatory approval for, and commercialize AXS-02, AXS-05, and AXS-04. Under the terms of the agreements, we are required to pay to Antecip a royalty equal to</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If any of the license agreements with Antecip are terminated for any reason, our business, financial condition, results of operations, and prospects will be materially harmed.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0"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Market exclusivity awarded by the FDA upon the approval of an NDA is limited in scope and duration. Our commercial success will depend in part on obtaining, maintaining, enforcing, and defending against third-party challenges, our patent and trade secret protection for AXS-02, AXS-05, and any other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85"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AXS-02, AXS-05, or any other of our current or future product candidates that we may develop, license or acquire by obtaining and defending patents. For example:</w:t>
      </w:r>
    </w:p>
    <w:p>
      <w:pPr>
        <w:spacing w:after="0" w:line="189"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have been the first to make the inventions covered by each of our pending patent applications and issued patents;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applications for these inventions;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product candidates or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is possible that none of the pending patent applications will result in issued patents;</w:t>
      </w:r>
    </w:p>
    <w:p>
      <w:pPr>
        <w:spacing w:after="0" w:line="250"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issued patents may not cover commercially viable active products, may not provide us with any competitive advantages, or may be successfully challenged by third parties;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patents of others may have an adverse effect on our business;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120" w:hanging="531"/>
        <w:spacing w:after="0" w:line="270"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205"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23" w:lineRule="exact"/>
        <w:rPr>
          <w:sz w:val="20"/>
          <w:szCs w:val="20"/>
          <w:color w:val="auto"/>
        </w:rPr>
      </w:pPr>
    </w:p>
    <w:p>
      <w:pPr>
        <w:ind w:right="20" w:firstLine="341"/>
        <w:spacing w:after="0" w:line="298" w:lineRule="auto"/>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right="180" w:firstLine="341"/>
        <w:spacing w:after="0" w:line="28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Patent applications in the United States are maintained in confidence for at least 18 months after their earliest effective filing date. Consequently, we cannot be certain we were the first to invent or the first to file patent applications on AXS-02, AXS-05,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 Patent and Trademark Office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9"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addition, the patentability of claims in pending patent applications covering AXS-02, AXS-05, or any other of our current or future product candidates can be challenged by third parties during prosecution in the U.S. Patent and Trademark Office, for example by third-party observations and derivation proceedings, and the validity of claims in issued patents can be challenged by third parties in various post-grant proceedings such as post-grant review, reexamination, and inter-partes review proceedings.</w:t>
      </w:r>
    </w:p>
    <w:p>
      <w:pPr>
        <w:spacing w:after="0" w:line="185"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87"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4" w:lineRule="exact"/>
        <w:rPr>
          <w:sz w:val="20"/>
          <w:szCs w:val="20"/>
          <w:color w:val="auto"/>
        </w:rPr>
      </w:pPr>
    </w:p>
    <w:p>
      <w:pPr>
        <w:ind w:right="20"/>
        <w:spacing w:after="0" w:line="35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23" w:lineRule="exact"/>
        <w:rPr>
          <w:sz w:val="20"/>
          <w:szCs w:val="20"/>
          <w:color w:val="auto"/>
        </w:rPr>
      </w:pPr>
    </w:p>
    <w:p>
      <w:pPr>
        <w:ind w:right="480" w:firstLine="341"/>
        <w:spacing w:after="0" w:line="270" w:lineRule="auto"/>
        <w:rPr>
          <w:sz w:val="20"/>
          <w:szCs w:val="20"/>
          <w:color w:val="auto"/>
        </w:rPr>
      </w:pPr>
      <w:r>
        <w:rPr>
          <w:rFonts w:ascii="Arial" w:cs="Arial" w:eastAsia="Arial" w:hAnsi="Arial"/>
          <w:sz w:val="17"/>
          <w:szCs w:val="17"/>
          <w:color w:val="auto"/>
        </w:rPr>
        <w:t>If we or Antecip fail to obtain or maintain patent protection or trade secret protection for AXS-02, AXS-05, or any other of our current or future product candidates that we develop, license, or acquire, third parties could use our proprietary information, which could impair our ability to compete in the market and adversely affect our ability to generate revenues and achieve profitability.</w:t>
      </w:r>
    </w:p>
    <w:p>
      <w:pPr>
        <w:spacing w:after="0" w:line="179"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9"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740"/>
        <w:spacing w:after="0" w:line="282" w:lineRule="auto"/>
        <w:rPr>
          <w:sz w:val="20"/>
          <w:szCs w:val="20"/>
          <w:color w:val="auto"/>
        </w:rPr>
      </w:pPr>
      <w:r>
        <w:rPr>
          <w:rFonts w:ascii="Arial" w:cs="Arial" w:eastAsia="Arial" w:hAnsi="Arial"/>
          <w:sz w:val="17"/>
          <w:szCs w:val="17"/>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0" w:lineRule="exact"/>
        <w:rPr>
          <w:sz w:val="20"/>
          <w:szCs w:val="20"/>
          <w:color w:val="auto"/>
        </w:rPr>
      </w:pPr>
    </w:p>
    <w:p>
      <w:pPr>
        <w:ind w:right="60" w:firstLine="341"/>
        <w:spacing w:after="0" w:line="277" w:lineRule="auto"/>
        <w:rPr>
          <w:sz w:val="20"/>
          <w:szCs w:val="20"/>
          <w:color w:val="auto"/>
        </w:rPr>
      </w:pPr>
      <w:r>
        <w:rPr>
          <w:rFonts w:ascii="Arial" w:cs="Arial" w:eastAsia="Arial" w:hAnsi="Arial"/>
          <w:sz w:val="16"/>
          <w:szCs w:val="16"/>
          <w:color w:val="auto"/>
        </w:rPr>
        <w:t>Our ability to develop, manufacture, market, and sell AXS-02, AXS-05, and any other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AXS-02, AXS-05, or any other of our current or future product candidates may infringe. There could also be existing patents of which we are not aware that AXS-02, AXS-05, or any other of our current or future product candidates may inadvertently infringe.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 third party claims that we infringe on their products or technology, we could face a number of issues, including:</w:t>
      </w:r>
    </w:p>
    <w:p>
      <w:pPr>
        <w:spacing w:after="0" w:line="237" w:lineRule="exact"/>
        <w:rPr>
          <w:sz w:val="20"/>
          <w:szCs w:val="20"/>
          <w:color w:val="auto"/>
        </w:rPr>
      </w:pPr>
    </w:p>
    <w:p>
      <w:pPr>
        <w:ind w:left="1060" w:right="160" w:hanging="531"/>
        <w:spacing w:after="0" w:line="28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 license is available from a patent holder, we may have to pay substantial royalties or grant cross licenses to our patents;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236"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47"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right="180" w:firstLine="332"/>
        <w:spacing w:after="0" w:line="265"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85"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0" w:lineRule="exact"/>
        <w:rPr>
          <w:sz w:val="20"/>
          <w:szCs w:val="20"/>
          <w:color w:val="auto"/>
        </w:rPr>
      </w:pPr>
    </w:p>
    <w:p>
      <w:pPr>
        <w:jc w:val="both"/>
        <w:ind w:right="20" w:firstLine="332"/>
        <w:spacing w:after="0" w:line="311" w:lineRule="auto"/>
        <w:rPr>
          <w:sz w:val="20"/>
          <w:szCs w:val="20"/>
          <w:color w:val="auto"/>
        </w:rPr>
      </w:pPr>
      <w:r>
        <w:rPr>
          <w:rFonts w:ascii="Arial" w:cs="Arial" w:eastAsia="Arial" w:hAnsi="Arial"/>
          <w:sz w:val="15"/>
          <w:szCs w:val="15"/>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adequately prevent disclosure of trade secrets and other proprietary information.</w:t>
      </w:r>
    </w:p>
    <w:p>
      <w:pPr>
        <w:spacing w:after="0" w:line="224"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We rely on trade secrets to protect our proprietary technological advances and know-how,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information and may not provide an adequate remedy in the event of unauthorized disclosure of confidential information. Costly and time-consuming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or our licensors may not be able to protect our intellectual property rights throughout the world.</w:t>
      </w:r>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87"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228" w:lineRule="exact"/>
        <w:rPr>
          <w:sz w:val="20"/>
          <w:szCs w:val="20"/>
          <w:color w:val="auto"/>
        </w:rPr>
      </w:pPr>
    </w:p>
    <w:p>
      <w:pPr>
        <w:ind w:right="160"/>
        <w:spacing w:after="0" w:line="315"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and prospects could be adversely affected.</w:t>
      </w:r>
    </w:p>
    <w:p>
      <w:pPr>
        <w:spacing w:after="0" w:line="146"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As a pharmaceutical company, we are subject to many federal and state healthcare laws, including those described in the Government Regulation and Product Approval section of this prospectus, such as the federal Anti-Kickback Statute, the federal civil False Claims Act, the Veterans Health Care Act of 1992, the federal Health Insurance Portability and Accountability Act of 1996 (as amended by the Health Information Technology for Economics and Clinical Health Act), the Foreign Corrupt Practices Act of 1977, and the Patient Protection and Affordable Care Act of 2010. Even though we do not and will not control referrals of healthcare services or bill directly to Medicare, Medicaid or other third-party payors, certain federal and state healthcare laws, and regulations pertaining to fraud and abuse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and patients' rights are and will be applicable to our business. We would be subject to healthcare fraud and abuse and patient privacy regulation by both the federal government and the states in which we conduct our business.</w:t>
      </w:r>
    </w:p>
    <w:p>
      <w:pPr>
        <w:spacing w:after="0" w:line="170"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and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90"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privacy, security,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5" w:lineRule="exact"/>
        <w:rPr>
          <w:sz w:val="20"/>
          <w:szCs w:val="20"/>
          <w:color w:val="auto"/>
        </w:rPr>
      </w:pPr>
    </w:p>
    <w:p>
      <w:pPr>
        <w:ind w:right="260"/>
        <w:spacing w:after="0" w:line="394" w:lineRule="auto"/>
        <w:rPr>
          <w:sz w:val="20"/>
          <w:szCs w:val="20"/>
          <w:color w:val="auto"/>
        </w:rPr>
      </w:pPr>
      <w:r>
        <w:rPr>
          <w:rFonts w:ascii="Arial" w:cs="Arial" w:eastAsia="Arial" w:hAnsi="Arial"/>
          <w:sz w:val="14"/>
          <w:szCs w:val="14"/>
          <w:b w:val="1"/>
          <w:bCs w:val="1"/>
          <w:i w:val="1"/>
          <w:iCs w:val="1"/>
          <w:color w:val="auto"/>
        </w:rPr>
        <w:t>If the government or third-party payors fail to provide adequate coverage and payment rates for AXS-02, AXS-05, or any other of our current or future product candidates, or if HMOs or long-term care facilities choose to use therapies that are less expensive, our revenue and prospects for profitability will be limited.</w:t>
      </w:r>
    </w:p>
    <w:p>
      <w:pPr>
        <w:spacing w:after="0" w:line="101"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In both domestic and foreign markets, sales of our future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87"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75" w:lineRule="exact"/>
        <w:rPr>
          <w:sz w:val="20"/>
          <w:szCs w:val="20"/>
          <w:color w:val="auto"/>
        </w:rPr>
      </w:pPr>
    </w:p>
    <w:p>
      <w:pPr>
        <w:ind w:right="60" w:firstLine="338"/>
        <w:spacing w:after="0" w:line="262"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8"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75" w:lineRule="exact"/>
        <w:rPr>
          <w:sz w:val="20"/>
          <w:szCs w:val="20"/>
          <w:color w:val="auto"/>
        </w:rPr>
      </w:pPr>
    </w:p>
    <w:p>
      <w:pPr>
        <w:ind w:right="80" w:firstLine="341"/>
        <w:spacing w:after="0" w:line="278" w:lineRule="auto"/>
        <w:rPr>
          <w:sz w:val="20"/>
          <w:szCs w:val="20"/>
          <w:color w:val="auto"/>
        </w:rPr>
      </w:pPr>
      <w:r>
        <w:rPr>
          <w:rFonts w:ascii="Arial" w:cs="Arial" w:eastAsia="Arial" w:hAnsi="Arial"/>
          <w:sz w:val="16"/>
          <w:szCs w:val="16"/>
          <w:color w:val="auto"/>
        </w:rPr>
        <w:t>In addition, federal programs impose penalties on manufacturers of drugs marketed under an NDA, including 505(b)(2) drugs,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7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3"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76"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ind w:right="280" w:firstLine="341"/>
        <w:spacing w:after="0" w:line="263"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87"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For example, legislative changes have been proposed and adopted since President Obama signed into law the Health Care Reform Law in 2010. These changes include, among other things, aggregate reductions to Medicare payments to providers of up to 2% per fiscal year, which went effective on April 1, 2013. In addition,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on our results of operations.</w:t>
      </w:r>
    </w:p>
    <w:p>
      <w:pPr>
        <w:spacing w:after="0" w:line="18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While the full effect that the Health Care Reform Law would have on our business remains unclear, we expect that the Health Care Reform Law, as well as other federal and state healthcare reform measures that may be adopted in the future, may result in more rigorous coverage criteria,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increased regulatory burdens and operating costs, decreased net revenue from our pharmaceutical products, decreased potential returns from our development efforts,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9"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5"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recently enacted Drug Quality and Security Act imposes new obligations on manufacturers of pharmaceutical products related to product tracking and tracing. Among the requirements of this new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7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224"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spacing w:after="0" w:line="352"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23"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9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b w:val="1"/>
          <w:bCs w:val="1"/>
          <w:i w:val="1"/>
          <w:iCs w:val="1"/>
          <w:color w:val="auto"/>
        </w:rPr>
        <w:t>Our third-party manufacturers may use hazardous materials in the production of our product candidates and if so, they must comply with environmental laws and regulations, which can be expensive and restrict how we or they do business.</w:t>
      </w:r>
    </w:p>
    <w:p>
      <w:pPr>
        <w:spacing w:after="0" w:line="17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7" w:lineRule="exact"/>
        <w:rPr>
          <w:sz w:val="20"/>
          <w:szCs w:val="20"/>
          <w:color w:val="auto"/>
        </w:rPr>
      </w:pPr>
    </w:p>
    <w:p>
      <w:pPr>
        <w:ind w:right="20" w:firstLine="332"/>
        <w:spacing w:after="0" w:line="29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both"/>
        <w:ind w:right="400" w:firstLine="341"/>
        <w:spacing w:after="0" w:line="27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5" w:lineRule="exact"/>
        <w:rPr>
          <w:sz w:val="20"/>
          <w:szCs w:val="20"/>
          <w:color w:val="auto"/>
        </w:rPr>
      </w:pPr>
    </w:p>
    <w:p>
      <w:pPr>
        <w:jc w:val="both"/>
        <w:ind w:right="2760"/>
        <w:spacing w:after="0" w:line="586" w:lineRule="auto"/>
        <w:rPr>
          <w:sz w:val="20"/>
          <w:szCs w:val="20"/>
          <w:color w:val="auto"/>
        </w:rPr>
      </w:pPr>
      <w:r>
        <w:rPr>
          <w:rFonts w:ascii="Arial" w:cs="Arial" w:eastAsia="Arial" w:hAnsi="Arial"/>
          <w:sz w:val="15"/>
          <w:szCs w:val="15"/>
          <w:b w:val="1"/>
          <w:bCs w:val="1"/>
          <w:color w:val="auto"/>
        </w:rPr>
        <w:t xml:space="preserve">RISKS RELATED TO EMPLOYEE MATTERS, MANAGING GROWTH AND BECOMING A PUBLIC COMPANY </w:t>
      </w:r>
      <w:r>
        <w:rPr>
          <w:rFonts w:ascii="Arial" w:cs="Arial" w:eastAsia="Arial" w:hAnsi="Arial"/>
          <w:sz w:val="15"/>
          <w:szCs w:val="15"/>
          <w:b w:val="1"/>
          <w:bCs w:val="1"/>
          <w:i w:val="1"/>
          <w:iCs w:val="1"/>
          <w:color w:val="auto"/>
        </w:rPr>
        <w:t>We will need to significantly increase the size of our organization, and we may experience difficulties in managing growth.</w:t>
      </w:r>
    </w:p>
    <w:p>
      <w:pPr>
        <w:spacing w:after="0" w:line="1"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As of August 25, 2015, we had only 5 full-time employees and 3 key consultants. We will need to substantially expand our managerial, commercial, financial, manufacturing, and other personnel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311" w:lineRule="auto"/>
        <w:rPr>
          <w:sz w:val="20"/>
          <w:szCs w:val="20"/>
          <w:color w:val="auto"/>
        </w:rPr>
      </w:pPr>
      <w:r>
        <w:rPr>
          <w:rFonts w:ascii="Arial" w:cs="Arial" w:eastAsia="Arial" w:hAnsi="Arial"/>
          <w:sz w:val="15"/>
          <w:szCs w:val="15"/>
          <w:color w:val="auto"/>
        </w:rPr>
        <w:t>resources in order to manage our operations and prepare for the commercialization of AXS-02 and AXS-05,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8" w:lineRule="exact"/>
        <w:rPr>
          <w:sz w:val="20"/>
          <w:szCs w:val="20"/>
          <w:color w:val="auto"/>
        </w:rPr>
      </w:pPr>
    </w:p>
    <w:p>
      <w:pPr>
        <w:ind w:left="1060" w:right="20" w:hanging="531"/>
        <w:spacing w:after="0" w:line="28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the hiring and training of personnel for an effective commercial organization in anticipation of the potential approval of AXS-02 and AXS-05, and establish appropriate systems, policies and infrastructure to support that organization;</w:t>
      </w:r>
    </w:p>
    <w:p>
      <w:pPr>
        <w:spacing w:after="0" w:line="196"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ensure that our consultants and other service providers successfully carry out their contractual obligations, provide high quality results, and meet expected deadlines;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carry out our own contractual obligations to our licensors and other third parties;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may be unable to successfully implement these tasks on a larger scale and, accordingly, may not achieve our development and commercialization goals.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7"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may be unable to hire, train, retain or motivate additional key personnel. We do not maintain "key person" insurance for any of our executives or other employees.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w:t>
      </w:r>
    </w:p>
    <w:p>
      <w:pPr>
        <w:ind w:right="120"/>
        <w:spacing w:after="0" w:line="304" w:lineRule="auto"/>
        <w:rPr>
          <w:sz w:val="20"/>
          <w:szCs w:val="20"/>
          <w:color w:val="auto"/>
        </w:rPr>
      </w:pPr>
      <w:r>
        <w:rPr>
          <w:rFonts w:ascii="Arial" w:cs="Arial" w:eastAsia="Arial" w:hAnsi="Arial"/>
          <w:sz w:val="15"/>
          <w:szCs w:val="15"/>
          <w:color w:val="auto"/>
        </w:rPr>
        <w:t>The NASDAQ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0"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After the completion of this offering, we will be subject to the reporting requirements of the Securities Exchange Act of 1934, the Sarbanes-Oxley Act of 2002</w:t>
      </w:r>
    </w:p>
    <w:p>
      <w:pPr>
        <w:spacing w:after="0" w:line="4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and the rules and regulations of The NASDAQ Market. 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Commencing with our fiscal year ending December 31, 2016, we must perform system and process evaluation and testing of our internal control over financial reporting to allow management to report on the effectiveness of our internal controls over financial reporting in our Form 10-K filing for that year, as required by Section 404.</w:t>
      </w:r>
    </w:p>
    <w:p>
      <w:pPr>
        <w:spacing w:after="0" w:line="171"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Prior to this offering, we have never been required to test, nor have we tested, our internal controls within a specified period, and, as a result, we may experience difficulty in meeting these reporting requirements in a timely manner.</w:t>
      </w:r>
    </w:p>
    <w:p>
      <w:pPr>
        <w:spacing w:after="0" w:line="175" w:lineRule="exact"/>
        <w:rPr>
          <w:sz w:val="20"/>
          <w:szCs w:val="20"/>
          <w:color w:val="auto"/>
        </w:rPr>
      </w:pPr>
    </w:p>
    <w:p>
      <w:pPr>
        <w:ind w:right="520" w:firstLine="338"/>
        <w:spacing w:after="0" w:line="315" w:lineRule="auto"/>
        <w:rPr>
          <w:sz w:val="20"/>
          <w:szCs w:val="20"/>
          <w:color w:val="auto"/>
        </w:rPr>
      </w:pPr>
      <w:r>
        <w:rPr>
          <w:rFonts w:ascii="Arial" w:cs="Arial" w:eastAsia="Arial" w:hAnsi="Arial"/>
          <w:sz w:val="16"/>
          <w:szCs w:val="16"/>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 and all fraud. A control system, no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are not able to comply with the requirements of Section 404 in a timely manner, or if we identify one or more material weaknesses in our internal controls, investors could lose confidence in the reliability of our financial statements, the market price of our stock could decline</w:t>
      </w:r>
    </w:p>
    <w:p>
      <w:pPr>
        <w:spacing w:after="0" w:line="3" w:lineRule="exact"/>
        <w:rPr>
          <w:sz w:val="20"/>
          <w:szCs w:val="20"/>
          <w:color w:val="auto"/>
        </w:rPr>
      </w:pPr>
    </w:p>
    <w:p>
      <w:pPr>
        <w:spacing w:after="0"/>
        <w:tabs>
          <w:tab w:leader="none" w:pos="5440" w:val="left"/>
        </w:tabs>
        <w:rPr>
          <w:sz w:val="20"/>
          <w:szCs w:val="20"/>
          <w:color w:val="auto"/>
        </w:rPr>
      </w:pPr>
      <w:r>
        <w:rPr>
          <w:rFonts w:ascii="Arial" w:cs="Arial" w:eastAsia="Arial" w:hAnsi="Arial"/>
          <w:sz w:val="17"/>
          <w:szCs w:val="17"/>
          <w:color w:val="auto"/>
        </w:rPr>
        <w:t>and we could be subject to sanctions or investigations by The NASDAQ</w:t>
      </w:r>
      <w:r>
        <w:rPr>
          <w:sz w:val="20"/>
          <w:szCs w:val="20"/>
          <w:color w:val="auto"/>
        </w:rPr>
        <w:tab/>
      </w:r>
      <w:r>
        <w:rPr>
          <w:rFonts w:ascii="Arial" w:cs="Arial" w:eastAsia="Arial" w:hAnsi="Arial"/>
          <w:sz w:val="15"/>
          <w:szCs w:val="15"/>
          <w:color w:val="auto"/>
        </w:rPr>
        <w:t>Market, the SEC, or other regulatory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system failures.</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There is no established public market for our common stock and a public market may not be obtained or be liquid and therefore you may not be able to sell your shares.</w:t>
      </w:r>
    </w:p>
    <w:p>
      <w:pPr>
        <w:spacing w:after="0" w:line="170"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Prior to this offering, there has not been a public market for our common stock. If an active trading market for our common stock does not develop following this offering, you may not be able to sell your shares quickly or at the market price. The initial public offering price for the shares will be determined by negotiations between us and the representative of the underwriters and may not be indicative of prices that will prevail in the subsequent trading market.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be highly volatile, and you may not be able to resell your shares at or above the initial public offering price.</w:t>
      </w:r>
    </w:p>
    <w:p>
      <w:pPr>
        <w:spacing w:after="0" w:line="247"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83"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delays in the commencement, enrollment, and ultimate completion, of our planned Phase 3 clinical trials for AXS-02 and AXS-05;</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AXS-02, AXS-05, or any other of our current and future product candidates;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commercial success of AXS-02, AXS-05, and any other of our current and future product candidates, if approved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clinical trials of AXS-02, AXS-05, and any other of our current and future product candidates or those of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variations in quarterly or annual operating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failure to meet or exceed financial projections we provide to the public, if 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meet or exceed the estimates and projections of the investment community, including securities analysts;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introduction of competitive products or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or developments in laws or regulations applicable to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perception of the pharmaceutical industry by the public, legislatures, regulators, and the investment community;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U.S. equity markets;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concerning our sources of manufacturing supply, warehousing, and inventory control;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disputes or other developments relating to patents or other proprietary rights;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capital commitments;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and expectations of additional financing efforts, including the issuance of debt, equity or convertible securities;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common stock, including sales by our directors and officers or significant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market valuations of companies similar to us;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conditions or trends in our industry;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9"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the completion of this offering, and such lack of research coverage may adversely affect the market price of our common stock. In the event we do have equity research analyst coverage, we will not have any control over the analysts or the content and opinions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operating results may fluctuate significantly.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expect our operating results to be subject to quarterly fluctuations. Our net loss and other operating results will be affected by numerous factors, including:</w:t>
      </w:r>
    </w:p>
    <w:p>
      <w:pPr>
        <w:spacing w:after="0" w:line="260" w:lineRule="exact"/>
        <w:rPr>
          <w:sz w:val="20"/>
          <w:szCs w:val="20"/>
          <w:color w:val="auto"/>
        </w:rPr>
      </w:pPr>
    </w:p>
    <w:p>
      <w:pPr>
        <w:ind w:left="1060" w:right="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FDA requires us to complete additional, unanticipated studies, tests or other activities prior to approving AXS-02, AXS-05, or any other of our current and future product candidates, which would likely further delay any such approval;</w:t>
      </w:r>
    </w:p>
    <w:p>
      <w:pPr>
        <w:spacing w:after="0" w:line="196" w:lineRule="exact"/>
        <w:rPr>
          <w:rFonts w:ascii="Arial" w:cs="Arial" w:eastAsia="Arial" w:hAnsi="Arial"/>
          <w:sz w:val="17"/>
          <w:szCs w:val="17"/>
          <w:color w:val="auto"/>
        </w:rPr>
      </w:pPr>
    </w:p>
    <w:p>
      <w:pPr>
        <w:ind w:left="1060" w:right="280" w:hanging="531"/>
        <w:spacing w:after="0" w:line="270"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AXS-02, AXS-05, or any other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identify and enter into third-party manufacturing arrangements capable of manufacturing AXS-02, AXS-05, or any other of our current or future product candidates in commercial quantities;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variations in the level of expenses related to our future development programs;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product liability or intellectual property infringement lawsuit in which we may become involved;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developments affecting AXS-02, AXS-05, and our other current and future product candidates, or the product candidates of our competitors; and</w:t>
      </w:r>
    </w:p>
    <w:p>
      <w:pPr>
        <w:spacing w:after="0" w:line="196"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AXS-02, AXS-05, or any other of our current or future product candidates receive regulatory approval, the level of underlying demand for such product candidate and wholesaler buying patterns.</w:t>
      </w:r>
    </w:p>
    <w:p>
      <w:pPr>
        <w:spacing w:after="0" w:line="170" w:lineRule="exact"/>
        <w:rPr>
          <w:sz w:val="20"/>
          <w:szCs w:val="20"/>
          <w:color w:val="auto"/>
        </w:rPr>
      </w:pPr>
    </w:p>
    <w:p>
      <w:pPr>
        <w:ind w:right="80" w:firstLine="341"/>
        <w:spacing w:after="0" w:line="322"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5"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0"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303" w:lineRule="auto"/>
        <w:rPr>
          <w:sz w:val="20"/>
          <w:szCs w:val="20"/>
          <w:color w:val="auto"/>
        </w:rPr>
      </w:pPr>
      <w:r>
        <w:rPr>
          <w:rFonts w:ascii="Arial" w:cs="Arial" w:eastAsia="Arial" w:hAnsi="Arial"/>
          <w:sz w:val="15"/>
          <w:szCs w:val="15"/>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right="640"/>
        <w:spacing w:after="0" w:line="282"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200" w:firstLine="341"/>
        <w:spacing w:after="0" w:line="277" w:lineRule="auto"/>
        <w:rPr>
          <w:sz w:val="20"/>
          <w:szCs w:val="20"/>
          <w:color w:val="auto"/>
        </w:rPr>
      </w:pPr>
      <w:r>
        <w:rPr>
          <w:rFonts w:ascii="Arial" w:cs="Arial" w:eastAsia="Arial" w:hAnsi="Arial"/>
          <w:sz w:val="16"/>
          <w:szCs w:val="16"/>
          <w:color w:val="auto"/>
        </w:rPr>
        <w:t>Upon completion of this offering, assuming an initial public offering price of $ per share, which is the midpoint of the price range set forth on the cover page of this prospectus, our executive officers, directors, and 5% stockholders and their affiliates will beneficially own an aggregate of approximately % of our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outstanding common stock, excluding any shares of common stock that our existing stockholders may purchase in this offering. As a result, these stockholders will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0"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36"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9"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Upon completion of this offering, we will have outstanding shares of common stock, assuming no exercise of the underwriters' over-allotment option or of outstanding options or warrants. Of these shares, the shares sold in this offering and additional shares will be freely tradable, additional shares of</w:t>
      </w:r>
    </w:p>
    <w:p>
      <w:pPr>
        <w:spacing w:after="0" w:line="1" w:lineRule="exact"/>
        <w:rPr>
          <w:sz w:val="20"/>
          <w:szCs w:val="20"/>
          <w:color w:val="auto"/>
        </w:rPr>
      </w:pPr>
    </w:p>
    <w:p>
      <w:pPr>
        <w:ind w:right="460"/>
        <w:spacing w:after="0" w:line="291" w:lineRule="auto"/>
        <w:rPr>
          <w:sz w:val="20"/>
          <w:szCs w:val="20"/>
          <w:color w:val="auto"/>
        </w:rPr>
      </w:pPr>
      <w:r>
        <w:rPr>
          <w:rFonts w:ascii="Arial" w:cs="Arial" w:eastAsia="Arial" w:hAnsi="Arial"/>
          <w:sz w:val="15"/>
          <w:szCs w:val="15"/>
          <w:color w:val="auto"/>
        </w:rPr>
        <w:t>common stock will be available for sale in the public market beginning 180 days after the date of this prospectus following the expiration of lock-up agreements between some of our stockholders and the underwriters, subject, in the case of our affiliates, to the volume, manner of sale and other limitations of Rule 144,</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shares issued or issuable upon exercise of options and warrants vested as of the expiration of the lock-up period will be eligible for sale at that time, subject, in the case of our affiliates, to the volume, manner of sale and other limitations of Rule 144. The representative of the underwriters may release these stockholders from their lock-up agreements with the underwriters at any time and without notice, which would allow for earlier sales of shares in the public market. Sales of stock by these stockholders could have a material adverse effect on the market price of our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addition, promptly following the completion of this offering, we intend to file one or more registration statements on Form S-8 registering the issuance of</w:t>
      </w:r>
    </w:p>
    <w:p>
      <w:pPr>
        <w:spacing w:after="0" w:line="32"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approximately shares of common stock subject to options or other equity awards issued or reserved for future issuance under our 2013 Equity Compensation Plan.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our stockholders will not have the opportunity as part of their investment decision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 Pending their use, we may invest the net proceeds from this offering in short-term, investment-grade, interest-bearing instruments and U.S. government securities. These temporary investments are not likely to yield a significant return.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24" w:lineRule="exact"/>
        <w:rPr>
          <w:sz w:val="20"/>
          <w:szCs w:val="20"/>
          <w:color w:val="auto"/>
        </w:rPr>
      </w:pPr>
    </w:p>
    <w:p>
      <w:pPr>
        <w:ind w:right="280" w:firstLine="338"/>
        <w:spacing w:after="0" w:line="296" w:lineRule="auto"/>
        <w:rPr>
          <w:sz w:val="20"/>
          <w:szCs w:val="20"/>
          <w:color w:val="auto"/>
        </w:rPr>
      </w:pPr>
      <w:r>
        <w:rPr>
          <w:rFonts w:ascii="Arial" w:cs="Arial" w:eastAsia="Arial" w:hAnsi="Arial"/>
          <w:sz w:val="15"/>
          <w:szCs w:val="15"/>
          <w:color w:val="auto"/>
        </w:rPr>
        <w:t>The initial public offering price of our common stock is substantially higher than the pro forma net tangible book value per share of our common stock as of June 30, 2015, after giving effect to this offering. Investors purchasing common stock in this offering will pay a price per share that substantially exceeds the book</w:t>
      </w:r>
    </w:p>
    <w:p>
      <w:pPr>
        <w:ind w:right="140"/>
        <w:spacing w:after="0" w:line="273" w:lineRule="auto"/>
        <w:rPr>
          <w:sz w:val="20"/>
          <w:szCs w:val="20"/>
          <w:color w:val="auto"/>
        </w:rPr>
      </w:pPr>
      <w:r>
        <w:rPr>
          <w:rFonts w:ascii="Arial" w:cs="Arial" w:eastAsia="Arial" w:hAnsi="Arial"/>
          <w:sz w:val="16"/>
          <w:szCs w:val="16"/>
          <w:color w:val="auto"/>
        </w:rPr>
        <w:t>value of our tangible assets after subtracting our liabilities. Based on an assumed initial public offering price of $ per share, which is the midpoint of the price range set forth on the cover page of this prospectus, you will experience immediate dilution of $ per share, or $ per share if the underwriters exercise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their over-allotment option in full, representing the difference between our pro forma net tangible book value per share, after giving effect to this offering, and the</w:t>
      </w:r>
    </w:p>
    <w:p>
      <w:pPr>
        <w:spacing w:after="0" w:line="38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assumed initial public offering price. In addition, purchasers of common stock in this offering will have contributed approximately % of the aggregate price paid by all purchasers of our stock, but will own only approximately % of our common stock outstanding after this offering. See "Dilution." In addition, as of June 30,</w:t>
      </w:r>
    </w:p>
    <w:p>
      <w:pPr>
        <w:spacing w:after="0" w:line="1" w:lineRule="exact"/>
        <w:rPr>
          <w:sz w:val="20"/>
          <w:szCs w:val="20"/>
          <w:color w:val="auto"/>
        </w:rPr>
      </w:pPr>
    </w:p>
    <w:p>
      <w:pPr>
        <w:ind w:right="460"/>
        <w:spacing w:after="0" w:line="317" w:lineRule="auto"/>
        <w:rPr>
          <w:sz w:val="20"/>
          <w:szCs w:val="20"/>
          <w:color w:val="auto"/>
        </w:rPr>
      </w:pPr>
      <w:r>
        <w:rPr>
          <w:rFonts w:ascii="Arial" w:cs="Arial" w:eastAsia="Arial" w:hAnsi="Arial"/>
          <w:sz w:val="15"/>
          <w:szCs w:val="15"/>
          <w:color w:val="auto"/>
        </w:rPr>
        <w:t>2015, options and warrants to purchase an aggregate of 159,529 shares of our common stock at a weighted average exercise price of $19.49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a liquidation or sale of our company.</w:t>
      </w:r>
    </w:p>
    <w:p>
      <w:pPr>
        <w:spacing w:after="0" w:line="149"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60" w:firstLine="338"/>
        <w:spacing w:after="0" w:line="294" w:lineRule="auto"/>
        <w:rPr>
          <w:sz w:val="20"/>
          <w:szCs w:val="20"/>
          <w:color w:val="auto"/>
        </w:rPr>
      </w:pPr>
      <w:r>
        <w:rPr>
          <w:rFonts w:ascii="Arial" w:cs="Arial" w:eastAsia="Arial" w:hAnsi="Arial"/>
          <w:sz w:val="15"/>
          <w:szCs w:val="15"/>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$1.0 billion in non-convertible debt during the prior three-year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our net operating loss carryforwards and research tax credits may be limited.</w:t>
      </w:r>
    </w:p>
    <w:p>
      <w:pPr>
        <w:spacing w:after="0" w:line="224" w:lineRule="exact"/>
        <w:rPr>
          <w:sz w:val="20"/>
          <w:szCs w:val="20"/>
          <w:color w:val="auto"/>
        </w:rPr>
      </w:pPr>
    </w:p>
    <w:p>
      <w:pPr>
        <w:ind w:right="20" w:firstLine="341"/>
        <w:spacing w:after="0" w:line="297"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2013 and 2014, we had U.S. net operating loss carryforwards of approximately $2.2 million and $6.6 million, respectively. Our net operating loss carryforwards will begin expiring in 2033 if we have not used them prior to that time. Additionally, our ability to use any net operating loss and credit carryforwards to offset taxable income or tax, respectively, in the future will be limited under Internal Revenue Code Sections 382 and 383, respectively, if we have a cumulative change in ownership of more than 50% within a three-year period. The completion of this offering, together with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intend to pay dividends on our common stock, your returns will be limited to any increase in the value of our stock.</w:t>
      </w:r>
    </w:p>
    <w:p>
      <w:pPr>
        <w:spacing w:after="0" w:line="224"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85" w:lineRule="exact"/>
        <w:rPr>
          <w:sz w:val="20"/>
          <w:szCs w:val="20"/>
          <w:color w:val="auto"/>
        </w:rPr>
      </w:pPr>
    </w:p>
    <w:p>
      <w:pPr>
        <w:ind w:right="280"/>
        <w:spacing w:after="0" w:line="315"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6"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There are provisions in our amended and restated certificate of incorporation and amended and restated bylaws, as will be in effect following the completion of this offering, that may make it difficult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a third party to acquire, or attempt to acquire, control of our company, even if a change in control was considered favorable by you and other stockholders. For</w:t>
      </w:r>
    </w:p>
    <w:p>
      <w:pPr>
        <w:spacing w:after="0" w:line="32"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example, our board of directors will have the authority to issue up to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237"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of directors will be divided into three classes, with only one class of directors elected each year;</w:t>
      </w:r>
    </w:p>
    <w:p>
      <w:pPr>
        <w:spacing w:after="0" w:line="23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34"/>
          <w:szCs w:val="34"/>
          <w:color w:val="auto"/>
          <w:vertAlign w:val="superscript"/>
        </w:rPr>
      </w:pPr>
      <w:r>
        <w:rPr>
          <w:rFonts w:ascii="Arial" w:cs="Arial" w:eastAsia="Arial" w:hAnsi="Arial"/>
          <w:sz w:val="17"/>
          <w:szCs w:val="17"/>
          <w:color w:val="auto"/>
        </w:rPr>
        <w:t>our stockholders will be entitled to remove directors only for cause upon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vote;</w:t>
      </w:r>
    </w:p>
    <w:p>
      <w:pPr>
        <w:spacing w:after="0" w:line="100" w:lineRule="exact"/>
        <w:rPr>
          <w:rFonts w:ascii="Arial" w:cs="Arial" w:eastAsia="Arial" w:hAnsi="Arial"/>
          <w:sz w:val="34"/>
          <w:szCs w:val="34"/>
          <w:color w:val="auto"/>
          <w:vertAlign w:val="superscript"/>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stockholders will not be permitted to take actions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stockholders will not be permitted to call a special meeting of stockholders;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stockholders must give us advance notice of their intent to nominate directors or submit proposals for consideration at stockholder meetings.</w:t>
      </w:r>
    </w:p>
    <w:p>
      <w:pPr>
        <w:spacing w:after="0" w:line="236"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9"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Our amended and restated certificate of incorporation that will become effective upon the closing of this offering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8" w:lineRule="exact"/>
        <w:rPr>
          <w:sz w:val="20"/>
          <w:szCs w:val="20"/>
          <w:color w:val="auto"/>
        </w:rPr>
      </w:pPr>
    </w:p>
    <w:p>
      <w:pPr>
        <w:ind w:right="40" w:firstLine="341"/>
        <w:spacing w:after="0" w:line="296" w:lineRule="auto"/>
        <w:rPr>
          <w:sz w:val="20"/>
          <w:szCs w:val="20"/>
          <w:color w:val="auto"/>
        </w:rPr>
      </w:pPr>
      <w:r>
        <w:rPr>
          <w:rFonts w:ascii="Arial" w:cs="Arial" w:eastAsia="Arial" w:hAnsi="Arial"/>
          <w:sz w:val="15"/>
          <w:szCs w:val="15"/>
          <w:color w:val="auto"/>
        </w:rPr>
        <w:t>From time to time, in reports filed with the Securities and Exchange Commission (including the registration statement of which this prospectus is a part),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prospectus should be evaluated together with the many risks and uncertainties that affect our business and our market, including those discussed in the "Risk Factors" included elsewhere in this prospectus. Forward-looking statements are not guarantees of future performance, and actual results may differ materially from those projected. The forward-looking statements are only predictions based upon our current expectations and projections about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spacing w:after="0" w:line="171"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stock. Except as required by law, we do not assume any obligation to update any forward-looking statements, whether as a result of new information, future events, or otherwise.</w:t>
      </w:r>
    </w:p>
    <w:p>
      <w:pPr>
        <w:spacing w:after="0" w:line="187"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We obtained the industry and market data in this prospectus from our own research as well as from industry and general publications and surveys and studies conducted by third parties. Industry and general publications, studies and surveys generally state that the information contained therein has been obtained from sources believed to be reliable. These third parties may, in the future, alter the manner in which they conduct surveys and studies regarding the markets in which we operate our business. As a result, you should carefully consider the inherent risks and uncertainties associated with the industry and market data contained in this prospectus, including those discussed under the heading "Risk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9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00" w:type="dxa"/>
            <w:vAlign w:val="bottom"/>
          </w:tcPr>
          <w:p>
            <w:pPr>
              <w:ind w:left="900"/>
              <w:spacing w:after="0"/>
              <w:rPr>
                <w:sz w:val="20"/>
                <w:szCs w:val="20"/>
                <w:color w:val="auto"/>
              </w:rPr>
            </w:pPr>
            <w:r>
              <w:rPr>
                <w:rFonts w:ascii="Arial" w:cs="Arial" w:eastAsia="Arial" w:hAnsi="Arial"/>
                <w:sz w:val="17"/>
                <w:szCs w:val="17"/>
                <w:b w:val="1"/>
                <w:bCs w:val="1"/>
                <w:color w:val="auto"/>
              </w:rPr>
              <w:t>USE OF PROCEEDS</w:t>
            </w:r>
          </w:p>
        </w:tc>
        <w:tc>
          <w:tcPr>
            <w:tcW w:w="1660" w:type="dxa"/>
            <w:vAlign w:val="bottom"/>
          </w:tcPr>
          <w:p>
            <w:pPr>
              <w:spacing w:after="0"/>
              <w:rPr>
                <w:sz w:val="24"/>
                <w:szCs w:val="24"/>
                <w:color w:val="auto"/>
              </w:rPr>
            </w:pPr>
          </w:p>
        </w:tc>
      </w:tr>
      <w:tr>
        <w:trPr>
          <w:trHeight w:val="413"/>
        </w:trPr>
        <w:tc>
          <w:tcPr>
            <w:tcW w:w="4000" w:type="dxa"/>
            <w:vAlign w:val="bottom"/>
            <w:gridSpan w:val="3"/>
          </w:tcPr>
          <w:p>
            <w:pPr>
              <w:ind w:left="340"/>
              <w:spacing w:after="0"/>
              <w:rPr>
                <w:sz w:val="20"/>
                <w:szCs w:val="20"/>
                <w:color w:val="auto"/>
              </w:rPr>
            </w:pPr>
            <w:r>
              <w:rPr>
                <w:rFonts w:ascii="Arial" w:cs="Arial" w:eastAsia="Arial" w:hAnsi="Arial"/>
                <w:sz w:val="17"/>
                <w:szCs w:val="17"/>
                <w:color w:val="auto"/>
                <w:w w:val="95"/>
              </w:rPr>
              <w:t>We estimate that the net proceeds from the sale of</w:t>
            </w:r>
          </w:p>
        </w:tc>
        <w:tc>
          <w:tcPr>
            <w:tcW w:w="5500" w:type="dxa"/>
            <w:vAlign w:val="bottom"/>
          </w:tcPr>
          <w:p>
            <w:pPr>
              <w:ind w:left="260"/>
              <w:spacing w:after="0"/>
              <w:rPr>
                <w:sz w:val="20"/>
                <w:szCs w:val="20"/>
                <w:color w:val="auto"/>
              </w:rPr>
            </w:pPr>
            <w:r>
              <w:rPr>
                <w:rFonts w:ascii="Arial" w:cs="Arial" w:eastAsia="Arial" w:hAnsi="Arial"/>
                <w:sz w:val="17"/>
                <w:szCs w:val="17"/>
                <w:color w:val="auto"/>
                <w:w w:val="96"/>
              </w:rPr>
              <w:t>shares of our common stock that we are offering will be approximately $</w:t>
            </w:r>
          </w:p>
        </w:tc>
        <w:tc>
          <w:tcPr>
            <w:tcW w:w="1660" w:type="dxa"/>
            <w:vAlign w:val="bottom"/>
          </w:tcPr>
          <w:p>
            <w:pPr>
              <w:ind w:left="280"/>
              <w:spacing w:after="0"/>
              <w:rPr>
                <w:sz w:val="20"/>
                <w:szCs w:val="20"/>
                <w:color w:val="auto"/>
              </w:rPr>
            </w:pPr>
            <w:r>
              <w:rPr>
                <w:rFonts w:ascii="Arial" w:cs="Arial" w:eastAsia="Arial" w:hAnsi="Arial"/>
                <w:sz w:val="17"/>
                <w:szCs w:val="17"/>
                <w:color w:val="auto"/>
                <w:w w:val="89"/>
              </w:rPr>
              <w:t>million, based on an</w:t>
            </w:r>
          </w:p>
        </w:tc>
      </w:tr>
      <w:tr>
        <w:trPr>
          <w:trHeight w:val="216"/>
        </w:trPr>
        <w:tc>
          <w:tcPr>
            <w:tcW w:w="3040" w:type="dxa"/>
            <w:vAlign w:val="bottom"/>
            <w:gridSpan w:val="2"/>
          </w:tcPr>
          <w:p>
            <w:pPr>
              <w:spacing w:after="0"/>
              <w:rPr>
                <w:sz w:val="20"/>
                <w:szCs w:val="20"/>
                <w:color w:val="auto"/>
              </w:rPr>
            </w:pPr>
            <w:r>
              <w:rPr>
                <w:rFonts w:ascii="Arial" w:cs="Arial" w:eastAsia="Arial" w:hAnsi="Arial"/>
                <w:sz w:val="17"/>
                <w:szCs w:val="17"/>
                <w:color w:val="auto"/>
              </w:rPr>
              <w:t>assumed initial public offering price of $</w:t>
            </w:r>
          </w:p>
        </w:tc>
        <w:tc>
          <w:tcPr>
            <w:tcW w:w="8120" w:type="dxa"/>
            <w:vAlign w:val="bottom"/>
            <w:gridSpan w:val="3"/>
          </w:tcPr>
          <w:p>
            <w:pPr>
              <w:ind w:left="260"/>
              <w:spacing w:after="0"/>
              <w:rPr>
                <w:sz w:val="20"/>
                <w:szCs w:val="20"/>
                <w:color w:val="auto"/>
              </w:rPr>
            </w:pPr>
            <w:r>
              <w:rPr>
                <w:rFonts w:ascii="Arial" w:cs="Arial" w:eastAsia="Arial" w:hAnsi="Arial"/>
                <w:sz w:val="17"/>
                <w:szCs w:val="17"/>
                <w:color w:val="auto"/>
                <w:w w:val="93"/>
              </w:rPr>
              <w:t>per share, the midpoint of the price range set forth on the cover page of this prospectus, and after deducting the</w:t>
            </w:r>
          </w:p>
        </w:tc>
      </w:tr>
    </w:tbl>
    <w:p>
      <w:pPr>
        <w:spacing w:after="0"/>
        <w:rPr>
          <w:sz w:val="20"/>
          <w:szCs w:val="20"/>
          <w:color w:val="auto"/>
        </w:rPr>
      </w:pPr>
      <w:r>
        <w:rPr>
          <w:rFonts w:ascii="Arial" w:cs="Arial" w:eastAsia="Arial" w:hAnsi="Arial"/>
          <w:sz w:val="15"/>
          <w:szCs w:val="15"/>
          <w:color w:val="auto"/>
        </w:rPr>
        <w:t>estimated underwriting discounts and commissions and estimated offering expenses payable by us. If the underwriters' over-allotment option is exercised in full, we</w:t>
      </w:r>
    </w:p>
    <w:p>
      <w:pPr>
        <w:spacing w:after="0" w:line="376"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estimate that we will receive net proceeds of approximately $ million after deducting the estimated underwriting discounts and commissions and estimated offering expenses payable by us.</w:t>
      </w:r>
    </w:p>
    <w:p>
      <w:pPr>
        <w:spacing w:after="0" w:line="170"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 from this offering by approximately $ million, assuming the number of shares offered by us, as set</w:t>
      </w:r>
    </w:p>
    <w:p>
      <w:pPr>
        <w:spacing w:after="0" w:line="1"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increase (decrease) the net proceeds to us from this offering by approximately $ million, assuming that the assumed initial public offering price remains the same, and after deducting the underwriting discounts and commissions and estimated offering expenses payable by us. We do not expect that a change in the offering price or the number of shares by these amounts would have a material effect on our uses of the proceeds from this offering, although it may accelerate the time at which we will need to seek additional capital.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use the proceeds from this offering as follows:</w:t>
      </w:r>
    </w:p>
    <w:p>
      <w:pPr>
        <w:spacing w:after="0" w:line="237" w:lineRule="exact"/>
        <w:rPr>
          <w:sz w:val="20"/>
          <w:szCs w:val="20"/>
          <w:color w:val="auto"/>
        </w:rPr>
      </w:pPr>
    </w:p>
    <w:p>
      <w:pPr>
        <w:ind w:left="1060" w:right="10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approximately $ million to fund ongoing development of AXS-02 including ongoing and planned trials in pain associated with CRPS, the pain of knee OA associated with BMLs, and CLBP associated with MCs;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approximately $</w:t>
      </w:r>
      <w:r>
        <w:rPr>
          <w:rFonts w:ascii="Arial" w:cs="Arial" w:eastAsia="Arial" w:hAnsi="Arial"/>
          <w:sz w:val="15"/>
          <w:szCs w:val="15"/>
          <w:color w:val="auto"/>
        </w:rPr>
        <w:t>million to fund ongoing development of AXS-05 including our planned trial in treatment resistant depression;</w:t>
      </w:r>
    </w:p>
    <w:p>
      <w:pPr>
        <w:spacing w:after="0" w:line="237"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remainder of the net proceeds to fund manufacturing, development of our product candidate pipeline, including preclinical programs, and general corporate purposes.</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of the date of this prospectus, we cannot specify with certainty all of the particular uses of the net proceeds to be received upon the completion of this offering. The amounts and timing of our actual expenditures will depend on numerous factors, including the progress of our development efforts, the status of and results from clinical trials, any collaborations that we may enter into with third parties for our product candidates, and any unforeseen cash needs. Accordingly, our management will have broad discretion in the application of the net proceeds and investors will be relying on the judgment of our management regarding the application of the net proceeds of this offering.</w:t>
      </w:r>
    </w:p>
    <w:p>
      <w:pPr>
        <w:spacing w:after="0" w:line="187"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Until we use the net proceeds of this offering for the above purposes, we intend to invest the funds in short-term, investment-grade, interest-bearing instruments and U.S. government securities. We cannot predict whether these investments will yield a favorable return.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We have not declared or paid any cash dividends on our capital stock since our inception. We currently anticipate that we will retain future earnings, if any, for the development, operation, and expansion of our business and do not anticipate declaring or paying any cash dividends in the foreseeable future. As a result, we anticipate that only appreciation of the price of our common stock, if any, will provide a return to investors in this offering for at least the foreseeable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describes our capitalization as of June 30, 2015:</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a pro forma basis to give effect to (1) the automatic conversion of all our outstanding convertible notes, together with any accrued and unpaid</w:t>
      </w:r>
    </w:p>
    <w:p>
      <w:pPr>
        <w:spacing w:after="0" w:line="43" w:lineRule="exact"/>
        <w:rPr>
          <w:sz w:val="20"/>
          <w:szCs w:val="20"/>
          <w:color w:val="auto"/>
        </w:rPr>
      </w:pPr>
    </w:p>
    <w:p>
      <w:pPr>
        <w:ind w:left="1060"/>
        <w:spacing w:after="0"/>
        <w:tabs>
          <w:tab w:leader="none" w:pos="4040" w:val="left"/>
        </w:tabs>
        <w:rPr>
          <w:sz w:val="20"/>
          <w:szCs w:val="20"/>
          <w:color w:val="auto"/>
        </w:rPr>
      </w:pPr>
      <w:r>
        <w:rPr>
          <w:rFonts w:ascii="Arial" w:cs="Arial" w:eastAsia="Arial" w:hAnsi="Arial"/>
          <w:sz w:val="17"/>
          <w:szCs w:val="17"/>
          <w:color w:val="auto"/>
        </w:rPr>
        <w:t>interest thereon, into an aggregate of</w:t>
      </w:r>
      <w:r>
        <w:rPr>
          <w:sz w:val="20"/>
          <w:szCs w:val="20"/>
          <w:color w:val="auto"/>
        </w:rPr>
        <w:tab/>
      </w:r>
      <w:r>
        <w:rPr>
          <w:rFonts w:ascii="Arial" w:cs="Arial" w:eastAsia="Arial" w:hAnsi="Arial"/>
          <w:sz w:val="15"/>
          <w:szCs w:val="15"/>
          <w:color w:val="auto"/>
        </w:rPr>
        <w:t>shares of our common stock upon the closing of this offering, assuming an initial public offering price of</w:t>
      </w:r>
    </w:p>
    <w:p>
      <w:pPr>
        <w:spacing w:after="0" w:line="14" w:lineRule="exact"/>
        <w:rPr>
          <w:sz w:val="20"/>
          <w:szCs w:val="20"/>
          <w:color w:val="auto"/>
        </w:rPr>
      </w:pPr>
    </w:p>
    <w:p>
      <w:pPr>
        <w:ind w:left="1700" w:hanging="646"/>
        <w:spacing w:after="0"/>
        <w:tabs>
          <w:tab w:leader="none" w:pos="1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the prospectus); (2) in conjunction with the conversion of the</w:t>
      </w:r>
    </w:p>
    <w:p>
      <w:pPr>
        <w:sectPr>
          <w:pgSz w:w="11900" w:h="16838" w:orient="portrait"/>
          <w:cols w:equalWidth="0" w:num="1">
            <w:col w:w="11420"/>
          </w:cols>
          <w:pgMar w:left="240" w:top="131" w:right="239" w:bottom="1440" w:gutter="0" w:footer="0" w:header="0"/>
        </w:sectPr>
      </w:pPr>
    </w:p>
    <w:p>
      <w:pPr>
        <w:spacing w:after="0" w:line="26" w:lineRule="exact"/>
        <w:rPr>
          <w:sz w:val="20"/>
          <w:szCs w:val="20"/>
          <w:color w:val="auto"/>
        </w:rPr>
      </w:pPr>
    </w:p>
    <w:p>
      <w:pPr>
        <w:ind w:left="1060"/>
        <w:spacing w:after="0" w:line="263" w:lineRule="auto"/>
        <w:rPr>
          <w:sz w:val="20"/>
          <w:szCs w:val="20"/>
          <w:color w:val="auto"/>
        </w:rPr>
      </w:pPr>
      <w:r>
        <w:rPr>
          <w:rFonts w:ascii="Arial" w:cs="Arial" w:eastAsia="Arial" w:hAnsi="Arial"/>
          <w:sz w:val="17"/>
          <w:szCs w:val="17"/>
          <w:color w:val="auto"/>
        </w:rPr>
        <w:t>convertible notes: (i) the accelerated amortization of $ of unamortized debt discount and $ of unamortized debt issuance costs and (ii) the reclassification of warrant and embedded derivative liabilities to additional paid-in capital as, upon the closing of this offering, neither is subject to remeasurement; and (3) the filing of our amended and restated certificate of incorporation, which will become effective immediately prior to the closing of this offering; and</w:t>
      </w:r>
    </w:p>
    <w:p>
      <w:pPr>
        <w:sectPr>
          <w:pgSz w:w="11900" w:h="16838" w:orient="portrait"/>
          <w:cols w:equalWidth="0" w:num="1">
            <w:col w:w="11420"/>
          </w:cols>
          <w:pgMar w:left="240" w:top="131" w:right="239" w:bottom="1440" w:gutter="0" w:footer="0" w:header="0"/>
          <w:type w:val="continuous"/>
        </w:sectPr>
      </w:pP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on a pro forma as adjusted basis to also reflect the sale of shares of common stock by us in this offering at an assumed initial public offering price of $ per share, which is the midpoint of the price range set forth on the cover page of this prospectus.</w:t>
      </w:r>
    </w:p>
    <w:p>
      <w:pPr>
        <w:spacing w:after="0" w:line="170"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right="160" w:firstLine="335"/>
        <w:spacing w:after="0" w:line="270" w:lineRule="auto"/>
        <w:rPr>
          <w:sz w:val="20"/>
          <w:szCs w:val="20"/>
          <w:color w:val="auto"/>
        </w:rPr>
      </w:pPr>
      <w:r>
        <w:rPr>
          <w:rFonts w:ascii="Arial" w:cs="Arial" w:eastAsia="Arial" w:hAnsi="Arial"/>
          <w:sz w:val="17"/>
          <w:szCs w:val="17"/>
          <w:color w:val="auto"/>
        </w:rPr>
        <w:t>You should read this capitalization table together with our consolidated financial statements and the related notes appearing elsewhere in this prospectus and the "Management's Discussion and Analysis of Financial Condition and Results of Operations" section and other financial information included elsewhere in this prospectus.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jc w:val="center"/>
              <w:ind w:right="15"/>
              <w:spacing w:after="0"/>
              <w:rPr>
                <w:sz w:val="20"/>
                <w:szCs w:val="20"/>
                <w:color w:val="auto"/>
              </w:rPr>
            </w:pPr>
            <w:r>
              <w:rPr>
                <w:rFonts w:ascii="Arial" w:cs="Arial" w:eastAsia="Arial" w:hAnsi="Arial"/>
                <w:sz w:val="13"/>
                <w:szCs w:val="13"/>
                <w:b w:val="1"/>
                <w:bCs w:val="1"/>
                <w:color w:val="auto"/>
                <w:w w:val="89"/>
              </w:rPr>
              <w:t>As of June 30, 2015</w:t>
            </w:r>
          </w:p>
        </w:tc>
        <w:tc>
          <w:tcPr>
            <w:tcW w:w="10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85"/>
              <w:spacing w:after="0" w:line="120" w:lineRule="exact"/>
              <w:rPr>
                <w:sz w:val="20"/>
                <w:szCs w:val="20"/>
                <w:color w:val="auto"/>
              </w:rPr>
            </w:pPr>
            <w:r>
              <w:rPr>
                <w:rFonts w:ascii="Arial" w:cs="Arial" w:eastAsia="Arial" w:hAnsi="Arial"/>
                <w:sz w:val="13"/>
                <w:szCs w:val="13"/>
                <w:b w:val="1"/>
                <w:bCs w:val="1"/>
                <w:color w:val="auto"/>
                <w:w w:val="94"/>
              </w:rPr>
              <w:t>Pro forma</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center"/>
              <w:ind w:right="1440"/>
              <w:spacing w:after="0" w:line="188" w:lineRule="exact"/>
              <w:rPr>
                <w:sz w:val="20"/>
                <w:szCs w:val="20"/>
                <w:color w:val="auto"/>
              </w:rPr>
            </w:pPr>
            <w:r>
              <w:rPr>
                <w:rFonts w:ascii="Arial" w:cs="Arial" w:eastAsia="Arial" w:hAnsi="Arial"/>
                <w:sz w:val="13"/>
                <w:szCs w:val="13"/>
                <w:b w:val="1"/>
                <w:bCs w:val="1"/>
                <w:color w:val="auto"/>
                <w:w w:val="85"/>
              </w:rPr>
              <w:t>as adjusted</w:t>
            </w:r>
            <w:r>
              <w:rPr>
                <w:rFonts w:ascii="Arial" w:cs="Arial" w:eastAsia="Arial" w:hAnsi="Arial"/>
                <w:sz w:val="21"/>
                <w:szCs w:val="21"/>
                <w:b w:val="1"/>
                <w:bCs w:val="1"/>
                <w:color w:val="auto"/>
                <w:w w:val="85"/>
                <w:vertAlign w:val="superscript"/>
              </w:rPr>
              <w:t>(1)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6,414,273</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gridSpan w:val="5"/>
            <w:vMerge w:val="restart"/>
          </w:tcPr>
          <w:p>
            <w:pPr>
              <w:ind w:left="20"/>
              <w:spacing w:after="0"/>
              <w:rPr>
                <w:sz w:val="20"/>
                <w:szCs w:val="20"/>
                <w:color w:val="auto"/>
              </w:rPr>
            </w:pPr>
            <w:r>
              <w:rPr>
                <w:rFonts w:ascii="Arial" w:cs="Arial" w:eastAsia="Arial" w:hAnsi="Arial"/>
                <w:sz w:val="17"/>
                <w:szCs w:val="17"/>
                <w:color w:val="auto"/>
                <w:w w:val="93"/>
              </w:rPr>
              <w:t>Convertible notes, net of discounts, non-current portion</w:t>
            </w: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900" w:type="dxa"/>
            <w:vAlign w:val="bottom"/>
            <w:gridSpan w:val="5"/>
            <w:vMerge w:val="continue"/>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10,908,831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Pr>
          <w:p>
            <w:pPr>
              <w:ind w:left="46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Pr>
          <w:p>
            <w:pPr>
              <w:ind w:left="76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5780" w:type="dxa"/>
            <w:vAlign w:val="bottom"/>
            <w:gridSpan w:val="8"/>
            <w:shd w:val="clear" w:color="auto" w:fill="CCEEFF"/>
          </w:tcPr>
          <w:p>
            <w:pPr>
              <w:ind w:left="20"/>
              <w:spacing w:after="0"/>
              <w:rPr>
                <w:sz w:val="20"/>
                <w:szCs w:val="20"/>
                <w:color w:val="auto"/>
              </w:rPr>
            </w:pPr>
            <w:r>
              <w:rPr>
                <w:rFonts w:ascii="Arial" w:cs="Arial" w:eastAsia="Arial" w:hAnsi="Arial"/>
                <w:sz w:val="17"/>
                <w:szCs w:val="17"/>
                <w:color w:val="auto"/>
                <w:w w:val="98"/>
              </w:rPr>
              <w:t>Preferred stock, $0.0001 par value per share; no shares authorized, issued or</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90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outstanding, actual;</w:t>
            </w:r>
          </w:p>
        </w:tc>
        <w:tc>
          <w:tcPr>
            <w:tcW w:w="3880" w:type="dxa"/>
            <w:vAlign w:val="bottom"/>
            <w:gridSpan w:val="4"/>
            <w:shd w:val="clear" w:color="auto" w:fill="CCEEFF"/>
          </w:tcPr>
          <w:p>
            <w:pPr>
              <w:jc w:val="right"/>
              <w:ind w:right="215"/>
              <w:spacing w:after="0"/>
              <w:rPr>
                <w:sz w:val="20"/>
                <w:szCs w:val="20"/>
                <w:color w:val="auto"/>
              </w:rPr>
            </w:pPr>
            <w:r>
              <w:rPr>
                <w:rFonts w:ascii="Arial" w:cs="Arial" w:eastAsia="Arial" w:hAnsi="Arial"/>
                <w:sz w:val="17"/>
                <w:szCs w:val="17"/>
                <w:color w:val="auto"/>
                <w:w w:val="91"/>
              </w:rPr>
              <w:t>shares authorized, no shares issued or outstanding,</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90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pro forma and pro forma as adjusted</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5780" w:type="dxa"/>
            <w:vAlign w:val="bottom"/>
            <w:gridSpan w:val="8"/>
          </w:tcPr>
          <w:p>
            <w:pPr>
              <w:ind w:left="20"/>
              <w:spacing w:after="0"/>
              <w:rPr>
                <w:sz w:val="20"/>
                <w:szCs w:val="20"/>
                <w:color w:val="auto"/>
              </w:rPr>
            </w:pPr>
            <w:r>
              <w:rPr>
                <w:rFonts w:ascii="Arial" w:cs="Arial" w:eastAsia="Arial" w:hAnsi="Arial"/>
                <w:sz w:val="17"/>
                <w:szCs w:val="17"/>
                <w:color w:val="auto"/>
              </w:rPr>
              <w:t>Common stock, $0.0001 par value per share, 3,000,000 shares authorized,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7"/>
                <w:szCs w:val="17"/>
                <w:color w:val="auto"/>
                <w:w w:val="99"/>
              </w:rPr>
              <w:t>1,512,449 shares issued and outstanding, actual;</w:t>
            </w:r>
          </w:p>
        </w:tc>
        <w:tc>
          <w:tcPr>
            <w:tcW w:w="1140" w:type="dxa"/>
            <w:vAlign w:val="bottom"/>
          </w:tcPr>
          <w:p>
            <w:pPr>
              <w:jc w:val="right"/>
              <w:ind w:right="555"/>
              <w:spacing w:after="0"/>
              <w:rPr>
                <w:sz w:val="20"/>
                <w:szCs w:val="20"/>
                <w:color w:val="auto"/>
              </w:rPr>
            </w:pPr>
            <w:r>
              <w:rPr>
                <w:rFonts w:ascii="Arial" w:cs="Arial" w:eastAsia="Arial" w:hAnsi="Arial"/>
                <w:sz w:val="17"/>
                <w:szCs w:val="17"/>
                <w:color w:val="auto"/>
                <w:w w:val="93"/>
              </w:rPr>
              <w:t>shares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7"/>
                <w:szCs w:val="17"/>
                <w:color w:val="auto"/>
              </w:rPr>
              <w:t>authorized,</w:t>
            </w:r>
          </w:p>
        </w:tc>
        <w:tc>
          <w:tcPr>
            <w:tcW w:w="3620" w:type="dxa"/>
            <w:vAlign w:val="bottom"/>
            <w:gridSpan w:val="3"/>
          </w:tcPr>
          <w:p>
            <w:pPr>
              <w:jc w:val="right"/>
              <w:ind w:right="415"/>
              <w:spacing w:after="0"/>
              <w:rPr>
                <w:sz w:val="20"/>
                <w:szCs w:val="20"/>
                <w:color w:val="auto"/>
              </w:rPr>
            </w:pPr>
            <w:r>
              <w:rPr>
                <w:rFonts w:ascii="Arial" w:cs="Arial" w:eastAsia="Arial" w:hAnsi="Arial"/>
                <w:sz w:val="17"/>
                <w:szCs w:val="17"/>
                <w:color w:val="auto"/>
                <w:w w:val="89"/>
              </w:rPr>
              <w:t>shares issued and outstanding pro forma; and</w:t>
            </w:r>
          </w:p>
        </w:tc>
        <w:tc>
          <w:tcPr>
            <w:tcW w:w="740" w:type="dxa"/>
            <w:vAlign w:val="bottom"/>
            <w:gridSpan w:val="2"/>
          </w:tcPr>
          <w:p>
            <w:pPr>
              <w:jc w:val="right"/>
              <w:ind w:right="215"/>
              <w:spacing w:after="0"/>
              <w:rPr>
                <w:sz w:val="20"/>
                <w:szCs w:val="20"/>
                <w:color w:val="auto"/>
              </w:rPr>
            </w:pPr>
            <w:r>
              <w:rPr>
                <w:rFonts w:ascii="Arial" w:cs="Arial" w:eastAsia="Arial" w:hAnsi="Arial"/>
                <w:sz w:val="17"/>
                <w:szCs w:val="17"/>
                <w:color w:val="auto"/>
                <w:w w:val="82"/>
              </w:rPr>
              <w:t>shares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7"/>
                <w:szCs w:val="17"/>
                <w:color w:val="auto"/>
              </w:rPr>
              <w:t>authorized,</w:t>
            </w:r>
          </w:p>
        </w:tc>
        <w:tc>
          <w:tcPr>
            <w:tcW w:w="3620" w:type="dxa"/>
            <w:vAlign w:val="bottom"/>
            <w:gridSpan w:val="3"/>
          </w:tcPr>
          <w:p>
            <w:pPr>
              <w:jc w:val="right"/>
              <w:spacing w:after="0"/>
              <w:rPr>
                <w:sz w:val="20"/>
                <w:szCs w:val="20"/>
                <w:color w:val="auto"/>
              </w:rPr>
            </w:pPr>
            <w:r>
              <w:rPr>
                <w:rFonts w:ascii="Arial" w:cs="Arial" w:eastAsia="Arial" w:hAnsi="Arial"/>
                <w:sz w:val="17"/>
                <w:szCs w:val="17"/>
                <w:color w:val="auto"/>
                <w:w w:val="90"/>
              </w:rPr>
              <w:t>shares issued and outstanding pro forma as adjusted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1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5,286,666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w w:val="93"/>
              </w:rPr>
              <w:t>Accumulated deficit</w:t>
            </w:r>
          </w:p>
        </w:tc>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w w:val="95"/>
              </w:rPr>
              <w:t>(12,498,747)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Total stockholders' (deficit) equity</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(7,211,930)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w w:val="97"/>
              </w:rPr>
              <w:t>Total capitalization</w:t>
            </w: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3,696,901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840" w:type="dxa"/>
            <w:vAlign w:val="bottom"/>
            <w:gridSpan w:val="6"/>
          </w:tcPr>
          <w:p>
            <w:pPr>
              <w:spacing w:after="0"/>
              <w:rPr>
                <w:sz w:val="7"/>
                <w:szCs w:val="7"/>
                <w:color w:val="auto"/>
              </w:rPr>
            </w:pPr>
          </w:p>
        </w:tc>
        <w:tc>
          <w:tcPr>
            <w:tcW w:w="4500" w:type="dxa"/>
            <w:vAlign w:val="bottom"/>
            <w:gridSpan w:val="11"/>
          </w:tcPr>
          <w:p>
            <w:pPr>
              <w:spacing w:after="0"/>
              <w:rPr>
                <w:sz w:val="7"/>
                <w:szCs w:val="7"/>
                <w:color w:val="auto"/>
              </w:rPr>
            </w:pPr>
          </w:p>
        </w:tc>
        <w:tc>
          <w:tcPr>
            <w:tcW w:w="0" w:type="dxa"/>
            <w:vAlign w:val="bottom"/>
          </w:tcPr>
          <w:p>
            <w:pPr>
              <w:spacing w:after="0"/>
              <w:rPr>
                <w:sz w:val="1"/>
                <w:szCs w:val="1"/>
                <w:color w:val="auto"/>
              </w:rPr>
            </w:pPr>
          </w:p>
        </w:tc>
      </w:tr>
      <w:tr>
        <w:trPr>
          <w:trHeight w:val="417"/>
        </w:trPr>
        <w:tc>
          <w:tcPr>
            <w:tcW w:w="1580" w:type="dxa"/>
            <w:vAlign w:val="bottom"/>
            <w:gridSpan w:val="2"/>
          </w:tcPr>
          <w:p>
            <w:pPr>
              <w:ind w:left="1140"/>
              <w:spacing w:after="0"/>
              <w:rPr>
                <w:sz w:val="20"/>
                <w:szCs w:val="20"/>
                <w:color w:val="auto"/>
              </w:rPr>
            </w:pPr>
            <w:r>
              <w:rPr>
                <w:rFonts w:ascii="Arial" w:cs="Arial" w:eastAsia="Arial" w:hAnsi="Arial"/>
                <w:sz w:val="17"/>
                <w:szCs w:val="17"/>
                <w:color w:val="auto"/>
              </w:rPr>
              <w:t>(1)</w:t>
            </w:r>
          </w:p>
        </w:tc>
        <w:tc>
          <w:tcPr>
            <w:tcW w:w="5340" w:type="dxa"/>
            <w:vAlign w:val="bottom"/>
            <w:gridSpan w:val="7"/>
          </w:tcPr>
          <w:p>
            <w:pPr>
              <w:ind w:left="100"/>
              <w:spacing w:after="0"/>
              <w:rPr>
                <w:sz w:val="20"/>
                <w:szCs w:val="20"/>
                <w:color w:val="auto"/>
              </w:rPr>
            </w:pPr>
            <w:r>
              <w:rPr>
                <w:rFonts w:ascii="Arial" w:cs="Arial" w:eastAsia="Arial" w:hAnsi="Arial"/>
                <w:sz w:val="17"/>
                <w:szCs w:val="17"/>
                <w:color w:val="auto"/>
                <w:w w:val="92"/>
              </w:rPr>
              <w:t>A $1.00 increase (decrease) in the assumed initial public offering price of $</w:t>
            </w:r>
          </w:p>
        </w:tc>
        <w:tc>
          <w:tcPr>
            <w:tcW w:w="4500" w:type="dxa"/>
            <w:vAlign w:val="bottom"/>
            <w:gridSpan w:val="11"/>
          </w:tcPr>
          <w:p>
            <w:pPr>
              <w:ind w:left="400"/>
              <w:spacing w:after="0"/>
              <w:rPr>
                <w:sz w:val="20"/>
                <w:szCs w:val="20"/>
                <w:color w:val="auto"/>
              </w:rPr>
            </w:pPr>
            <w:r>
              <w:rPr>
                <w:rFonts w:ascii="Arial" w:cs="Arial" w:eastAsia="Arial" w:hAnsi="Arial"/>
                <w:sz w:val="17"/>
                <w:szCs w:val="17"/>
                <w:color w:val="auto"/>
                <w:w w:val="91"/>
              </w:rPr>
              <w:t>per share, which is the midpoint of the price range listed on</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40" w:type="dxa"/>
            <w:vAlign w:val="bottom"/>
            <w:gridSpan w:val="18"/>
          </w:tcPr>
          <w:p>
            <w:pPr>
              <w:ind w:left="100"/>
              <w:spacing w:after="0"/>
              <w:rPr>
                <w:sz w:val="20"/>
                <w:szCs w:val="20"/>
                <w:color w:val="auto"/>
              </w:rPr>
            </w:pPr>
            <w:r>
              <w:rPr>
                <w:rFonts w:ascii="Arial" w:cs="Arial" w:eastAsia="Arial" w:hAnsi="Arial"/>
                <w:sz w:val="17"/>
                <w:szCs w:val="17"/>
                <w:color w:val="auto"/>
                <w:w w:val="93"/>
              </w:rPr>
              <w:t>the cover page of this prospectus, would increase (decrease) each of cash, additional paid-in capital, total stockholders' (deficit) equity and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gridSpan w:val="7"/>
          </w:tcPr>
          <w:p>
            <w:pPr>
              <w:ind w:left="100"/>
              <w:spacing w:after="0"/>
              <w:rPr>
                <w:sz w:val="20"/>
                <w:szCs w:val="20"/>
                <w:color w:val="auto"/>
              </w:rPr>
            </w:pPr>
            <w:r>
              <w:rPr>
                <w:rFonts w:ascii="Arial" w:cs="Arial" w:eastAsia="Arial" w:hAnsi="Arial"/>
                <w:sz w:val="17"/>
                <w:szCs w:val="17"/>
                <w:color w:val="auto"/>
                <w:w w:val="97"/>
              </w:rPr>
              <w:t>total capitalization on a pro forma as adjusted basis by approximately $</w:t>
            </w:r>
          </w:p>
        </w:tc>
        <w:tc>
          <w:tcPr>
            <w:tcW w:w="4500" w:type="dxa"/>
            <w:vAlign w:val="bottom"/>
            <w:gridSpan w:val="11"/>
          </w:tcPr>
          <w:p>
            <w:pPr>
              <w:ind w:left="160"/>
              <w:spacing w:after="0"/>
              <w:rPr>
                <w:sz w:val="20"/>
                <w:szCs w:val="20"/>
                <w:color w:val="auto"/>
              </w:rPr>
            </w:pPr>
            <w:r>
              <w:rPr>
                <w:rFonts w:ascii="Arial" w:cs="Arial" w:eastAsia="Arial" w:hAnsi="Arial"/>
                <w:sz w:val="17"/>
                <w:szCs w:val="17"/>
                <w:color w:val="auto"/>
                <w:w w:val="94"/>
              </w:rPr>
              <w:t>million, assuming that the number of shares offered by us,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gridSpan w:val="5"/>
          </w:tcPr>
          <w:p>
            <w:pPr>
              <w:ind w:left="100"/>
              <w:spacing w:after="0"/>
              <w:rPr>
                <w:sz w:val="20"/>
                <w:szCs w:val="20"/>
                <w:color w:val="auto"/>
              </w:rPr>
            </w:pPr>
            <w:r>
              <w:rPr>
                <w:rFonts w:ascii="Arial" w:cs="Arial" w:eastAsia="Arial" w:hAnsi="Arial"/>
                <w:sz w:val="17"/>
                <w:szCs w:val="17"/>
                <w:color w:val="auto"/>
              </w:rPr>
              <w:t>set forth on the cover page of this prospectus, remains the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color w:val="auto"/>
              </w:rPr>
              <w:t>68</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right="280"/>
        <w:spacing w:after="0" w:line="296" w:lineRule="auto"/>
        <w:rPr>
          <w:sz w:val="20"/>
          <w:szCs w:val="20"/>
          <w:color w:val="auto"/>
        </w:rPr>
      </w:pPr>
      <w:r>
        <w:rPr>
          <w:rFonts w:ascii="Arial" w:cs="Arial" w:eastAsia="Arial" w:hAnsi="Arial"/>
          <w:sz w:val="15"/>
          <w:szCs w:val="15"/>
          <w:color w:val="auto"/>
        </w:rPr>
        <w:t>same and after deducting estimated underwriting discounts and commissions and estimated offering expenses payable by us. Similarly, a 1,000,000 share increase (decrease) in the number of shares offered by us, as set forth on the cover page of this prospectus, would increase</w:t>
      </w:r>
    </w:p>
    <w:p>
      <w:pPr>
        <w:ind w:left="1680" w:right="20"/>
        <w:spacing w:after="0" w:line="266" w:lineRule="auto"/>
        <w:rPr>
          <w:sz w:val="20"/>
          <w:szCs w:val="20"/>
          <w:color w:val="auto"/>
        </w:rPr>
      </w:pPr>
      <w:r>
        <w:rPr>
          <w:rFonts w:ascii="Arial" w:cs="Arial" w:eastAsia="Arial" w:hAnsi="Arial"/>
          <w:sz w:val="17"/>
          <w:szCs w:val="17"/>
          <w:color w:val="auto"/>
        </w:rPr>
        <w:t>(decrease) cash, additional paid-in capital, total stockholders' (deficit) equity, and total capitalization by approximately $ , assuming the assumed initial public offering price remains the same, and after deducting the estimated underwriting discounts and commissions and estimated offering expenses payable by us.</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preceding table excludes:</w:t>
      </w:r>
    </w:p>
    <w:p>
      <w:pPr>
        <w:spacing w:after="0" w:line="237" w:lineRule="exact"/>
        <w:rPr>
          <w:sz w:val="20"/>
          <w:szCs w:val="20"/>
          <w:color w:val="auto"/>
        </w:rPr>
      </w:pPr>
    </w:p>
    <w:p>
      <w:pPr>
        <w:ind w:left="1060" w:right="46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122,430 shares of common stock issuable upon exercise of stock options outstanding as of June 30, 2015, at a weighted average exercise price of $20.91 per share;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31,372 shares of common stock issuable upon the exercise of outstanding warrants as of June 30, 2015, at an exercise price of $9.55 per share;</w:t>
      </w:r>
    </w:p>
    <w:p>
      <w:pPr>
        <w:spacing w:after="0" w:line="248" w:lineRule="exact"/>
        <w:rPr>
          <w:rFonts w:ascii="Arial" w:cs="Arial" w:eastAsia="Arial" w:hAnsi="Arial"/>
          <w:sz w:val="16"/>
          <w:szCs w:val="16"/>
          <w:color w:val="auto"/>
        </w:rPr>
      </w:pPr>
    </w:p>
    <w:p>
      <w:pPr>
        <w:ind w:left="1060" w:hanging="531"/>
        <w:spacing w:after="0" w:line="263"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5,727 shares of common stock issuable upon the exercise of outstanding warrants as of June 30, 2015, with a current exercise price of $43.64 per share. The warrant price will automatically adjust to a 10% premium to the conversion price of the convertible notes we issued from September 2014 through November 2014 during a mandatory conversion, defined in the notes as the occurrence of an equity financing of at least $2,000,000 in gross aggregate cash proceeds, in which the conversion price would be equal to the lesser of (1) 75% of the lowest price per share at which shares of our equity securities are sold or (2) $39.67, as adjusted for capitalization change; and</w:t>
      </w:r>
    </w:p>
    <w:p>
      <w:pPr>
        <w:spacing w:after="0" w:line="20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13,444 shares of common stock available for future grant under our 2013 Equity Compensation Plan as of June 30, 2015.</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center"/>
        <w:ind w:right="180"/>
        <w:spacing w:after="0" w:line="296" w:lineRule="auto"/>
        <w:rPr>
          <w:sz w:val="20"/>
          <w:szCs w:val="20"/>
          <w:color w:val="auto"/>
        </w:rPr>
      </w:pPr>
      <w:r>
        <w:rPr>
          <w:rFonts w:ascii="Arial" w:cs="Arial" w:eastAsia="Arial" w:hAnsi="Arial"/>
          <w:sz w:val="15"/>
          <w:szCs w:val="15"/>
          <w:color w:val="auto"/>
        </w:rPr>
        <w:t>The historical net tangible book value of our common stock as of June 30, 2015, was $(7.4) million, or $(4.90) per share, based on the number of shares of common stock outstanding as of June 30, 2015. Historical net tangible book value per share is determined by dividing our total tangible assets less total liabilities by</w:t>
      </w:r>
    </w:p>
    <w:p>
      <w:pPr>
        <w:ind w:right="60"/>
        <w:spacing w:after="0" w:line="291" w:lineRule="auto"/>
        <w:rPr>
          <w:sz w:val="20"/>
          <w:szCs w:val="20"/>
          <w:color w:val="auto"/>
        </w:rPr>
      </w:pPr>
      <w:r>
        <w:rPr>
          <w:rFonts w:ascii="Arial" w:cs="Arial" w:eastAsia="Arial" w:hAnsi="Arial"/>
          <w:sz w:val="15"/>
          <w:szCs w:val="15"/>
          <w:color w:val="auto"/>
        </w:rPr>
        <w:t>the actual number of outstanding shares of our common stock. As of June 30, 2015, we had a pro forma net tangible book value of $ million or $ per share of common stock. Pro forma net tangible book value per share is equal to our total tangible assets less total liabilities, divided by the pro forma number of shares of our outstanding common stock, counting as outstanding the shares of common stock issuable upon the conversion of all outstanding principal and interest accrued</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as of the date of this prospectus under our outstanding convertible notes into an aggregate of shares of our common stock, assuming an initial public offering price of $ per share, which is the midpoint of the price range set forth on the cover page of the prospectus. After giving effect to the issuance of shares of common stock offered hereby at an assumed initial public offering price of $ per share, which is the midpoint of the price range set forth on the cover page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and after deducting the estimated underwriting discounts and commissions and our estimated offering expenses, our pro forma net tangible book value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gridSpan w:val="2"/>
          </w:tcPr>
          <w:p>
            <w:pPr>
              <w:spacing w:after="0"/>
              <w:rPr>
                <w:sz w:val="20"/>
                <w:szCs w:val="20"/>
                <w:color w:val="auto"/>
              </w:rPr>
            </w:pPr>
            <w:r>
              <w:rPr>
                <w:rFonts w:ascii="Arial" w:cs="Arial" w:eastAsia="Arial" w:hAnsi="Arial"/>
                <w:sz w:val="17"/>
                <w:szCs w:val="17"/>
                <w:color w:val="auto"/>
                <w:w w:val="91"/>
              </w:rPr>
              <w:t>as adjusted as of June 30, 2015, will be approximately $</w:t>
            </w:r>
          </w:p>
        </w:tc>
        <w:tc>
          <w:tcPr>
            <w:tcW w:w="2180" w:type="dxa"/>
            <w:vAlign w:val="bottom"/>
          </w:tcPr>
          <w:p>
            <w:pPr>
              <w:ind w:left="460"/>
              <w:spacing w:after="0"/>
              <w:rPr>
                <w:sz w:val="20"/>
                <w:szCs w:val="20"/>
                <w:color w:val="auto"/>
              </w:rPr>
            </w:pPr>
            <w:r>
              <w:rPr>
                <w:rFonts w:ascii="Arial" w:cs="Arial" w:eastAsia="Arial" w:hAnsi="Arial"/>
                <w:sz w:val="17"/>
                <w:szCs w:val="17"/>
                <w:color w:val="auto"/>
              </w:rPr>
              <w:t>, or approximately $</w:t>
            </w:r>
          </w:p>
        </w:tc>
        <w:tc>
          <w:tcPr>
            <w:tcW w:w="5300" w:type="dxa"/>
            <w:vAlign w:val="bottom"/>
            <w:gridSpan w:val="7"/>
          </w:tcPr>
          <w:p>
            <w:pPr>
              <w:ind w:left="180"/>
              <w:spacing w:after="0"/>
              <w:rPr>
                <w:sz w:val="20"/>
                <w:szCs w:val="20"/>
                <w:color w:val="auto"/>
              </w:rPr>
            </w:pPr>
            <w:r>
              <w:rPr>
                <w:rFonts w:ascii="Arial" w:cs="Arial" w:eastAsia="Arial" w:hAnsi="Arial"/>
                <w:sz w:val="17"/>
                <w:szCs w:val="17"/>
                <w:color w:val="auto"/>
                <w:w w:val="98"/>
              </w:rPr>
              <w:t>per pro forma share of common stock. This represents an immediate</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7"/>
                <w:szCs w:val="17"/>
                <w:color w:val="auto"/>
              </w:rPr>
              <w:t>increase in pro forma net tangible book value of $</w:t>
            </w:r>
          </w:p>
        </w:tc>
        <w:tc>
          <w:tcPr>
            <w:tcW w:w="4780" w:type="dxa"/>
            <w:vAlign w:val="bottom"/>
            <w:gridSpan w:val="3"/>
          </w:tcPr>
          <w:p>
            <w:pPr>
              <w:jc w:val="right"/>
              <w:ind w:right="40"/>
              <w:spacing w:after="0"/>
              <w:rPr>
                <w:sz w:val="20"/>
                <w:szCs w:val="20"/>
                <w:color w:val="auto"/>
              </w:rPr>
            </w:pPr>
            <w:r>
              <w:rPr>
                <w:rFonts w:ascii="Arial" w:cs="Arial" w:eastAsia="Arial" w:hAnsi="Arial"/>
                <w:sz w:val="17"/>
                <w:szCs w:val="17"/>
                <w:color w:val="auto"/>
                <w:w w:val="91"/>
              </w:rPr>
              <w:t>per share to our existing stockholders and an immediate dilution of $</w:t>
            </w:r>
          </w:p>
        </w:tc>
        <w:tc>
          <w:tcPr>
            <w:tcW w:w="400" w:type="dxa"/>
            <w:vAlign w:val="bottom"/>
          </w:tcPr>
          <w:p>
            <w:pPr>
              <w:spacing w:after="0"/>
              <w:rPr>
                <w:sz w:val="18"/>
                <w:szCs w:val="18"/>
                <w:color w:val="auto"/>
              </w:rPr>
            </w:pPr>
          </w:p>
        </w:tc>
        <w:tc>
          <w:tcPr>
            <w:tcW w:w="2300" w:type="dxa"/>
            <w:vAlign w:val="bottom"/>
            <w:gridSpan w:val="4"/>
          </w:tcPr>
          <w:p>
            <w:pPr>
              <w:ind w:left="60"/>
              <w:spacing w:after="0"/>
              <w:rPr>
                <w:sz w:val="20"/>
                <w:szCs w:val="20"/>
                <w:color w:val="auto"/>
              </w:rPr>
            </w:pPr>
            <w:r>
              <w:rPr>
                <w:rFonts w:ascii="Arial" w:cs="Arial" w:eastAsia="Arial" w:hAnsi="Arial"/>
                <w:sz w:val="17"/>
                <w:szCs w:val="17"/>
                <w:color w:val="auto"/>
                <w:w w:val="89"/>
              </w:rPr>
              <w:t>per share to new investors in this</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7"/>
                <w:szCs w:val="17"/>
                <w:color w:val="auto"/>
              </w:rPr>
              <w:t>offering. The following table illustrates this per share dilution: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7"/>
                <w:szCs w:val="17"/>
                <w:color w:val="auto"/>
                <w:w w:val="93"/>
              </w:rPr>
              <w:t>Historical net tangible book value per share as of June 30, 2015</w:t>
            </w:r>
          </w:p>
        </w:tc>
        <w:tc>
          <w:tcPr>
            <w:tcW w:w="2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5"/>
              <w:spacing w:after="0"/>
              <w:rPr>
                <w:sz w:val="20"/>
                <w:szCs w:val="20"/>
                <w:color w:val="auto"/>
              </w:rPr>
            </w:pPr>
            <w:r>
              <w:rPr>
                <w:rFonts w:ascii="Arial" w:cs="Arial" w:eastAsia="Arial" w:hAnsi="Arial"/>
                <w:sz w:val="17"/>
                <w:szCs w:val="17"/>
                <w:color w:val="auto"/>
                <w:w w:val="94"/>
              </w:rPr>
              <w:t>(4.90)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72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w w:val="97"/>
              </w:rPr>
              <w:t>Increase per share as of June 30, 2015 attributable to the conversion of our convertible notes as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2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described above</w:t>
            </w:r>
          </w:p>
        </w:tc>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7100" w:type="dxa"/>
            <w:vAlign w:val="bottom"/>
            <w:gridSpan w:val="3"/>
          </w:tcPr>
          <w:p>
            <w:pPr>
              <w:ind w:left="180"/>
              <w:spacing w:after="0" w:line="194" w:lineRule="exact"/>
              <w:rPr>
                <w:sz w:val="20"/>
                <w:szCs w:val="20"/>
                <w:color w:val="auto"/>
              </w:rPr>
            </w:pPr>
            <w:r>
              <w:rPr>
                <w:rFonts w:ascii="Arial" w:cs="Arial" w:eastAsia="Arial" w:hAnsi="Arial"/>
                <w:sz w:val="17"/>
                <w:szCs w:val="17"/>
                <w:color w:val="auto"/>
              </w:rPr>
              <w:t>Pro forma net tangible book value per share as of June 30, 2015 before giving effect to this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2500" w:type="dxa"/>
            <w:vAlign w:val="bottom"/>
          </w:tcPr>
          <w:p>
            <w:pPr>
              <w:ind w:left="340"/>
              <w:spacing w:after="0"/>
              <w:rPr>
                <w:sz w:val="20"/>
                <w:szCs w:val="20"/>
                <w:color w:val="auto"/>
              </w:rPr>
            </w:pPr>
            <w:r>
              <w:rPr>
                <w:rFonts w:ascii="Arial" w:cs="Arial" w:eastAsia="Arial" w:hAnsi="Arial"/>
                <w:sz w:val="17"/>
                <w:szCs w:val="17"/>
                <w:color w:val="auto"/>
              </w:rPr>
              <w:t>offering</w:t>
            </w:r>
          </w:p>
        </w:tc>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72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Increase per share attributable to new investors participating in this offering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gridSpan w:val="4"/>
          </w:tcPr>
          <w:p>
            <w:pPr>
              <w:ind w:left="1380"/>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Dilution in pro forma as adjusted net tangible book value per share to new investors</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Dilution per share to new investors is determined by subtracting pro forma net tangible book value per share after this offering from the initial public offering price per share paid by a new investor. If any shares are issued in connection with outstanding options or warrants or the underwriters' over-allotment option, you will experience further dilution.</w:t>
      </w:r>
    </w:p>
    <w:p>
      <w:pPr>
        <w:spacing w:after="0" w:line="179" w:lineRule="exact"/>
        <w:rPr>
          <w:sz w:val="20"/>
          <w:szCs w:val="20"/>
          <w:color w:val="auto"/>
        </w:rPr>
      </w:pPr>
    </w:p>
    <w:p>
      <w:pPr>
        <w:ind w:right="160" w:firstLine="341"/>
        <w:spacing w:after="0" w:line="276" w:lineRule="auto"/>
        <w:rPr>
          <w:sz w:val="20"/>
          <w:szCs w:val="20"/>
          <w:color w:val="auto"/>
        </w:rPr>
      </w:pPr>
      <w:r>
        <w:rPr>
          <w:rFonts w:ascii="Arial" w:cs="Arial" w:eastAsia="Arial" w:hAnsi="Arial"/>
          <w:sz w:val="16"/>
          <w:szCs w:val="16"/>
          <w:color w:val="auto"/>
        </w:rPr>
        <w:t>Each $1.00 increase (decrease) in the assumed initial public offering price of $ per share, which is the midpoint of the price range set forth on the cover page of this prospectus, would increase (decrease) our pro forma as adjusted net tangible book value by $ million, the pro forma as adjusted net tangible book value per share after this offering by $ per share and the dilution in pro forma as adjusted net tangible book value to new investors in this offering by</w:t>
      </w:r>
    </w:p>
    <w:p>
      <w:pPr>
        <w:spacing w:after="0" w:line="1" w:lineRule="exact"/>
        <w:rPr>
          <w:sz w:val="20"/>
          <w:szCs w:val="20"/>
          <w:color w:val="auto"/>
        </w:rPr>
      </w:pPr>
    </w:p>
    <w:p>
      <w:pPr>
        <w:jc w:val="both"/>
        <w:ind w:right="120" w:firstLine="5"/>
        <w:spacing w:after="0" w:line="291" w:lineRule="auto"/>
        <w:tabs>
          <w:tab w:leader="none" w:pos="597" w:val="left"/>
        </w:tabs>
        <w:numPr>
          <w:ilvl w:val="0"/>
          <w:numId w:val="44"/>
        </w:numPr>
        <w:rPr>
          <w:rFonts w:ascii="Arial" w:cs="Arial" w:eastAsia="Arial" w:hAnsi="Arial"/>
          <w:sz w:val="15"/>
          <w:szCs w:val="15"/>
          <w:color w:val="auto"/>
        </w:rPr>
      </w:pPr>
      <w:r>
        <w:rPr>
          <w:rFonts w:ascii="Arial" w:cs="Arial" w:eastAsia="Arial" w:hAnsi="Arial"/>
          <w:sz w:val="15"/>
          <w:szCs w:val="15"/>
          <w:color w:val="auto"/>
        </w:rPr>
        <w:t>per share, assuming the number of shares offered by us, as set forth on the cover page of this prospectus, remains the same and after deducting the estimated underwriting discounts and commissions. We may also increase or decrease the number of shares we are offering. A 1,000,000 share increase in the number of shares offered by us, as set forth on the cover page of this prospectus, (1) would increase our pro forma as adjusted net tangible book value as of June 30, 2015, by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00" w:type="dxa"/>
            <w:vAlign w:val="bottom"/>
          </w:tcPr>
          <w:p>
            <w:pPr>
              <w:spacing w:after="0"/>
              <w:rPr>
                <w:sz w:val="20"/>
                <w:szCs w:val="20"/>
                <w:color w:val="auto"/>
              </w:rPr>
            </w:pPr>
            <w:r>
              <w:rPr>
                <w:rFonts w:ascii="Arial" w:cs="Arial" w:eastAsia="Arial" w:hAnsi="Arial"/>
                <w:sz w:val="17"/>
                <w:szCs w:val="17"/>
                <w:color w:val="auto"/>
              </w:rPr>
              <w:t>approximately $</w:t>
            </w:r>
          </w:p>
        </w:tc>
        <w:tc>
          <w:tcPr>
            <w:tcW w:w="10020" w:type="dxa"/>
            <w:vAlign w:val="bottom"/>
            <w:gridSpan w:val="4"/>
          </w:tcPr>
          <w:p>
            <w:pPr>
              <w:ind w:left="280"/>
              <w:spacing w:after="0"/>
              <w:rPr>
                <w:sz w:val="20"/>
                <w:szCs w:val="20"/>
                <w:color w:val="auto"/>
              </w:rPr>
            </w:pPr>
            <w:r>
              <w:rPr>
                <w:rFonts w:ascii="Arial" w:cs="Arial" w:eastAsia="Arial" w:hAnsi="Arial"/>
                <w:sz w:val="17"/>
                <w:szCs w:val="17"/>
                <w:color w:val="auto"/>
                <w:w w:val="96"/>
              </w:rPr>
              <w:t>million and (2) would also increase the pro forma as adjusted net tangible book value per share after this offering and the dilution in net</w:t>
            </w:r>
          </w:p>
        </w:tc>
      </w:tr>
      <w:tr>
        <w:trPr>
          <w:trHeight w:val="210"/>
        </w:trPr>
        <w:tc>
          <w:tcPr>
            <w:tcW w:w="3760" w:type="dxa"/>
            <w:vAlign w:val="bottom"/>
            <w:gridSpan w:val="2"/>
          </w:tcPr>
          <w:p>
            <w:pPr>
              <w:spacing w:after="0"/>
              <w:rPr>
                <w:sz w:val="20"/>
                <w:szCs w:val="20"/>
                <w:color w:val="auto"/>
              </w:rPr>
            </w:pPr>
            <w:r>
              <w:rPr>
                <w:rFonts w:ascii="Arial" w:cs="Arial" w:eastAsia="Arial" w:hAnsi="Arial"/>
                <w:sz w:val="17"/>
                <w:szCs w:val="17"/>
                <w:color w:val="auto"/>
                <w:w w:val="96"/>
              </w:rPr>
              <w:t>tangible book value per share to new investors by $</w:t>
            </w:r>
          </w:p>
        </w:tc>
        <w:tc>
          <w:tcPr>
            <w:tcW w:w="900" w:type="dxa"/>
            <w:vAlign w:val="bottom"/>
          </w:tcPr>
          <w:p>
            <w:pPr>
              <w:ind w:left="260"/>
              <w:spacing w:after="0"/>
              <w:rPr>
                <w:sz w:val="20"/>
                <w:szCs w:val="20"/>
                <w:color w:val="auto"/>
              </w:rPr>
            </w:pPr>
            <w:r>
              <w:rPr>
                <w:rFonts w:ascii="Arial" w:cs="Arial" w:eastAsia="Arial" w:hAnsi="Arial"/>
                <w:sz w:val="17"/>
                <w:szCs w:val="17"/>
                <w:color w:val="auto"/>
              </w:rPr>
              <w:t>and $</w:t>
            </w:r>
          </w:p>
        </w:tc>
        <w:tc>
          <w:tcPr>
            <w:tcW w:w="5200" w:type="dxa"/>
            <w:vAlign w:val="bottom"/>
          </w:tcPr>
          <w:p>
            <w:pPr>
              <w:jc w:val="right"/>
              <w:ind w:right="175"/>
              <w:spacing w:after="0"/>
              <w:rPr>
                <w:sz w:val="20"/>
                <w:szCs w:val="20"/>
                <w:color w:val="auto"/>
              </w:rPr>
            </w:pPr>
            <w:r>
              <w:rPr>
                <w:rFonts w:ascii="Arial" w:cs="Arial" w:eastAsia="Arial" w:hAnsi="Arial"/>
                <w:sz w:val="17"/>
                <w:szCs w:val="17"/>
                <w:color w:val="auto"/>
                <w:w w:val="96"/>
              </w:rPr>
              <w:t>, respectively, assuming the assumed initial public offering price of $</w:t>
            </w:r>
          </w:p>
        </w:tc>
        <w:tc>
          <w:tcPr>
            <w:tcW w:w="1560" w:type="dxa"/>
            <w:vAlign w:val="bottom"/>
          </w:tcPr>
          <w:p>
            <w:pPr>
              <w:ind w:left="260"/>
              <w:spacing w:after="0"/>
              <w:rPr>
                <w:sz w:val="20"/>
                <w:szCs w:val="20"/>
                <w:color w:val="auto"/>
              </w:rPr>
            </w:pPr>
            <w:r>
              <w:rPr>
                <w:rFonts w:ascii="Arial" w:cs="Arial" w:eastAsia="Arial" w:hAnsi="Arial"/>
                <w:sz w:val="17"/>
                <w:szCs w:val="17"/>
                <w:color w:val="auto"/>
                <w:w w:val="90"/>
              </w:rPr>
              <w:t>per share, which is</w:t>
            </w:r>
          </w:p>
        </w:tc>
      </w:tr>
      <w:tr>
        <w:trPr>
          <w:trHeight w:val="216"/>
        </w:trPr>
        <w:tc>
          <w:tcPr>
            <w:tcW w:w="1400" w:type="dxa"/>
            <w:vAlign w:val="bottom"/>
          </w:tcPr>
          <w:p>
            <w:pPr>
              <w:spacing w:after="0"/>
              <w:rPr>
                <w:sz w:val="20"/>
                <w:szCs w:val="20"/>
                <w:color w:val="auto"/>
              </w:rPr>
            </w:pPr>
            <w:r>
              <w:rPr>
                <w:rFonts w:ascii="Arial" w:cs="Arial" w:eastAsia="Arial" w:hAnsi="Arial"/>
                <w:sz w:val="17"/>
                <w:szCs w:val="17"/>
                <w:color w:val="auto"/>
              </w:rPr>
              <w:t>the</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1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tcPr>
          <w:p>
            <w:pPr>
              <w:jc w:val="right"/>
              <w:ind w:right="3975"/>
              <w:spacing w:after="0"/>
              <w:rPr>
                <w:sz w:val="20"/>
                <w:szCs w:val="20"/>
                <w:color w:val="auto"/>
              </w:rPr>
            </w:pPr>
            <w:r>
              <w:rPr>
                <w:rFonts w:ascii="Arial" w:cs="Arial" w:eastAsia="Arial" w:hAnsi="Arial"/>
                <w:sz w:val="17"/>
                <w:szCs w:val="17"/>
                <w:color w:val="auto"/>
              </w:rPr>
              <w:t>70</w:t>
            </w:r>
          </w:p>
        </w:tc>
        <w:tc>
          <w:tcPr>
            <w:tcW w:w="1560" w:type="dxa"/>
            <w:vAlign w:val="bottom"/>
          </w:tcPr>
          <w:p>
            <w:pPr>
              <w:spacing w:after="0"/>
              <w:rPr>
                <w:sz w:val="24"/>
                <w:szCs w:val="24"/>
                <w:color w:val="auto"/>
              </w:rPr>
            </w:pPr>
          </w:p>
        </w:tc>
      </w:tr>
      <w:tr>
        <w:trPr>
          <w:trHeight w:val="222"/>
        </w:trPr>
        <w:tc>
          <w:tcPr>
            <w:tcW w:w="14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96" w:lineRule="auto"/>
        <w:rPr>
          <w:sz w:val="20"/>
          <w:szCs w:val="20"/>
          <w:color w:val="auto"/>
        </w:rPr>
      </w:pPr>
      <w:r>
        <w:rPr>
          <w:rFonts w:ascii="Arial" w:cs="Arial" w:eastAsia="Arial" w:hAnsi="Arial"/>
          <w:sz w:val="15"/>
          <w:szCs w:val="15"/>
          <w:color w:val="auto"/>
        </w:rPr>
        <w:t>midpoint of the price range as set forth on the cover page of this prospectus, remains the same, after deducting estimated underwriting discounts and commissions. Conversely, a 1,000,000 share decrease in the number of shares offered by us, as set forth on the cover page of this prospectus, (1) would decrease our pro forma as</w:t>
      </w:r>
    </w:p>
    <w:p>
      <w:pPr>
        <w:spacing w:after="0"/>
        <w:tabs>
          <w:tab w:leader="none" w:pos="5520" w:val="left"/>
        </w:tabs>
        <w:rPr>
          <w:sz w:val="20"/>
          <w:szCs w:val="20"/>
          <w:color w:val="auto"/>
        </w:rPr>
      </w:pPr>
      <w:r>
        <w:rPr>
          <w:rFonts w:ascii="Arial" w:cs="Arial" w:eastAsia="Arial" w:hAnsi="Arial"/>
          <w:sz w:val="17"/>
          <w:szCs w:val="17"/>
          <w:color w:val="auto"/>
        </w:rPr>
        <w:t>adjusted net tangible book value as of June 30, 2015, by approximately $</w:t>
      </w:r>
      <w:r>
        <w:rPr>
          <w:sz w:val="20"/>
          <w:szCs w:val="20"/>
          <w:color w:val="auto"/>
        </w:rPr>
        <w:tab/>
      </w:r>
      <w:r>
        <w:rPr>
          <w:rFonts w:ascii="Arial" w:cs="Arial" w:eastAsia="Arial" w:hAnsi="Arial"/>
          <w:sz w:val="15"/>
          <w:szCs w:val="15"/>
          <w:color w:val="auto"/>
        </w:rPr>
        <w:t>million and (2) would also decrease the pro forma as adjusted net tangible book value</w:t>
      </w:r>
    </w:p>
    <w:p>
      <w:pPr>
        <w:spacing w:after="0" w:line="14" w:lineRule="exact"/>
        <w:rPr>
          <w:sz w:val="20"/>
          <w:szCs w:val="20"/>
          <w:color w:val="auto"/>
        </w:rPr>
      </w:pPr>
    </w:p>
    <w:p>
      <w:pPr>
        <w:spacing w:after="0"/>
        <w:tabs>
          <w:tab w:leader="none" w:pos="7440" w:val="left"/>
          <w:tab w:leader="none" w:pos="8320" w:val="left"/>
        </w:tabs>
        <w:rPr>
          <w:sz w:val="20"/>
          <w:szCs w:val="20"/>
          <w:color w:val="auto"/>
        </w:rPr>
      </w:pPr>
      <w:r>
        <w:rPr>
          <w:rFonts w:ascii="Arial" w:cs="Arial" w:eastAsia="Arial" w:hAnsi="Arial"/>
          <w:sz w:val="17"/>
          <w:szCs w:val="17"/>
          <w:color w:val="auto"/>
        </w:rPr>
        <w:t>per share after this offering and the dilution in net tangible book value per share to new investors by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5"/>
          <w:szCs w:val="15"/>
          <w:color w:val="auto"/>
        </w:rPr>
        <w:t>, respectively, assuming the assumed initial</w:t>
      </w:r>
    </w:p>
    <w:p>
      <w:pPr>
        <w:spacing w:after="0" w:line="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public offering price of $ per share, which is the midpoint of the price range as set forth on the cover page of this prospectus, remains the same, after deducting estimated underwriting discounts and commissions.</w:t>
      </w:r>
    </w:p>
    <w:p>
      <w:pPr>
        <w:spacing w:after="0" w:line="17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If the underwriters exercise their over-allotment option in full to purchase additional shares of our common stock in this offering, the pro forma as adjusted net tangible book value of our common stock would increase to $ per share, representing an immediate increase to existing stockholders of $ per share and an immediate dilution of $ per share to new investors.</w:t>
      </w:r>
    </w:p>
    <w:p>
      <w:pPr>
        <w:spacing w:after="0" w:line="179" w:lineRule="exact"/>
        <w:rPr>
          <w:sz w:val="20"/>
          <w:szCs w:val="20"/>
          <w:color w:val="auto"/>
        </w:rPr>
      </w:pPr>
    </w:p>
    <w:p>
      <w:pPr>
        <w:ind w:right="80" w:firstLine="338"/>
        <w:spacing w:after="0" w:line="296" w:lineRule="auto"/>
        <w:rPr>
          <w:sz w:val="20"/>
          <w:szCs w:val="20"/>
          <w:color w:val="auto"/>
        </w:rPr>
      </w:pPr>
      <w:r>
        <w:rPr>
          <w:rFonts w:ascii="Arial" w:cs="Arial" w:eastAsia="Arial" w:hAnsi="Arial"/>
          <w:sz w:val="15"/>
          <w:szCs w:val="15"/>
          <w:color w:val="auto"/>
        </w:rPr>
        <w:t>The following table summarizes, on a pro forma as adjusted basis as of June 30, 2015, the difference between existing stockholders and the new investors with respect to the number of shares of common stock purchased, the total consideration paid and the average price per share paid. The table assumes that the initial public</w:t>
      </w:r>
    </w:p>
    <w:p>
      <w:pPr>
        <w:spacing w:after="0"/>
        <w:tabs>
          <w:tab w:leader="none" w:pos="2060" w:val="left"/>
        </w:tabs>
        <w:rPr>
          <w:sz w:val="20"/>
          <w:szCs w:val="20"/>
          <w:color w:val="auto"/>
        </w:rPr>
      </w:pPr>
      <w:r>
        <w:rPr>
          <w:rFonts w:ascii="Arial" w:cs="Arial" w:eastAsia="Arial" w:hAnsi="Arial"/>
          <w:sz w:val="17"/>
          <w:szCs w:val="17"/>
          <w:color w:val="auto"/>
        </w:rPr>
        <w:t>offering price will be $</w:t>
      </w:r>
      <w:r>
        <w:rPr>
          <w:sz w:val="20"/>
          <w:szCs w:val="20"/>
          <w:color w:val="auto"/>
        </w:rPr>
        <w:tab/>
      </w:r>
      <w:r>
        <w:rPr>
          <w:rFonts w:ascii="Arial" w:cs="Arial" w:eastAsia="Arial" w:hAnsi="Arial"/>
          <w:sz w:val="15"/>
          <w:szCs w:val="15"/>
          <w:color w:val="auto"/>
        </w:rPr>
        <w:t>, which is the midpoint of the price range set forth on the cover page of this prospectus.</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540" w:type="dxa"/>
            <w:vAlign w:val="bottom"/>
          </w:tcPr>
          <w:p>
            <w:pPr>
              <w:spacing w:after="0"/>
              <w:rPr>
                <w:sz w:val="13"/>
                <w:szCs w:val="13"/>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Shares purchased</w:t>
            </w:r>
          </w:p>
        </w:tc>
        <w:tc>
          <w:tcPr>
            <w:tcW w:w="152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Average price</w:t>
            </w:r>
          </w:p>
        </w:tc>
      </w:tr>
      <w:tr>
        <w:trPr>
          <w:trHeight w:val="137"/>
        </w:trPr>
        <w:tc>
          <w:tcPr>
            <w:tcW w:w="4540" w:type="dxa"/>
            <w:vAlign w:val="bottom"/>
          </w:tcPr>
          <w:p>
            <w:pPr>
              <w:spacing w:after="0"/>
              <w:rPr>
                <w:sz w:val="11"/>
                <w:szCs w:val="11"/>
                <w:color w:val="auto"/>
              </w:rPr>
            </w:pPr>
          </w:p>
        </w:tc>
        <w:tc>
          <w:tcPr>
            <w:tcW w:w="680" w:type="dxa"/>
            <w:vAlign w:val="bottom"/>
            <w:tcBorders>
              <w:top w:val="single" w:sz="8" w:color="auto"/>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Percent %</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Percent %</w:t>
            </w:r>
          </w:p>
        </w:tc>
        <w:tc>
          <w:tcPr>
            <w:tcW w:w="160" w:type="dxa"/>
            <w:vAlign w:val="bottom"/>
          </w:tcPr>
          <w:p>
            <w:pPr>
              <w:spacing w:after="0"/>
              <w:rPr>
                <w:sz w:val="11"/>
                <w:szCs w:val="11"/>
                <w:color w:val="auto"/>
              </w:rPr>
            </w:pPr>
          </w:p>
        </w:tc>
        <w:tc>
          <w:tcPr>
            <w:tcW w:w="9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per share</w:t>
            </w:r>
          </w:p>
        </w:tc>
        <w:tc>
          <w:tcPr>
            <w:tcW w:w="140" w:type="dxa"/>
            <w:vAlign w:val="bottom"/>
          </w:tcPr>
          <w:p>
            <w:pPr>
              <w:spacing w:after="0"/>
              <w:rPr>
                <w:sz w:val="11"/>
                <w:szCs w:val="11"/>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New investors</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share data in the table above is based on shares outstanding as of June 30, 2015, and excludes:</w:t>
      </w:r>
    </w:p>
    <w:p>
      <w:pPr>
        <w:spacing w:after="0" w:line="237" w:lineRule="exact"/>
        <w:rPr>
          <w:sz w:val="20"/>
          <w:szCs w:val="20"/>
          <w:color w:val="auto"/>
        </w:rPr>
      </w:pPr>
    </w:p>
    <w:p>
      <w:pPr>
        <w:ind w:left="1060" w:right="4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122,430 shares of common stock issuable upon exercise of stock options outstanding as of June 30, 2015, at a weighted average exercise price of $20.91 per share;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31,372 shares of common stock issuable upon the exercise of outstanding warrants as of June 30, 2015, at an exercise price of $9.55 per share;</w:t>
      </w:r>
    </w:p>
    <w:p>
      <w:pPr>
        <w:spacing w:after="0" w:line="248" w:lineRule="exact"/>
        <w:rPr>
          <w:rFonts w:ascii="Arial" w:cs="Arial" w:eastAsia="Arial" w:hAnsi="Arial"/>
          <w:sz w:val="16"/>
          <w:szCs w:val="16"/>
          <w:color w:val="auto"/>
        </w:rPr>
      </w:pPr>
    </w:p>
    <w:p>
      <w:pPr>
        <w:ind w:left="1060" w:hanging="531"/>
        <w:spacing w:after="0" w:line="263"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5,727 shares of common stock issuable upon the exercise of outstanding warrants as of June 30, 2015, with a current exercise price of $43.64 per share. The warrant price will automatically adjust to a 10% premium to the conversion price of the convertible notes we issued from September 2014 through November 2014 during a mandatory conversion, defined in the notes as the occurrence of an equity financing of at least $2,000,000 in gross aggregate cash proceeds, in which the conversion price would be equal to the lesser of (1) 75% of the lowest price per share at which shares of our equity securities are sold or (2) $39.67, as adjusted for capitalization change; and</w:t>
      </w:r>
    </w:p>
    <w:p>
      <w:pPr>
        <w:spacing w:after="0" w:line="20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13,444 shares of common stock available for future grant under our 2013 Equity Compensation Plan as of June 30, 2015.</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If the underwriters' over-allotment option is exercised in full, the shares held by existing stockholders will decrease to % of the total number of shares of common stock outstanding after the completion of this offering, and the number of shares held by new investors will increase to , or %, of the total number of shares of common stock outstanding after the completion of this offering.</w:t>
      </w:r>
    </w:p>
    <w:p>
      <w:pPr>
        <w:spacing w:after="0" w:line="179"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To the extent that options or warrants are exercised, new options or other securities are issued under our equity compensation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following table presents selected consolidated financial data for the periods and at the dates indicated. The selected consolidated statements of operations data for the years ended December 31, 2013 and 2014 and the selected consolidated balance sheet data as of December 31, 2013 and 2014 have been derived from our audited consolidated financial statements, included elsewhere in this prospectus. The selected consolidated statements of operations data for the six months ended June 30, 2014 and 2015 and the selected consolidated balance sheet data as of June 30, 2015 have been derived from our unaudited consolidated financial statements included elsewhere in this prospectus. The unaudited consolidated financial data include, in the opinion of management, all adjustments, consisting of normal recurring adjustments, that are necessary for a fair statement of our financial position and results of operations for these periods. Our historical results for any prior period are not necessarily indicative of results to be expected in any future period, and our results for any interim period are not necessarily indicative of the results to be expected for a full fiscal year.</w:t>
      </w:r>
    </w:p>
    <w:p>
      <w:pPr>
        <w:spacing w:after="0" w:line="187" w:lineRule="exact"/>
        <w:rPr>
          <w:sz w:val="20"/>
          <w:szCs w:val="20"/>
          <w:color w:val="auto"/>
        </w:rPr>
      </w:pPr>
    </w:p>
    <w:p>
      <w:pPr>
        <w:ind w:right="620" w:firstLine="335"/>
        <w:spacing w:after="0" w:line="315" w:lineRule="auto"/>
        <w:rPr>
          <w:sz w:val="20"/>
          <w:szCs w:val="20"/>
          <w:color w:val="auto"/>
        </w:rPr>
      </w:pPr>
      <w:r>
        <w:rPr>
          <w:rFonts w:ascii="Arial" w:cs="Arial" w:eastAsia="Arial" w:hAnsi="Arial"/>
          <w:sz w:val="16"/>
          <w:szCs w:val="16"/>
          <w:color w:val="auto"/>
        </w:rPr>
        <w:t>You should read the following financial information together with the information under "Capitalization" and "Management's Discussion and Analysis of Financial Condition and Results of Operations" and our consolidated financial statements and the related notes included elsewhere in this prospectus.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right"/>
              <w:ind w:right="775"/>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3200" w:type="dxa"/>
            <w:vAlign w:val="bottom"/>
            <w:gridSpan w:val="6"/>
          </w:tcPr>
          <w:p>
            <w:pPr>
              <w:jc w:val="center"/>
              <w:ind w:right="144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right"/>
              <w:ind w:right="695"/>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140" w:type="dxa"/>
            <w:vAlign w:val="bottom"/>
            <w:gridSpan w:val="3"/>
          </w:tcPr>
          <w:p>
            <w:pPr>
              <w:jc w:val="center"/>
              <w:ind w:left="520"/>
              <w:spacing w:after="0"/>
              <w:rPr>
                <w:sz w:val="20"/>
                <w:szCs w:val="20"/>
                <w:color w:val="auto"/>
              </w:rPr>
            </w:pPr>
            <w:r>
              <w:rPr>
                <w:rFonts w:ascii="Arial" w:cs="Arial" w:eastAsia="Arial" w:hAnsi="Arial"/>
                <w:sz w:val="13"/>
                <w:szCs w:val="13"/>
                <w:b w:val="1"/>
                <w:bCs w:val="1"/>
                <w:color w:val="auto"/>
                <w:w w:val="88"/>
              </w:rPr>
              <w:t>June 30,</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gridSpan w:val="6"/>
          </w:tcPr>
          <w:p>
            <w:pPr>
              <w:ind w:left="54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1,535,255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4,279,200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1,630,149</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3,044,677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7"/>
                <w:szCs w:val="17"/>
                <w:color w:val="auto"/>
              </w:rPr>
              <w:t>304,183</w:t>
            </w:r>
          </w:p>
        </w:tc>
        <w:tc>
          <w:tcPr>
            <w:tcW w:w="160" w:type="dxa"/>
            <w:vAlign w:val="bottom"/>
          </w:tcPr>
          <w:p>
            <w:pPr>
              <w:spacing w:after="0"/>
              <w:rPr>
                <w:sz w:val="18"/>
                <w:szCs w:val="18"/>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7"/>
                <w:szCs w:val="17"/>
                <w:color w:val="auto"/>
              </w:rPr>
              <w:t>1,392,830</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396,784</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973,250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1,839,438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5,672,030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2,026,933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4,017,927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(1,839,438)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(5,672,030)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(2,026,933)</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(4,017,927)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amortization of debt discount/premium (expense)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(327,192)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2,233,338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455,525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(339,843)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Tax credit</w:t>
            </w:r>
          </w:p>
        </w:tc>
        <w:tc>
          <w:tcPr>
            <w:tcW w:w="160" w:type="dxa"/>
            <w:vAlign w:val="bottom"/>
          </w:tcPr>
          <w:p>
            <w:pPr>
              <w:spacing w:after="0"/>
              <w:rPr>
                <w:sz w:val="18"/>
                <w:szCs w:val="18"/>
                <w:color w:val="auto"/>
              </w:rPr>
            </w:pPr>
          </w:p>
        </w:tc>
        <w:tc>
          <w:tcPr>
            <w:tcW w:w="9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7"/>
                <w:szCs w:val="17"/>
                <w:color w:val="auto"/>
              </w:rPr>
              <w:t>184,139</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184,139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(57,106)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17,442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Change in fair value of embedded derivative liabilities</w:t>
            </w:r>
          </w:p>
        </w:tc>
        <w:tc>
          <w:tcPr>
            <w:tcW w:w="160" w:type="dxa"/>
            <w:vAlign w:val="bottom"/>
          </w:tcPr>
          <w:p>
            <w:pPr>
              <w:spacing w:after="0"/>
              <w:rPr>
                <w:sz w:val="18"/>
                <w:szCs w:val="18"/>
                <w:color w:val="auto"/>
              </w:rPr>
            </w:pPr>
          </w:p>
        </w:tc>
        <w:tc>
          <w:tcPr>
            <w:tcW w:w="9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7"/>
                <w:szCs w:val="17"/>
                <w:color w:val="auto"/>
              </w:rPr>
              <w:t>182,000</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70,800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(2,870,903)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(2,870,903)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(2,166,630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(6,000,562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(4,258,172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(4,269,528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7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3"/>
              </w:rPr>
              <w:t>Weighted average common shares outstanding—basic and diluted</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1,047,120</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1,238,915</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1,065,027</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1,512,449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Loss per common share—basic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(2.07)</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(4.84)</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(4.00)</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spacing w:after="0"/>
              <w:rPr>
                <w:sz w:val="20"/>
                <w:szCs w:val="20"/>
                <w:color w:val="auto"/>
              </w:rPr>
            </w:pPr>
            <w:r>
              <w:rPr>
                <w:rFonts w:ascii="Arial" w:cs="Arial" w:eastAsia="Arial" w:hAnsi="Arial"/>
                <w:sz w:val="17"/>
                <w:szCs w:val="17"/>
                <w:color w:val="auto"/>
              </w:rPr>
              <w:t>72</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0" w:type="dxa"/>
            <w:vAlign w:val="bottom"/>
            <w:gridSpan w:val="5"/>
            <w:vMerge w:val="restart"/>
          </w:tcPr>
          <w:p>
            <w:pPr>
              <w:jc w:val="right"/>
              <w:ind w:right="640"/>
              <w:spacing w:after="0"/>
              <w:rPr>
                <w:sz w:val="20"/>
                <w:szCs w:val="20"/>
                <w:color w:val="auto"/>
              </w:rPr>
            </w:pPr>
            <w:r>
              <w:rPr>
                <w:rFonts w:ascii="Arial" w:cs="Arial" w:eastAsia="Arial" w:hAnsi="Arial"/>
                <w:sz w:val="13"/>
                <w:szCs w:val="13"/>
                <w:b w:val="1"/>
                <w:bCs w:val="1"/>
                <w:color w:val="auto"/>
              </w:rPr>
              <w:t>As of December 31,</w:t>
            </w:r>
          </w:p>
        </w:tc>
        <w:tc>
          <w:tcPr>
            <w:tcW w:w="140" w:type="dxa"/>
            <w:vAlign w:val="bottom"/>
          </w:tcPr>
          <w:p>
            <w:pPr>
              <w:spacing w:after="0"/>
              <w:rPr>
                <w:sz w:val="13"/>
                <w:szCs w:val="13"/>
                <w:color w:val="auto"/>
              </w:rPr>
            </w:pPr>
          </w:p>
        </w:tc>
        <w:tc>
          <w:tcPr>
            <w:tcW w:w="220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200" w:type="dxa"/>
            <w:vAlign w:val="bottom"/>
            <w:gridSpan w:val="3"/>
            <w:vMerge w:val="restart"/>
          </w:tcPr>
          <w:p>
            <w:pPr>
              <w:jc w:val="center"/>
              <w:ind w:right="1440"/>
              <w:spacing w:after="0" w:line="144" w:lineRule="exact"/>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5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1"/>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1"/>
              <w:spacing w:after="0" w:line="138" w:lineRule="exact"/>
              <w:rPr>
                <w:sz w:val="20"/>
                <w:szCs w:val="20"/>
                <w:color w:val="auto"/>
              </w:rPr>
            </w:pPr>
            <w:r>
              <w:rPr>
                <w:rFonts w:ascii="Arial" w:cs="Arial" w:eastAsia="Arial" w:hAnsi="Arial"/>
                <w:sz w:val="13"/>
                <w:szCs w:val="13"/>
                <w:b w:val="1"/>
                <w:bCs w:val="1"/>
                <w:color w:val="auto"/>
                <w:w w:val="90"/>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Cash</w:t>
            </w:r>
          </w:p>
        </w:tc>
        <w:tc>
          <w:tcPr>
            <w:tcW w:w="2700" w:type="dxa"/>
            <w:vAlign w:val="bottom"/>
            <w:gridSpan w:val="3"/>
          </w:tcPr>
          <w:p>
            <w:pPr>
              <w:jc w:val="right"/>
              <w:ind w:right="160"/>
              <w:spacing w:after="0"/>
              <w:rPr>
                <w:sz w:val="20"/>
                <w:szCs w:val="20"/>
                <w:color w:val="auto"/>
              </w:rPr>
            </w:pPr>
            <w:r>
              <w:rPr>
                <w:rFonts w:ascii="Arial" w:cs="Arial" w:eastAsia="Arial" w:hAnsi="Arial"/>
                <w:sz w:val="17"/>
                <w:szCs w:val="17"/>
                <w:color w:val="auto"/>
              </w:rPr>
              <w:t>$  2,087,843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2,617,815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6,414,273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2,097,375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2,786,380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6,875,107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700" w:type="dxa"/>
            <w:vAlign w:val="bottom"/>
            <w:gridSpan w:val="3"/>
          </w:tcPr>
          <w:p>
            <w:pPr>
              <w:jc w:val="right"/>
              <w:ind w:right="160"/>
              <w:spacing w:after="0"/>
              <w:rPr>
                <w:sz w:val="20"/>
                <w:szCs w:val="20"/>
                <w:color w:val="auto"/>
              </w:rPr>
            </w:pPr>
            <w:r>
              <w:rPr>
                <w:rFonts w:ascii="Arial" w:cs="Arial" w:eastAsia="Arial" w:hAnsi="Arial"/>
                <w:sz w:val="17"/>
                <w:szCs w:val="17"/>
                <w:color w:val="auto"/>
              </w:rPr>
              <w:t>4,125,186</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972,616</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1,529,643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Convertible notes, net of discounts, non-current portion</w:t>
            </w:r>
          </w:p>
        </w:tc>
        <w:tc>
          <w:tcPr>
            <w:tcW w:w="1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4,441,415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10,908,831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Interest payable, non-current portion</w:t>
            </w:r>
          </w:p>
        </w:tc>
        <w:tc>
          <w:tcPr>
            <w:tcW w:w="16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78,524</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362,963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Embedded derivative liabilities</w:t>
            </w:r>
          </w:p>
        </w:tc>
        <w:tc>
          <w:tcPr>
            <w:tcW w:w="1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496,400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1,285,600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2700" w:type="dxa"/>
            <w:vAlign w:val="bottom"/>
            <w:gridSpan w:val="3"/>
          </w:tcPr>
          <w:p>
            <w:pPr>
              <w:jc w:val="right"/>
              <w:ind w:right="100"/>
              <w:spacing w:after="0"/>
              <w:rPr>
                <w:sz w:val="20"/>
                <w:szCs w:val="20"/>
                <w:color w:val="auto"/>
              </w:rPr>
            </w:pPr>
            <w:r>
              <w:rPr>
                <w:rFonts w:ascii="Arial" w:cs="Arial" w:eastAsia="Arial" w:hAnsi="Arial"/>
                <w:sz w:val="17"/>
                <w:szCs w:val="17"/>
                <w:color w:val="auto"/>
              </w:rPr>
              <w:t>(2,228,657)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(8,229,219)</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(12,498,747)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2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(2,027,811)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(3,202,575)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(7,211,930)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0" w:type="dxa"/>
            <w:vAlign w:val="bottom"/>
          </w:tcPr>
          <w:p>
            <w:pPr>
              <w:jc w:val="right"/>
              <w:ind w:right="998"/>
              <w:spacing w:after="0"/>
              <w:rPr>
                <w:sz w:val="20"/>
                <w:szCs w:val="20"/>
                <w:color w:val="auto"/>
              </w:rPr>
            </w:pPr>
            <w:r>
              <w:rPr>
                <w:rFonts w:ascii="Arial" w:cs="Arial" w:eastAsia="Arial" w:hAnsi="Arial"/>
                <w:sz w:val="17"/>
                <w:szCs w:val="17"/>
                <w:color w:val="auto"/>
              </w:rPr>
              <w:t>73</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AND RESULTS OF OPERATIONS</w:t>
      </w:r>
    </w:p>
    <w:p>
      <w:pPr>
        <w:spacing w:after="0" w:line="21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You should read the following discussion and analysis in conjunction with the information set forth in our consolidated financial statements and the notes to those statements included elsewhere in this prospectus. The statements in this discussion regarding our expectations of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and "Cautionary Note Regarding Forward-Looking Statements." Our actual results may differ materially from those contained in or implied by any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20" w:firstLine="338"/>
        <w:spacing w:after="0" w:line="281" w:lineRule="auto"/>
        <w:rPr>
          <w:sz w:val="20"/>
          <w:szCs w:val="20"/>
          <w:color w:val="auto"/>
        </w:rPr>
      </w:pPr>
      <w:r>
        <w:rPr>
          <w:rFonts w:ascii="Arial" w:cs="Arial" w:eastAsia="Arial" w:hAnsi="Arial"/>
          <w:sz w:val="16"/>
          <w:szCs w:val="16"/>
          <w:color w:val="auto"/>
        </w:rPr>
        <w:t>We are a clinical stage biopharmaceutical company developing novel therapies for the management of pain and other central nervous system, or CNS, disorders. By focusing on this therapeutic area, we are addressing significant and growing markets where current treatment options are limited or inadequate. Our product candidate portfolio includes two late-stage candidates, AXS-02 and AXS-05, which we are developing for multiple indications. We recently initiated a Phase 3 trial with AXS-02 in complex regional pain syndrome and plan to initiate a Phase 3 trial in treatment resistant depression with AXS-05 in or before the first quarter of 2016. We aim to become a fully integrated biopharmaceutical company that develops and commercializes differentiated therapies that expand the treatment options available to caregivers and improve the lives of patients living with pain and other CNS disorders.</w:t>
      </w:r>
    </w:p>
    <w:p>
      <w:pPr>
        <w:spacing w:after="0" w:line="176"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We were incorporated in January 2012. Our operations to date have included organizing and staffing our company, business planning, raising capital, developing our compounds, and engaging in other discovery and preclinical activities. We have financed our operations to date primarily through private placements of our convertible notes. As of June 30, 2015, we have received aggregate gross proceeds of approximately $16.9 million from the sale of our convertible notes. During the year ended December 31, 2014, certain convertible notes converted into 465,329 shares of our common stock. 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88" w:lineRule="exact"/>
        <w:rPr>
          <w:sz w:val="20"/>
          <w:szCs w:val="20"/>
          <w:color w:val="auto"/>
        </w:rPr>
      </w:pPr>
    </w:p>
    <w:p>
      <w:pPr>
        <w:ind w:right="40" w:firstLine="338"/>
        <w:spacing w:after="0" w:line="298" w:lineRule="auto"/>
        <w:rPr>
          <w:sz w:val="20"/>
          <w:szCs w:val="20"/>
          <w:color w:val="auto"/>
        </w:rPr>
      </w:pPr>
      <w:r>
        <w:rPr>
          <w:rFonts w:ascii="Arial" w:cs="Arial" w:eastAsia="Arial" w:hAnsi="Arial"/>
          <w:sz w:val="15"/>
          <w:szCs w:val="15"/>
          <w:color w:val="auto"/>
        </w:rPr>
        <w:t>We have incurred significant operating and net losses since inception. We incurred net losses of $2.2 million, $6.0 million, and $4.3 million for the years ended December 31, 2013 and 2014 and the six months ended June 30, 2015, respectively. Our accumulated deficit as of June 30, 2015 was $12.5 million, and we expect to incur significant expenses and increasing operating losses for the foreseeable future. We expect our expenses to increase in connection with our ongoing activities, as we continue the development and clinical trials of, and seek regulatory approval for, AXS-02, AXS-05,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expect to incur additional costs associated with operating as a public company. Accordingly, we will need additional financing to support our continuing operations. We will seek to fund our operations through public or private equity or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60" w:right="320" w:hanging="215"/>
        <w:spacing w:after="0" w:line="282" w:lineRule="auto"/>
        <w:rPr>
          <w:sz w:val="20"/>
          <w:szCs w:val="20"/>
          <w:color w:val="auto"/>
        </w:rPr>
      </w:pPr>
      <w:r>
        <w:rPr>
          <w:rFonts w:ascii="Arial" w:cs="Arial" w:eastAsia="Arial" w:hAnsi="Arial"/>
          <w:sz w:val="17"/>
          <w:szCs w:val="17"/>
          <w:color w:val="auto"/>
        </w:rPr>
        <w:t>We believe that our existing cash as of June 30, 2015, together with the net proceeds of this offering, will enable us to continue operations for at least the next months. However, we will need to obtain substantial additional future funding in connection with our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right="100" w:firstLine="338"/>
        <w:spacing w:after="0" w:line="281"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Research and development expenses primarily consist of costs incurred in performing research and development activities, including preclinical studies, clinical trials, manufacturing costs, employee salaries and benefits, stock-based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85"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our research and development expenses by program for the years ended December 31, 2013 and 2014 and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2014 and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3100" w:type="dxa"/>
            <w:vAlign w:val="bottom"/>
            <w:gridSpan w:val="6"/>
          </w:tcPr>
          <w:p>
            <w:pPr>
              <w:jc w:val="center"/>
              <w:ind w:right="1440"/>
              <w:spacing w:after="0"/>
              <w:rPr>
                <w:sz w:val="20"/>
                <w:szCs w:val="20"/>
                <w:color w:val="auto"/>
              </w:rPr>
            </w:pPr>
            <w:r>
              <w:rPr>
                <w:rFonts w:ascii="Arial" w:cs="Arial" w:eastAsia="Arial" w:hAnsi="Arial"/>
                <w:sz w:val="13"/>
                <w:szCs w:val="13"/>
                <w:b w:val="1"/>
                <w:bCs w:val="1"/>
                <w:color w:val="auto"/>
                <w:w w:val="87"/>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080" w:type="dxa"/>
            <w:vAlign w:val="bottom"/>
            <w:gridSpan w:val="3"/>
          </w:tcPr>
          <w:p>
            <w:pPr>
              <w:jc w:val="center"/>
              <w:ind w:left="503"/>
              <w:spacing w:after="0"/>
              <w:rPr>
                <w:sz w:val="20"/>
                <w:szCs w:val="20"/>
                <w:color w:val="auto"/>
              </w:rPr>
            </w:pPr>
            <w:r>
              <w:rPr>
                <w:rFonts w:ascii="Arial" w:cs="Arial" w:eastAsia="Arial" w:hAnsi="Arial"/>
                <w:sz w:val="13"/>
                <w:szCs w:val="13"/>
                <w:b w:val="1"/>
                <w:bCs w:val="1"/>
                <w:color w:val="auto"/>
                <w:w w:val="88"/>
              </w:rPr>
              <w:t>June 30,</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1"/>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00" w:type="dxa"/>
            <w:vAlign w:val="bottom"/>
            <w:gridSpan w:val="6"/>
          </w:tcPr>
          <w:p>
            <w:pPr>
              <w:jc w:val="center"/>
              <w:ind w:right="144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AXS-02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1,239,095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2,001,560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506,709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1,841,488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AXS-05</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900,669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328,951</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218,986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AXS-06</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19,739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125,723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Other research and development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282,094</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1,076,753</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546,547</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663,501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280,479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228,203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194,979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Total research and development expenses</w:t>
            </w:r>
          </w:p>
        </w:tc>
        <w:tc>
          <w:tcPr>
            <w:tcW w:w="1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1,535,255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4,279,200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1,630,149</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3,044,677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vMerge w:val="restart"/>
          </w:tcPr>
          <w:p>
            <w:pPr>
              <w:jc w:val="right"/>
              <w:ind w:right="195"/>
              <w:spacing w:after="0"/>
              <w:rPr>
                <w:sz w:val="20"/>
                <w:szCs w:val="20"/>
                <w:color w:val="auto"/>
              </w:rPr>
            </w:pPr>
            <w:r>
              <w:rPr>
                <w:rFonts w:ascii="Arial" w:cs="Arial" w:eastAsia="Arial" w:hAnsi="Arial"/>
                <w:sz w:val="17"/>
                <w:szCs w:val="17"/>
                <w:color w:val="auto"/>
              </w:rPr>
              <w:t>75</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Other research and development expenses primarily consist of employee salaries and benefits, facilities and overhead costs, and expenses for terminated programs.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2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General and administrative expenses primarily consist of salaries and related costs for personnel in executive, operational, and finance functions, including stock-based compensation and travel expenses. Other general and administrative expenses include facility-related costs, insurance expense, and professional fees for legal and accounting services and patent filing and prosecution costs. General and administrative expenses are expensed when incurred.</w:t>
      </w:r>
    </w:p>
    <w:p>
      <w:pPr>
        <w:spacing w:after="0" w:line="163"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We anticipate that our general and administrative expenses will increase in future periods as a result of increased payroll, expanded infrastructure, increased legal, compliance (such as maintaining compliance with stock exchange listing and Securities and Exchange Commission, or SEC, requirements), accounting, and investor and public relations expenses associated with being a public company, among other factors.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Amortization of Debt Discount/Premium (Expense) Income</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Interest and amortization of debt discount/premium (expense) income primarily consists of cash and non-cash interest costs related to our outstanding debt. We record costs incurred in connection with the issuance of debt as a direct deduction from the debt liability. We amortize these costs over the term of our debt agreements as interest expense in our consolidated statement of operations. In 2014, interest and amortization of debt discount/premium (expense) income also includes the amortization of the premium recognized due to extinguishment of debt.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Credit</w:t>
      </w:r>
    </w:p>
    <w:p>
      <w:pPr>
        <w:spacing w:after="0" w:line="224" w:lineRule="exact"/>
        <w:rPr>
          <w:sz w:val="20"/>
          <w:szCs w:val="20"/>
          <w:color w:val="auto"/>
        </w:rPr>
      </w:pPr>
    </w:p>
    <w:p>
      <w:pPr>
        <w:ind w:right="620" w:firstLine="338"/>
        <w:spacing w:after="0" w:line="282" w:lineRule="auto"/>
        <w:rPr>
          <w:sz w:val="20"/>
          <w:szCs w:val="20"/>
          <w:color w:val="auto"/>
        </w:rPr>
      </w:pPr>
      <w:r>
        <w:rPr>
          <w:rFonts w:ascii="Arial" w:cs="Arial" w:eastAsia="Arial" w:hAnsi="Arial"/>
          <w:sz w:val="17"/>
          <w:szCs w:val="17"/>
          <w:color w:val="auto"/>
        </w:rPr>
        <w:t>The tax credit represents receipt of the New York City Biotechnology Tax Credit, or NYC Biotech credit, we received in 2014 related to our research and development expenses incurred for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224" w:lineRule="exact"/>
        <w:rPr>
          <w:sz w:val="20"/>
          <w:szCs w:val="20"/>
          <w:color w:val="auto"/>
        </w:rPr>
      </w:pPr>
    </w:p>
    <w:p>
      <w:pPr>
        <w:jc w:val="both"/>
        <w:ind w:right="380" w:firstLine="338"/>
        <w:spacing w:after="0" w:line="270" w:lineRule="auto"/>
        <w:rPr>
          <w:sz w:val="20"/>
          <w:szCs w:val="20"/>
          <w:color w:val="auto"/>
        </w:rPr>
      </w:pPr>
      <w:r>
        <w:rPr>
          <w:rFonts w:ascii="Arial" w:cs="Arial" w:eastAsia="Arial" w:hAnsi="Arial"/>
          <w:sz w:val="17"/>
          <w:szCs w:val="17"/>
          <w:color w:val="auto"/>
        </w:rPr>
        <w:t>The warrants to purchase our common stock issued to the placement agent in connection with our convertible notes issued in 2014 are classified as a warrant liability and recorded at fair value. This warrant liability is subject to re-measurement at each balance sheet date and we recognize any change in fair value in our statements of operations as a change in fair value of the warrant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Embedded Derivative Liabilities</w:t>
      </w:r>
    </w:p>
    <w:p>
      <w:pPr>
        <w:spacing w:after="0" w:line="224"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We issued convertible notes from September 2014 through June 2015 that included an embedded derivative that required bifurcation from the host debt instrument. We aggregated these bifurcated features and reflected the values of these embedded derivatives in the account "embedded derivative liabilities" which is subject to re-measurement at each balance sheet date and any change in fair value is recognized in our statements of operations as a change in fair value of the embedded derivative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Extinguishment of Debt</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During June 2014, we amended our convertible notes issued from June 2013 through October 2013 in order to allow the notes to automatically convert into shares of common stock at maturity. The amendment was deemed to be a substantive change resulting in a loss on extinguishment of debt with an offsetting premium to the convertible notes.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8" w:lineRule="exact"/>
        <w:rPr>
          <w:sz w:val="20"/>
          <w:szCs w:val="20"/>
          <w:color w:val="auto"/>
        </w:rPr>
      </w:pPr>
    </w:p>
    <w:p>
      <w:pPr>
        <w:ind w:right="120" w:firstLine="338"/>
        <w:spacing w:after="0" w:line="262"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8"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While our significant accounting policies are more fully described in Note 3 to our audited consolidated financial statements appearing elsewhere in this prospectus, we believe the following accounting policies are the most critical to the judgments and estimates we use in the preparation of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4" w:lineRule="exact"/>
        <w:rPr>
          <w:sz w:val="20"/>
          <w:szCs w:val="20"/>
          <w:color w:val="auto"/>
        </w:rPr>
      </w:pPr>
    </w:p>
    <w:p>
      <w:pPr>
        <w:ind w:right="60" w:firstLine="341"/>
        <w:spacing w:after="0" w:line="300" w:lineRule="auto"/>
        <w:rPr>
          <w:sz w:val="20"/>
          <w:szCs w:val="20"/>
          <w:color w:val="auto"/>
        </w:rPr>
      </w:pPr>
      <w:r>
        <w:rPr>
          <w:rFonts w:ascii="Arial" w:cs="Arial" w:eastAsia="Arial" w:hAnsi="Arial"/>
          <w:sz w:val="15"/>
          <w:szCs w:val="15"/>
          <w:color w:val="auto"/>
        </w:rPr>
        <w:t>Research and development costs are expensed as incurred. Advance payments for goods or services for future research and development activities are deferred and expensed as the goods are delivered or the related services are performed. As part of the process of preparing our consolidated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fees paid or payable to CROs and other vendors in connection with research and development activities for which we have not yet been invoiced.</w:t>
      </w:r>
    </w:p>
    <w:p>
      <w:pPr>
        <w:spacing w:after="0" w:line="163"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We base our expenses related to CROs on our estimates of the services received and efforts expended pursuant to quotes and contracts with CROs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prepayment expense accordingly in the period in which the facts that give rise to the revision become known.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3" w:lineRule="exact"/>
        <w:rPr>
          <w:sz w:val="20"/>
          <w:szCs w:val="20"/>
          <w:color w:val="auto"/>
        </w:rPr>
      </w:pPr>
    </w:p>
    <w:p>
      <w:pPr>
        <w:jc w:val="both"/>
        <w:ind w:right="20" w:firstLine="338"/>
        <w:spacing w:after="0" w:line="294" w:lineRule="auto"/>
        <w:rPr>
          <w:sz w:val="20"/>
          <w:szCs w:val="20"/>
          <w:color w:val="auto"/>
        </w:rPr>
      </w:pPr>
      <w:r>
        <w:rPr>
          <w:rFonts w:ascii="Arial" w:cs="Arial" w:eastAsia="Arial" w:hAnsi="Arial"/>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June 30, 2015, we do not believe any material uncertain tax positions are present.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2014, we had federal and state net operating loss carryforwards of approximately $6.6 million which will begin expiring in 2033.</w:t>
      </w:r>
    </w:p>
    <w:p>
      <w:pPr>
        <w:spacing w:after="0" w:line="224"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Utilization of the net operating losses may be subject to a substantial annual limitation due to ownership change limitations provided by the Internal Revenue Code of 1986, as amended. The annual limitation may result in the expiration of our net operating losses before we can use them. We have recorded a valuation allowance on all of our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and fair market value of stock</w:t>
      </w:r>
    </w:p>
    <w:p>
      <w:pPr>
        <w:spacing w:after="0" w:line="224"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 xml:space="preserve">We issue stock-based awards to employees and non-employees, generally in the form of stock options. Prior to the consummation of this offering, we were a privately held company with no active public market of our common stock. Therefore, our board of directors has estimated the fair market value of our common stock at various dates, with input from management, considering our most recently available third-party valuations of common stock and the board's assessment of additional objective and highly subjective factors that it believed were relevant. Once a public trading market for our common stock has been established in connection with the closing of this offering, it will no longer be necessary for our board of directors to estimate the fair market value of our common stock in connection with our accounting for granted equity awards. In the absence of a public trading market for our common stock, we apply the fair value recognition provisions of the Financial Accounting Standards Board, or FASB, issued Accounting Standards Codification, or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or ASC 718. ASC 718 requires all stock-based payments to employees and directors, including stock option grants and modifications to existing stock options, to be recognized in the statements of operations based on their fair market values.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Non-employee awards are revalued at each reporting date until the awards vest.</w:t>
      </w:r>
    </w:p>
    <w:p>
      <w:pPr>
        <w:spacing w:after="0" w:line="179"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We use the Black-Scholes option-pricing model to determine the fair value of our stock options for accounting purposes. Use of this valuation methodology requires management to apply judgment and make estimates, including:</w:t>
      </w:r>
    </w:p>
    <w:p>
      <w:pPr>
        <w:spacing w:after="0" w:line="183"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volatility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expected term of our stock options;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risk-free interest rate for a period that approximates the expected term of our stock options;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expected dividend yield;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fair market value of our common stock on date of grant.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firstLine="338"/>
        <w:spacing w:after="0" w:line="283" w:lineRule="auto"/>
        <w:rPr>
          <w:sz w:val="20"/>
          <w:szCs w:val="20"/>
          <w:color w:val="auto"/>
        </w:rPr>
      </w:pPr>
      <w:r>
        <w:rPr>
          <w:rFonts w:ascii="Arial" w:cs="Arial" w:eastAsia="Arial" w:hAnsi="Arial"/>
          <w:sz w:val="16"/>
          <w:szCs w:val="16"/>
          <w:color w:val="auto"/>
        </w:rPr>
        <w:t>These assumptions represented our best estimates, but the estimates involve inherent uncertainties and the application of our judgment. As a result, if factors change and we use significantly different assumptions or estimates when valuing our stock options, our stock-based compensation expense could be materially different. We recognize compensation expense for only the portion of awards that are expected to vest. In developing a forfeiture rate estimate for pre-vesting forfeitures, we have considered our historical experience of actual forfeitures. If our future actual forfeiture rate is materially different from our estimate, our stock-based compensation expense could be significantly different from what we have recorded in the current period.</w:t>
      </w:r>
    </w:p>
    <w:p>
      <w:pPr>
        <w:spacing w:after="0" w:line="174"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 xml:space="preserve">As a privately held company with a limited operating history, we used comparable public companies to estimate our expected stock price volatility. We selected companies from the biopharmaceutical industry with similar characteristics to ours including technology, enterprise value, and risk profile. We intend to continue to consistently apply this process using comparable companies until a sufficient amount of historical information regarding the volatility of our own share price becomes available. The expected term is based on the simplified method as described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history to provide a reasonable basis upon which to make an estimate. The risk-free interest rate is based on the U.S. Treasury yield in effect at the time of grant for a period approximately equal to the expected term of the award. We utilize a dividend yield of zero, based on the fact that we have never paid cash dividends and have no current intention to pay cash dividends. If factors change and different assumptions are used, our stock-based compensation expense could be materially different in the future.</w:t>
      </w:r>
    </w:p>
    <w:p>
      <w:pPr>
        <w:spacing w:after="0" w:line="177" w:lineRule="exact"/>
        <w:rPr>
          <w:sz w:val="20"/>
          <w:szCs w:val="20"/>
          <w:color w:val="auto"/>
        </w:rPr>
      </w:pPr>
    </w:p>
    <w:p>
      <w:pPr>
        <w:ind w:right="40" w:firstLine="332"/>
        <w:spacing w:after="0" w:line="277" w:lineRule="auto"/>
        <w:rPr>
          <w:sz w:val="20"/>
          <w:szCs w:val="20"/>
          <w:color w:val="auto"/>
        </w:rPr>
      </w:pPr>
      <w:r>
        <w:rPr>
          <w:rFonts w:ascii="Arial" w:cs="Arial" w:eastAsia="Arial" w:hAnsi="Arial"/>
          <w:sz w:val="16"/>
          <w:szCs w:val="16"/>
          <w:color w:val="auto"/>
        </w:rPr>
        <w:t>As there has been no public market for our common stock to date, the estimated fair market value of our common stock has been determined contemporaneously by our board of directors utilizing independent third-party valuations prepared in accordance with the guidance outlined in the American Institute of Certified Public Accountants Practice Aid, Valuation of Privately-Held Company Equity Securities Issued as Compensation, also known as the Practice Aid for financial reporting purposes. The independent third-party valuations used the probability weighted expected return method, or PWERM, approach to allocate our equity value to our common stock. The PWERM approach employs various market, income, or cost approach calculations depending on the likelihood of various liquidation scenarios, with primary consideration given to the market and income approaches. The income approach estimates value based on the expectation of our future stream of cash flows and generally takes the form of either a discounted cash flow analysis based on projected operating results or a capitalization of free cash flow analysis. The market approach estimates value based on a comparison of our company to comparable public companies in a similar industry, stage of life cycle, and size. Enterprise values utilizing the PWERM approach were calculated based on three scenarios: an initial public offering, or IPO, exit scenario; a private round scenario; or a liquidation event. Each value was weighted based on the probability of each event's occurrence to arrive at an indicated enterprise value. In estimating the value of our common stock, management estimated a term for each of the scenarios.</w:t>
      </w:r>
    </w:p>
    <w:p>
      <w:pPr>
        <w:spacing w:after="0" w:line="181"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Total stock-based compensation expense was $0.1 million, $0.4 million, $0.3 million, and $0.3 million for the years ended December 31, 2013 and 2014 and the six months ended June 30, 2014 and 2015, respectively. As of June 30, 2015, we had $0.9 million of total unrecognized stock-based compensation expense, which we expect to recognize over a weighted average period of approximately 2.6 years. We expect the expense to grow in future periods due to the potential increases in the value of our common stock and headcount.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2014 and 2015</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6"/>
          </w:tcPr>
          <w:p>
            <w:pPr>
              <w:ind w:left="14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5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9"/>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r>
      <w:tr>
        <w:trPr>
          <w:trHeight w:val="137"/>
        </w:trPr>
        <w:tc>
          <w:tcPr>
            <w:tcW w:w="5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6"/>
          </w:tcPr>
          <w:p>
            <w:pPr>
              <w:ind w:left="560"/>
              <w:spacing w:after="0" w:line="138" w:lineRule="exact"/>
              <w:rPr>
                <w:sz w:val="20"/>
                <w:szCs w:val="20"/>
                <w:color w:val="auto"/>
              </w:rPr>
            </w:pPr>
            <w:r>
              <w:rPr>
                <w:rFonts w:ascii="Arial" w:cs="Arial" w:eastAsia="Arial" w:hAnsi="Arial"/>
                <w:sz w:val="13"/>
                <w:szCs w:val="13"/>
                <w:b w:val="1"/>
                <w:bCs w:val="1"/>
                <w:color w:val="auto"/>
              </w:rPr>
              <w:t>(unaudited)</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2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1,630,149</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3,044,677</w:t>
            </w:r>
          </w:p>
        </w:tc>
        <w:tc>
          <w:tcPr>
            <w:tcW w:w="160" w:type="dxa"/>
            <w:vAlign w:val="bottom"/>
          </w:tcPr>
          <w:p>
            <w:pPr>
              <w:spacing w:after="0"/>
              <w:rPr>
                <w:sz w:val="18"/>
                <w:szCs w:val="18"/>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396,784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973,250</w:t>
            </w:r>
          </w:p>
        </w:tc>
        <w:tc>
          <w:tcPr>
            <w:tcW w:w="160" w:type="dxa"/>
            <w:vAlign w:val="bottom"/>
            <w:shd w:val="clear" w:color="auto" w:fill="CCEEFF"/>
          </w:tcPr>
          <w:p>
            <w:pPr>
              <w:spacing w:after="0"/>
              <w:rPr>
                <w:sz w:val="18"/>
                <w:szCs w:val="18"/>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2,026,933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4,017,927</w:t>
            </w:r>
          </w:p>
        </w:tc>
        <w:tc>
          <w:tcPr>
            <w:tcW w:w="1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(2,026,933)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(4,017,927)</w:t>
            </w: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Interest and amortization of debt discount/premium (expense)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455,525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(339,843)</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Tax credit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Change in fair value of warrant liability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17,442</w:t>
            </w:r>
          </w:p>
        </w:tc>
        <w:tc>
          <w:tcPr>
            <w:tcW w:w="160" w:type="dxa"/>
            <w:vAlign w:val="bottom"/>
          </w:tcPr>
          <w:p>
            <w:pPr>
              <w:spacing w:after="0"/>
              <w:rPr>
                <w:sz w:val="18"/>
                <w:szCs w:val="18"/>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embedded derivative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70,800</w:t>
            </w:r>
          </w:p>
        </w:tc>
        <w:tc>
          <w:tcPr>
            <w:tcW w:w="160" w:type="dxa"/>
            <w:vAlign w:val="bottom"/>
            <w:shd w:val="clear" w:color="auto" w:fill="CCEEFF"/>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(2,870,903)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(4,258,172)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(4,269,528)</w:t>
            </w: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00" w:firstLine="341"/>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six months ended June 30, 2015 were $3.0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for the six months ended June 30, 2014, an increase of $1.4 million. The increase was primarily due to increased clinical trial, preclinical, and manufacturing expenses for our product candidate AXS-02, in addition to an increase in personnel in 2015.</w:t>
      </w:r>
    </w:p>
    <w:p>
      <w:pPr>
        <w:spacing w:after="0" w:line="163"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six months ended June 30, 2015 were $1.0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$0.4 million for the six months ended June 30, 2014, an increase of $0.6 million. The increase was primarily due to an increase in personnel and professional and intellectual property fees.</w:t>
      </w:r>
    </w:p>
    <w:p>
      <w:pPr>
        <w:spacing w:after="0" w:line="179" w:lineRule="exact"/>
        <w:rPr>
          <w:sz w:val="20"/>
          <w:szCs w:val="20"/>
          <w:color w:val="auto"/>
        </w:rPr>
      </w:pPr>
    </w:p>
    <w:p>
      <w:pPr>
        <w:ind w:right="80" w:firstLine="341"/>
        <w:spacing w:after="0" w:line="281" w:lineRule="auto"/>
        <w:rPr>
          <w:sz w:val="20"/>
          <w:szCs w:val="20"/>
          <w:color w:val="auto"/>
        </w:rPr>
      </w:pPr>
      <w:r>
        <w:rPr>
          <w:rFonts w:ascii="Arial" w:cs="Arial" w:eastAsia="Arial" w:hAnsi="Arial"/>
          <w:sz w:val="16"/>
          <w:szCs w:val="16"/>
          <w:i w:val="1"/>
          <w:iCs w:val="1"/>
          <w:color w:val="auto"/>
        </w:rPr>
        <w:t xml:space="preserve">Interest and Amortization of Debt Discount/Premium (Expense) Income. </w:t>
      </w:r>
      <w:r>
        <w:rPr>
          <w:rFonts w:ascii="Arial" w:cs="Arial" w:eastAsia="Arial" w:hAnsi="Arial"/>
          <w:sz w:val="16"/>
          <w:szCs w:val="16"/>
          <w:color w:val="auto"/>
        </w:rPr>
        <w:t>Interest and amortization of debt discount/premium (expense) income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was expense of $0.3 million, as compared to income of $0.5 million for the six months ended June 30, 2014, an increase in expense of $0.8 million. The increase was primarily due to incurring non-cash income of $0.9 million in June 2014 related to the amortization of debt premium associated with the June 2014 amendment of convertible notes. There was no non-cash income related to the amortization of debt premium incurred in 2015. In addition, in the six months ended June 30, 2015, we incurred a decrease of approximately $0.1 million in amortization and non-cash interest expense, as compared to the six months ended June 30, 2014, related to our outstanding convertible notes.</w:t>
      </w:r>
    </w:p>
    <w:p>
      <w:pPr>
        <w:spacing w:after="0" w:line="17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During the six months ended June 30, 2014, we received the NYC Biotech credit of $0.2 million related to the research and development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product candidates. There was no tax credit received during the six months ended June 30, 2015.</w:t>
      </w:r>
    </w:p>
    <w:p>
      <w:pPr>
        <w:spacing w:after="0" w:line="170"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i w:val="1"/>
          <w:iCs w:val="1"/>
          <w:color w:val="auto"/>
        </w:rPr>
        <w:t xml:space="preserve">Change in Fair Value of Warrant Liability. </w:t>
      </w:r>
      <w:r>
        <w:rPr>
          <w:rFonts w:ascii="Arial" w:cs="Arial" w:eastAsia="Arial" w:hAnsi="Arial"/>
          <w:sz w:val="17"/>
          <w:szCs w:val="17"/>
          <w:color w:val="auto"/>
        </w:rPr>
        <w:t>We recorded income related to the change in fair value of our warrant liability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There was no warrant liability recorded for the six months ended June 30, 2014.</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20" w:firstLine="341"/>
        <w:spacing w:after="0" w:line="315" w:lineRule="auto"/>
        <w:rPr>
          <w:sz w:val="20"/>
          <w:szCs w:val="20"/>
          <w:color w:val="auto"/>
        </w:rPr>
      </w:pPr>
      <w:r>
        <w:rPr>
          <w:rFonts w:ascii="Arial" w:cs="Arial" w:eastAsia="Arial" w:hAnsi="Arial"/>
          <w:sz w:val="16"/>
          <w:szCs w:val="16"/>
          <w:i w:val="1"/>
          <w:iCs w:val="1"/>
          <w:color w:val="auto"/>
        </w:rPr>
        <w:t xml:space="preserve">Change in Fair Value of Embedded Derivative Liabilities. </w:t>
      </w:r>
      <w:r>
        <w:rPr>
          <w:rFonts w:ascii="Arial" w:cs="Arial" w:eastAsia="Arial" w:hAnsi="Arial"/>
          <w:sz w:val="16"/>
          <w:szCs w:val="16"/>
          <w:color w:val="auto"/>
        </w:rPr>
        <w:t>We recorded income related to the change in fair value of our embedded derivative liabilities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$0.1 million for the six months ended June 30, 2015. There was no embedded derivative liabilities recorded for the six months ended June 30, 2014.</w:t>
      </w:r>
    </w:p>
    <w:p>
      <w:pPr>
        <w:spacing w:after="0" w:line="14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During June 2014, we amended our convertible notes issued from June 2013 through October 2013 in order to allow automatic</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of the notes at maturity. The amendment was deemed to be a substantive change resulting in a $2.9 million loss on extinguishment of debt with an offsetting premium to the convertible notes. The premium was amortized on a pro rata basis attributable to the individual convertible note issuances through October 2014.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2013 and 2014</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results of operations for the years ended December 31, 2013 and 2014:</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6"/>
          </w:tcPr>
          <w:p>
            <w:pPr>
              <w:ind w:left="18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200"/>
              <w:spacing w:after="0" w:line="138"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2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38"/>
              <w:spacing w:after="0"/>
              <w:rPr>
                <w:sz w:val="20"/>
                <w:szCs w:val="20"/>
                <w:color w:val="auto"/>
              </w:rPr>
            </w:pPr>
            <w:r>
              <w:rPr>
                <w:rFonts w:ascii="Arial" w:cs="Arial" w:eastAsia="Arial" w:hAnsi="Arial"/>
                <w:sz w:val="17"/>
                <w:szCs w:val="17"/>
                <w:color w:val="auto"/>
                <w:w w:val="89"/>
              </w:rPr>
              <w:t>1,535,255</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4,279,200</w:t>
            </w:r>
          </w:p>
        </w:tc>
        <w:tc>
          <w:tcPr>
            <w:tcW w:w="160" w:type="dxa"/>
            <w:vAlign w:val="bottom"/>
          </w:tcPr>
          <w:p>
            <w:pPr>
              <w:spacing w:after="0"/>
              <w:rPr>
                <w:sz w:val="18"/>
                <w:szCs w:val="18"/>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1,392,830</w:t>
            </w:r>
          </w:p>
        </w:tc>
        <w:tc>
          <w:tcPr>
            <w:tcW w:w="160" w:type="dxa"/>
            <w:vAlign w:val="bottom"/>
            <w:shd w:val="clear" w:color="auto" w:fill="CCEEFF"/>
          </w:tcPr>
          <w:p>
            <w:pPr>
              <w:spacing w:after="0"/>
              <w:rPr>
                <w:sz w:val="18"/>
                <w:szCs w:val="18"/>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38"/>
              <w:spacing w:after="0"/>
              <w:rPr>
                <w:sz w:val="20"/>
                <w:szCs w:val="20"/>
                <w:color w:val="auto"/>
              </w:rPr>
            </w:pPr>
            <w:r>
              <w:rPr>
                <w:rFonts w:ascii="Arial" w:cs="Arial" w:eastAsia="Arial" w:hAnsi="Arial"/>
                <w:sz w:val="17"/>
                <w:szCs w:val="17"/>
                <w:color w:val="auto"/>
                <w:w w:val="89"/>
              </w:rPr>
              <w:t>1,839,438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5,672,030</w:t>
            </w:r>
          </w:p>
        </w:tc>
        <w:tc>
          <w:tcPr>
            <w:tcW w:w="1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(1,839,438)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(5,672,030)</w:t>
            </w: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Interest and amortization of debt discount/premium (expense)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(327,192)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2,233,338</w:t>
            </w:r>
          </w:p>
        </w:tc>
        <w:tc>
          <w:tcPr>
            <w:tcW w:w="160" w:type="dxa"/>
            <w:vAlign w:val="bottom"/>
          </w:tcPr>
          <w:p>
            <w:pPr>
              <w:spacing w:after="0"/>
              <w:rPr>
                <w:sz w:val="18"/>
                <w:szCs w:val="18"/>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Tax credit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184,139</w:t>
            </w:r>
          </w:p>
        </w:tc>
        <w:tc>
          <w:tcPr>
            <w:tcW w:w="160" w:type="dxa"/>
            <w:vAlign w:val="bottom"/>
            <w:shd w:val="clear" w:color="auto" w:fill="CCEEFF"/>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Change in fair value of warrant liability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(57,106)</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embedded derivative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182,000</w:t>
            </w:r>
          </w:p>
        </w:tc>
        <w:tc>
          <w:tcPr>
            <w:tcW w:w="160" w:type="dxa"/>
            <w:vAlign w:val="bottom"/>
            <w:shd w:val="clear" w:color="auto" w:fill="CCEEFF"/>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(2,870,903)</w:t>
            </w: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(2,166,630)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(6,000,562)</w:t>
            </w: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720" w:firstLine="341"/>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year ended December 31, 2014 were $4.3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$1.5 million for the year ended December 31, 2013, an increase of $2.8 million. The increase was primarily due to increased clinical trial, preclinical, and manufacturing expenses for our two lead product candidates, AXS-02 and AXS-05, in addition to the hiring of personnel in 2014.</w:t>
      </w:r>
    </w:p>
    <w:p>
      <w:pPr>
        <w:spacing w:after="0" w:line="163" w:lineRule="exact"/>
        <w:rPr>
          <w:sz w:val="20"/>
          <w:szCs w:val="20"/>
          <w:color w:val="auto"/>
        </w:rPr>
      </w:pPr>
    </w:p>
    <w:p>
      <w:pPr>
        <w:ind w:left="340"/>
        <w:spacing w:after="0"/>
        <w:tabs>
          <w:tab w:leader="none" w:pos="3120" w:val="left"/>
        </w:tabs>
        <w:rPr>
          <w:sz w:val="20"/>
          <w:szCs w:val="20"/>
          <w:color w:val="auto"/>
        </w:rPr>
      </w:pPr>
      <w:r>
        <w:rPr>
          <w:rFonts w:ascii="Arial" w:cs="Arial" w:eastAsia="Arial" w:hAnsi="Arial"/>
          <w:sz w:val="17"/>
          <w:szCs w:val="17"/>
          <w:i w:val="1"/>
          <w:iCs w:val="1"/>
          <w:color w:val="auto"/>
        </w:rPr>
        <w:t>General and Administrative Expenses.</w:t>
      </w:r>
      <w:r>
        <w:rPr>
          <w:sz w:val="20"/>
          <w:szCs w:val="20"/>
          <w:color w:val="auto"/>
        </w:rPr>
        <w:tab/>
      </w:r>
      <w:r>
        <w:rPr>
          <w:rFonts w:ascii="Arial" w:cs="Arial" w:eastAsia="Arial" w:hAnsi="Arial"/>
          <w:sz w:val="15"/>
          <w:szCs w:val="15"/>
          <w:color w:val="auto"/>
        </w:rPr>
        <w:t>Our general and administrative expenses for the year ended December 31, 2014 were $1.4 million, as compared to</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$0.3 million for the year ended December 31, 2013, an increase of $1.1 million. The increase was primarily due to an increase in intellectual property and professional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218" w:lineRule="exact"/>
        <w:rPr>
          <w:sz w:val="20"/>
          <w:szCs w:val="20"/>
          <w:color w:val="auto"/>
        </w:rPr>
      </w:pPr>
    </w:p>
    <w:p>
      <w:pPr>
        <w:ind w:right="320" w:firstLine="341"/>
        <w:spacing w:after="0" w:line="263" w:lineRule="auto"/>
        <w:rPr>
          <w:sz w:val="20"/>
          <w:szCs w:val="20"/>
          <w:color w:val="auto"/>
        </w:rPr>
      </w:pPr>
      <w:r>
        <w:rPr>
          <w:rFonts w:ascii="Arial" w:cs="Arial" w:eastAsia="Arial" w:hAnsi="Arial"/>
          <w:sz w:val="17"/>
          <w:szCs w:val="17"/>
          <w:i w:val="1"/>
          <w:iCs w:val="1"/>
          <w:color w:val="auto"/>
        </w:rPr>
        <w:t xml:space="preserve">Interest and Amortization of Debt Discount/Premium (Expense) Income. </w:t>
      </w:r>
      <w:r>
        <w:rPr>
          <w:rFonts w:ascii="Arial" w:cs="Arial" w:eastAsia="Arial" w:hAnsi="Arial"/>
          <w:sz w:val="17"/>
          <w:szCs w:val="17"/>
          <w:color w:val="auto"/>
        </w:rPr>
        <w:t>Interest and amortization of debt discount/premium (expense) income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was income of $2.2 million, as compared to interest expense of $0.3 million for the year ended December 31, 2013. The change of $2.5 million was due to incurring non-cash income of $2.9 million related to the amortization of debt premium associated with the June 2014 amendment of convertible notes issued from June 2013 through October 2013, partially offset by an increase of amortization and non-cash interest expense in 2014 related to our convertible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In 2014, we received the NYC Biotech credit of $0.2 million related to the research and development expenses of our product candidates. No credit</w:t>
      </w:r>
      <w:r>
        <w:rPr>
          <w:rFonts w:ascii="Arial" w:cs="Arial" w:eastAsia="Arial" w:hAnsi="Arial"/>
          <w:sz w:val="17"/>
          <w:szCs w:val="17"/>
          <w:i w:val="1"/>
          <w:iCs w:val="1"/>
          <w:color w:val="auto"/>
        </w:rPr>
        <w:t xml:space="preserve"> </w:t>
      </w:r>
      <w:r>
        <w:rPr>
          <w:rFonts w:ascii="Arial" w:cs="Arial" w:eastAsia="Arial" w:hAnsi="Arial"/>
          <w:sz w:val="17"/>
          <w:szCs w:val="17"/>
          <w:color w:val="auto"/>
        </w:rPr>
        <w:t>was received in 2013.</w:t>
      </w:r>
    </w:p>
    <w:p>
      <w:pPr>
        <w:spacing w:after="0" w:line="170"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i w:val="1"/>
          <w:iCs w:val="1"/>
          <w:color w:val="auto"/>
        </w:rPr>
        <w:t xml:space="preserve">Change in Fair Value of Warrant Liability. </w:t>
      </w:r>
      <w:r>
        <w:rPr>
          <w:rFonts w:ascii="Arial" w:cs="Arial" w:eastAsia="Arial" w:hAnsi="Arial"/>
          <w:sz w:val="17"/>
          <w:szCs w:val="17"/>
          <w:color w:val="auto"/>
        </w:rPr>
        <w:t>We recorded expense related to the change in fair value of our warrant liability of $0.1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2014. There was no warrant liability recorded for the year ended December 31, 2013.</w:t>
      </w:r>
    </w:p>
    <w:p>
      <w:pPr>
        <w:spacing w:after="0" w:line="170" w:lineRule="exact"/>
        <w:rPr>
          <w:sz w:val="20"/>
          <w:szCs w:val="20"/>
          <w:color w:val="auto"/>
        </w:rPr>
      </w:pPr>
    </w:p>
    <w:p>
      <w:pPr>
        <w:ind w:right="420" w:firstLine="341"/>
        <w:spacing w:after="0" w:line="315" w:lineRule="auto"/>
        <w:rPr>
          <w:sz w:val="20"/>
          <w:szCs w:val="20"/>
          <w:color w:val="auto"/>
        </w:rPr>
      </w:pPr>
      <w:r>
        <w:rPr>
          <w:rFonts w:ascii="Arial" w:cs="Arial" w:eastAsia="Arial" w:hAnsi="Arial"/>
          <w:sz w:val="16"/>
          <w:szCs w:val="16"/>
          <w:i w:val="1"/>
          <w:iCs w:val="1"/>
          <w:color w:val="auto"/>
        </w:rPr>
        <w:t xml:space="preserve">Change in Fair Value of Embedded Derivative Liabilities. </w:t>
      </w:r>
      <w:r>
        <w:rPr>
          <w:rFonts w:ascii="Arial" w:cs="Arial" w:eastAsia="Arial" w:hAnsi="Arial"/>
          <w:sz w:val="16"/>
          <w:szCs w:val="16"/>
          <w:color w:val="auto"/>
        </w:rPr>
        <w:t>We recorded income related to the change in fair value of our embedded derivative liabilities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$0.2 million for the year ended December 31, 2014. There was no embedded derivative liabilities recorded for the year ended December 31, 2013.</w:t>
      </w:r>
    </w:p>
    <w:p>
      <w:pPr>
        <w:spacing w:after="0" w:line="14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During June 2014, we amended our convertible notes issued from June 2013 through October 2013 in order to allow automatic</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of the notes at maturity. The amendment was deemed to be a substantive change resulting in a $2.9 million loss on extinguishment of debt with an offsetting premium to the convertible notes. The premium was amortized on a pro rata basis attributable to the individual convertible note issuances through October 2014.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ind w:right="640" w:firstLine="341"/>
        <w:spacing w:after="0" w:line="282" w:lineRule="auto"/>
        <w:rPr>
          <w:sz w:val="20"/>
          <w:szCs w:val="20"/>
          <w:color w:val="auto"/>
        </w:rPr>
      </w:pPr>
      <w:r>
        <w:rPr>
          <w:rFonts w:ascii="Arial" w:cs="Arial" w:eastAsia="Arial" w:hAnsi="Arial"/>
          <w:sz w:val="17"/>
          <w:szCs w:val="17"/>
          <w:color w:val="auto"/>
        </w:rPr>
        <w:t>Since our inception, our operations have been financed primarily by proceeds from the sale of convertible notes, which as of June 30, 2015, amounted to aggregate gross proceeds of approximately $16.9 million. At June 30, 2015, we had cash of $6.4 million.</w:t>
      </w:r>
    </w:p>
    <w:p>
      <w:pPr>
        <w:spacing w:after="0" w:line="170"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To date, we have not generated any revenue and have incurred significant losses since our inception in 2012. As of June 30, 2015, we had an accumulated deficit of $12.5 million. We anticipate that we will continue to incur significant losses for the foreseeable future. We expect that our research and development and general and administrative expenses will continue to increase and, as a result, we will need additional capital to fund our operations, which we may seek to obtain through one or more equity offerings, debt financings, and licensing or collaboration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sources and uses of cash:</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Year ended December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6"/>
          </w:tcPr>
          <w:p>
            <w:pPr>
              <w:ind w:left="14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2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1"/>
              <w:spacing w:after="0" w:line="138"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9"/>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200"/>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9"/>
              <w:spacing w:after="0" w:line="138"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r>
      <w:tr>
        <w:trPr>
          <w:trHeight w:val="137"/>
        </w:trPr>
        <w:tc>
          <w:tcPr>
            <w:tcW w:w="2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6"/>
          </w:tcPr>
          <w:p>
            <w:pPr>
              <w:ind w:left="560"/>
              <w:spacing w:after="0" w:line="138" w:lineRule="exact"/>
              <w:rPr>
                <w:sz w:val="20"/>
                <w:szCs w:val="20"/>
                <w:color w:val="auto"/>
              </w:rPr>
            </w:pPr>
            <w:r>
              <w:rPr>
                <w:rFonts w:ascii="Arial" w:cs="Arial" w:eastAsia="Arial" w:hAnsi="Arial"/>
                <w:sz w:val="13"/>
                <w:szCs w:val="13"/>
                <w:b w:val="1"/>
                <w:bCs w:val="1"/>
                <w:color w:val="auto"/>
              </w:rPr>
              <w:t>(unaudited)</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860" w:type="dxa"/>
            <w:vAlign w:val="bottom"/>
          </w:tcPr>
          <w:p>
            <w:pPr>
              <w:ind w:left="180"/>
              <w:spacing w:after="0"/>
              <w:rPr>
                <w:sz w:val="20"/>
                <w:szCs w:val="20"/>
                <w:color w:val="auto"/>
              </w:rPr>
            </w:pPr>
            <w:r>
              <w:rPr>
                <w:rFonts w:ascii="Arial" w:cs="Arial" w:eastAsia="Arial" w:hAnsi="Arial"/>
                <w:sz w:val="17"/>
                <w:szCs w:val="17"/>
                <w:color w:val="auto"/>
              </w:rPr>
              <w:t>Operating activities</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(1,631,065)</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(4,596,394)</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(1,391,917)</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(3,265,674)</w:t>
            </w:r>
          </w:p>
        </w:tc>
      </w:tr>
      <w:tr>
        <w:trPr>
          <w:trHeight w:val="210"/>
        </w:trPr>
        <w:tc>
          <w:tcPr>
            <w:tcW w:w="2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(11,676)</w:t>
            </w:r>
          </w:p>
        </w:tc>
      </w:tr>
      <w:tr>
        <w:trPr>
          <w:trHeight w:val="210"/>
        </w:trPr>
        <w:tc>
          <w:tcPr>
            <w:tcW w:w="2860" w:type="dxa"/>
            <w:vAlign w:val="bottom"/>
          </w:tcPr>
          <w:p>
            <w:pPr>
              <w:ind w:left="180"/>
              <w:spacing w:after="0"/>
              <w:rPr>
                <w:sz w:val="20"/>
                <w:szCs w:val="20"/>
                <w:color w:val="auto"/>
              </w:rPr>
            </w:pPr>
            <w:r>
              <w:rPr>
                <w:rFonts w:ascii="Arial" w:cs="Arial" w:eastAsia="Arial" w:hAnsi="Arial"/>
                <w:sz w:val="17"/>
                <w:szCs w:val="17"/>
                <w:color w:val="auto"/>
              </w:rPr>
              <w:t>Financing activities</w:t>
            </w: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3,717,282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5,126,366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7,073,808</w:t>
            </w:r>
          </w:p>
        </w:tc>
        <w:tc>
          <w:tcPr>
            <w:tcW w:w="160" w:type="dxa"/>
            <w:vAlign w:val="bottom"/>
          </w:tcPr>
          <w:p>
            <w:pPr>
              <w:spacing w:after="0"/>
              <w:rPr>
                <w:sz w:val="18"/>
                <w:szCs w:val="18"/>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2,086,217</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529,972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(1,391,917)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3,796,458</w:t>
            </w:r>
          </w:p>
        </w:tc>
        <w:tc>
          <w:tcPr>
            <w:tcW w:w="160" w:type="dxa"/>
            <w:vAlign w:val="bottom"/>
            <w:shd w:val="clear" w:color="auto" w:fill="CCEEFF"/>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80" w:firstLine="341"/>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operating activities for the year ended December 31, 2014 was $4.6 million as compared to $1.6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The increase of $3.0 million in net cash used was primarily related to an increase in net loss of $3.8 million related to an increase in expenditures for our clinical programs and the hiring of personnel, which is partially offset by an increase in the amortization of the debt issuance costs and debt discounts on our convertible notes, along with an increase in stock compensation expense and accounts payable.</w:t>
      </w:r>
    </w:p>
    <w:p>
      <w:pPr>
        <w:spacing w:after="0" w:line="169"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Net cash used in operating activities for the six months ended June 30, 2015 was $3.3 million as compared to $1.4 million for the six months ended June 30, 2014. The increase of $1.9 million in net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cash used was primarily related to an increase in expenditures for our clinical programs as well as an increase in general and administrative expenses in preparation for a potential IPO.</w:t>
      </w:r>
    </w:p>
    <w:p>
      <w:pPr>
        <w:spacing w:after="0" w:line="170" w:lineRule="exact"/>
        <w:rPr>
          <w:sz w:val="20"/>
          <w:szCs w:val="20"/>
          <w:color w:val="auto"/>
        </w:rPr>
      </w:pPr>
    </w:p>
    <w:p>
      <w:pPr>
        <w:ind w:right="20" w:firstLine="341"/>
        <w:spacing w:after="0" w:line="315"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for the purchase of property and equipment was zero for the years ended December 31, 2013 and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2014. Cash used in investing activities was less than $0.1 million for the six months ended June 30, 2015.</w:t>
      </w:r>
    </w:p>
    <w:p>
      <w:pPr>
        <w:spacing w:after="0" w:line="146"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$5.1 million for the year ended December 31, 2014 as compared to $3.7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The increase of $1.4 million was primarily related to an increase in net proceeds from the issuance of convertible notes in 2014.</w:t>
      </w:r>
    </w:p>
    <w:p>
      <w:pPr>
        <w:spacing w:after="0" w:line="146"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Net cash provided by financing activities was $7.1 million for the six months ended June 30, 2015 as compared to no cash provided by financing activities for the six months ended June 30, 2014. The increase of $7.1 million was due to proceeds received in the first half of 2015 related to convertible note issuances, whereas no fundraising was performed in the first half of 2014.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w:t>
      </w:r>
    </w:p>
    <w:p>
      <w:pPr>
        <w:spacing w:after="0" w:line="228" w:lineRule="exact"/>
        <w:rPr>
          <w:sz w:val="20"/>
          <w:szCs w:val="20"/>
          <w:color w:val="auto"/>
        </w:rPr>
      </w:pPr>
    </w:p>
    <w:p>
      <w:pPr>
        <w:ind w:right="100" w:firstLine="338"/>
        <w:spacing w:after="0" w:line="28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 Upon the closing of this offering, we expect to incur additional costs associated with operating as a public company and we anticipate that we will need substantial additional funding in connection with our continuing operations.</w:t>
      </w:r>
    </w:p>
    <w:p>
      <w:pPr>
        <w:spacing w:after="0" w:line="17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believe that our existing cash as of June 30, 2015, together with the proceeds from this offering, will be sufficient to fund our business plan for at least the next months. However, 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9"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scope, rate of progress, results, and cost of our clinical studies and other related activities;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enter into collaborative agreements for the development and commercialization of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number and development requirements of any other product candidates that we pursue;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costs, timing, and outcome of regulatory reviews of our product candidates;</w:t>
      </w:r>
    </w:p>
    <w:p>
      <w:pPr>
        <w:spacing w:after="0" w:line="250"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product liability or other lawsuits related to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general and administrative expenses related to being a public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 and</w:t>
      </w:r>
    </w:p>
    <w:p>
      <w:pPr>
        <w:spacing w:after="0" w:line="250"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costs involved in preparing, filing, and prosecuting patent applications, maintaining and enforcing our intellectual property rights, and defending our intellectual property-related claims.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"Risk Factors" for additional risks associated with our substantial capital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our contractual obligations as of December 31, 2014:</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Less than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(in thousands)</w:t>
            </w:r>
          </w:p>
        </w:tc>
        <w:tc>
          <w:tcPr>
            <w:tcW w:w="388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one year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2 - 3 Years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4 - 5 Years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7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Debt obligations</w:t>
            </w:r>
            <w:r>
              <w:rPr>
                <w:rFonts w:ascii="Arial" w:cs="Arial" w:eastAsia="Arial" w:hAnsi="Arial"/>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5,534</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5,534</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ind w:left="20"/>
              <w:spacing w:after="0" w:line="262" w:lineRule="exact"/>
              <w:rPr>
                <w:sz w:val="20"/>
                <w:szCs w:val="20"/>
                <w:color w:val="auto"/>
              </w:rPr>
            </w:pPr>
            <w:r>
              <w:rPr>
                <w:rFonts w:ascii="Arial" w:cs="Arial" w:eastAsia="Arial" w:hAnsi="Arial"/>
                <w:sz w:val="17"/>
                <w:szCs w:val="17"/>
                <w:color w:val="auto"/>
              </w:rPr>
              <w:t>Total contractual obligations</w:t>
            </w:r>
            <w:r>
              <w:rPr>
                <w:rFonts w:ascii="Arial" w:cs="Arial" w:eastAsia="Arial" w:hAnsi="Arial"/>
                <w:sz w:val="28"/>
                <w:szCs w:val="28"/>
                <w:color w:val="auto"/>
                <w:vertAlign w:val="superscript"/>
              </w:rPr>
              <w:t>(2)</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60" w:type="dxa"/>
            <w:vAlign w:val="bottom"/>
            <w:gridSpan w:val="3"/>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5,534</w:t>
            </w:r>
          </w:p>
        </w:tc>
        <w:tc>
          <w:tcPr>
            <w:tcW w:w="1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5,534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540" w:hanging="533"/>
        <w:spacing w:after="0" w:line="296" w:lineRule="auto"/>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Debt obligations reflect obligations to make payments of principal and accrued interest under the convertible notes (See Note 7 of our consolidated financial statements). All of such notes will convert into shares of our common stock upon the closing of this offering.</w:t>
      </w:r>
    </w:p>
    <w:p>
      <w:pPr>
        <w:spacing w:after="0" w:line="7" w:lineRule="exact"/>
        <w:rPr>
          <w:rFonts w:ascii="Arial" w:cs="Arial" w:eastAsia="Arial" w:hAnsi="Arial"/>
          <w:sz w:val="15"/>
          <w:szCs w:val="15"/>
          <w:color w:val="auto"/>
        </w:rPr>
      </w:pPr>
    </w:p>
    <w:p>
      <w:pPr>
        <w:ind w:left="1680" w:hanging="533"/>
        <w:spacing w:after="0"/>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had no lease obligations as of December 31, 2014.</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We have not included in the table above any payments to Antecip under these license agreements as the amount, timing, and likelihood of such payments are not known. For a more detailed description of these agreements, please see "Business—Material License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any off-balance sheet arrangements, as defined by applicable SEC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24"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$6.4 million as of June 30, 2015.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contract with vendors and third-party manufacturers in several foreign countries. Several of these contracts are denominated in Euros and British Pounds. We are therefore subject to fluctuations in foreign currency rates in connection with these agreements, and recognize foreign exchange gains or losses in our statement of operations. We have not historically hedged our foreign currency exchange</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rate risk. To date, we have not incurred any material effects from foreign currency changes on these contracts.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10% change in these currencies on June 30, 2015 would not have had a material effect on our results of operations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Inflation Risk</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Inflation generally affects us by increasing our cost of labor and pricing of contracts. We do not believe that inflation has had a material effect on our business, financial condition or results of operations during the year ended December 31, 2014 or the six months ended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Under the JOBS Act, emerging growth companies, like us, that become publicly traded companies can delay adopting new or revised accounting standards, until such time as those standards apply to private companies. We have irrevocably elected to not take advantage of the extended transition period afforded by the JOBS Act for the implementation of new or revised accounting standards and, as a result, will comply with new or revised accounting standards on the relevant dates on which adoption of such standards is required for non-emerging growth companies.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 xml:space="preserve">In April 2015, the FASB issued Accounting Standards Updates ("ASU") 2015-03,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835-30</w:t>
      </w:r>
      <w:r>
        <w:rPr>
          <w:rFonts w:ascii="Arial" w:cs="Arial" w:eastAsia="Arial" w:hAnsi="Arial"/>
          <w:sz w:val="16"/>
          <w:szCs w:val="16"/>
          <w:color w:val="auto"/>
        </w:rPr>
        <w:t>). The update requires debt issuance costs related to a recognized debt liability to be presented in the balance sheet as a direct deduction from the debt liability rather than as an asset. The guidance is effective for fiscal years beginning after December 15, 2015. We early adopted this guidance for all periods presented.</w:t>
      </w:r>
    </w:p>
    <w:p>
      <w:pPr>
        <w:spacing w:after="0" w:line="163"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w:t>
      </w:r>
      <w:r>
        <w:rPr>
          <w:rFonts w:ascii="Arial" w:cs="Arial" w:eastAsia="Arial" w:hAnsi="Arial"/>
          <w:sz w:val="17"/>
          <w:szCs w:val="17"/>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The guidance is effective for fiscal years ending after December 15, 2016. Early adoption is permitted. We expect to adopt this guidance when effective and are currently evaluating the effect that the updated standard will have on our financial statements and related disclosures.</w:t>
      </w:r>
    </w:p>
    <w:p>
      <w:pPr>
        <w:spacing w:after="0" w:line="187"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 xml:space="preserve">On June 10, 2014, the FASB issued ASU 2014-10, </w:t>
      </w:r>
      <w:r>
        <w:rPr>
          <w:rFonts w:ascii="Arial" w:cs="Arial" w:eastAsia="Arial" w:hAnsi="Arial"/>
          <w:sz w:val="17"/>
          <w:szCs w:val="17"/>
          <w:i w:val="1"/>
          <w:iCs w:val="1"/>
          <w:color w:val="auto"/>
        </w:rPr>
        <w:t>Development Stage Entities (Topic 915)</w:t>
      </w:r>
      <w:r>
        <w:rPr>
          <w:rFonts w:ascii="Arial" w:cs="Arial" w:eastAsia="Arial" w:hAnsi="Arial"/>
          <w:sz w:val="17"/>
          <w:szCs w:val="17"/>
          <w:color w:val="auto"/>
        </w:rPr>
        <w:t>. The update removes the definition of a development stage entity from FASB ASC 915 and eliminates the requirement for development stage entities to present inception-to-date information on the statements of operations, cash flows, and stockholders' deficit. We early adopted this guidance in this and all subsequent reporting periods.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00" w:firstLine="338"/>
        <w:spacing w:after="0" w:line="293" w:lineRule="auto"/>
        <w:rPr>
          <w:sz w:val="20"/>
          <w:szCs w:val="20"/>
          <w:color w:val="auto"/>
        </w:rPr>
      </w:pPr>
      <w:r>
        <w:rPr>
          <w:rFonts w:ascii="Arial" w:cs="Arial" w:eastAsia="Arial" w:hAnsi="Arial"/>
          <w:sz w:val="15"/>
          <w:szCs w:val="15"/>
          <w:color w:val="auto"/>
        </w:rPr>
        <w:t>We are a clinical stage biopharmaceutical company developing novel therapies for the management of pain and other central nervous system, or CNS, disorders. By focusing on this therapeutic area, we are addressing significant and growing markets where current treatment options are limited or inadequate. Our product candidate portfolio includes two late-stage candidates, AXS-02 and AXS-05, which we are developing for multiple indications. We recently initiated a Phase 3 trial with AXS-02 in complex regional pain syndrome and plan to initiate a Phase 3 trial with AXS-05 in treatment resistant depression in or before the first quarter</w:t>
      </w:r>
    </w:p>
    <w:p>
      <w:pPr>
        <w:spacing w:after="0" w:line="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of 2016. We aim to become a fully integrated biopharmaceutical company that develops and commercializes differentiated therapies that expand the treatment options available to caregivers and improve the lives of patients living with pain and other CNS disorders.</w:t>
      </w:r>
    </w:p>
    <w:p>
      <w:pPr>
        <w:spacing w:after="0" w:line="175" w:lineRule="exact"/>
        <w:rPr>
          <w:sz w:val="20"/>
          <w:szCs w:val="20"/>
          <w:color w:val="auto"/>
        </w:rPr>
      </w:pPr>
    </w:p>
    <w:p>
      <w:pPr>
        <w:ind w:right="40" w:firstLine="341"/>
        <w:spacing w:after="0" w:line="299" w:lineRule="auto"/>
        <w:rPr>
          <w:sz w:val="20"/>
          <w:szCs w:val="20"/>
          <w:color w:val="auto"/>
        </w:rPr>
      </w:pPr>
      <w:r>
        <w:rPr>
          <w:rFonts w:ascii="Arial" w:cs="Arial" w:eastAsia="Arial" w:hAnsi="Arial"/>
          <w:sz w:val="15"/>
          <w:szCs w:val="15"/>
          <w:color w:val="auto"/>
        </w:rPr>
        <w:t>Our first product candidate, AXS-02 (disodium zoledronate), is a potent osteoclast inhibitor being developed as a potentially first-in-class oral, targeted, non-opioid therapeutic for chronic pain. We are initially developing AXS-02 for the treatment of pain in the following three conditions: complex regional pain syndrome, or CRPS; knee osteoarthritis, or OA, associated with bone marrow lesions, or BMLs; and chronic low back pain, or CLBP, associated with type 1 or mixed type 1 and type 2 Modic changes, or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and marked suppression of bone resorption markers. We selected the dose for our ongoing and planned Phase 3 trials based on the pharmacokinetic and pharmacodynamic results of our Phase 1 trial. We intend to seek U.S. Food and Drug Administration, or FDA, approval for AXS-02 utilizing the 505(b)(2) regulatory development pathway.</w:t>
      </w:r>
    </w:p>
    <w:p>
      <w:pPr>
        <w:spacing w:after="0" w:line="16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initiated a Phase 3 trial with AXS-02 for the treatment of pain in patients with CRPS, which we refer to as the CREATE-1 study, in July 2015. There is currently no drug approved by the FDA or the European Medicines Agency, or EMA, to treat CRPS. CRPS is a debilitating condition characterized by severe pain in a limb, accompanied by autonomic, sensory, motor, and trophic changes. For many patients, the pain and associated loss of function result in significant and sometimes permanent disability. AXS-02 has been granted FDA Fast Track designation for the treatment of pain associated with CRPS. AXS-02 has also been granted Orphan Drug Designation by the FDA and Orphan Medicinal Product Designation by the EMA for the treatment of CRPS. It has been estimated that approximately 80,000 individuals in the United States are diagnosed with CRPS annually.</w:t>
      </w:r>
    </w:p>
    <w:p>
      <w:pPr>
        <w:spacing w:after="0" w:line="18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plan to initiate a Phase 3 clinical trial with AXS-02 for the treatment of pain in patients with knee OA associated with BMLs in or before the first quarter of 2016. There is currently no therapy specifically approved by the FDA or the EMA to treat this subset of knee OA. Results from cross-sectional and longitudinal studies have shown an association between the presence of BMLs and knee pain in patients with knee OA. These studies suggest that BMLs are a source of knee pain and a potential target for pharmaceutical intervention. We believe the mechanisms of action of AXS-02 may preferentially target BMLs. We estimate that as many as 7 million individuals in the United States suffer from symptomatic knee OA associated with BMLs.</w:t>
      </w:r>
    </w:p>
    <w:p>
      <w:pPr>
        <w:spacing w:after="0" w:line="174"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We plan to initiate a Phase 3 clinical trial with AXS-02 for the treatment of CLBP associated with MCs in the first half of 2016. There is currently no therapy specifically approved by the FDA or the EMA to treat this subset of CLBP. Results of numerous studies suggest that MCs, especially type 1 MCs, are correlated with low back pain, and that changes in the extent of type 1 MCs are positively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associated with changes in low back symptoms. These studies suggest that MCs are a potential target for pharmaceutical intervention. We believe the mechanisms of action of AXS-02 may preferentially target MCs. We estimate that as many as 1.6 million individuals in the United States suffer from CLBP associated with type 1 MCs.</w:t>
      </w:r>
    </w:p>
    <w:p>
      <w:pPr>
        <w:spacing w:after="0" w:line="179" w:lineRule="exact"/>
        <w:rPr>
          <w:sz w:val="20"/>
          <w:szCs w:val="20"/>
          <w:color w:val="auto"/>
        </w:rPr>
      </w:pPr>
    </w:p>
    <w:p>
      <w:pPr>
        <w:ind w:right="120" w:firstLine="341"/>
        <w:spacing w:after="0" w:line="261" w:lineRule="auto"/>
        <w:rPr>
          <w:sz w:val="20"/>
          <w:szCs w:val="20"/>
          <w:color w:val="auto"/>
        </w:rPr>
      </w:pPr>
      <w:r>
        <w:rPr>
          <w:rFonts w:ascii="Arial" w:cs="Arial" w:eastAsia="Arial" w:hAnsi="Arial"/>
          <w:sz w:val="17"/>
          <w:szCs w:val="17"/>
          <w:color w:val="auto"/>
        </w:rPr>
        <w:t>Our second product candidate, AXS-05, is an innovative fixed-dose combination of dextromethorphan, or DM, and bupropion. We are developing AXS-05 initially for the treatment of the following two conditions: treatment resistant depression, or TRD; and agitation in patients with Alzheimer's disease, or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two Phase 1 trials that DM plasma levels are significantly increased into a potentially therapeutic range with co-administration of bupropion. Bupropion is itself active at distinct CNS receptors providing the potential for an additive or synergistic effect. We intend to seek FDA approval for AXS-05 utilizing the 505(b)(2) regulatory development pathway.</w:t>
      </w:r>
    </w:p>
    <w:p>
      <w:pPr>
        <w:spacing w:after="0" w:line="190"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We plan to initiate a Phase 3 trial of AXS-05 in TRD in or before the first quarter of 2016. Currently only one product is approved in the United States for the treatment of TRD. DM's mechanisms of action encompass those of several antidepressant drug classes, and bupropion is a well-established antidepressant. DM administration has resulted in dose-dependent antidepressant-like effects in two widely used preclinical models of antidepressant effect. Furthermore, administration of DM with quinidine, which serves as an inhibitor of metabolism of DM, significantly reduced depressive symptoms, as shown in a third-party study. The plasma concentrations of DM achieved with AXS-05 in our Phase 1 trials are in the range of those associated with the DM and quinidine dose that resulted in a reduction in depressive symptoms, based on data published by the FDA. We estimate that as many as 3 million individuals in the United States suffer from TRD.</w:t>
      </w:r>
    </w:p>
    <w:p>
      <w:pPr>
        <w:spacing w:after="0" w:line="162"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We intend to develop AXS-05 for the treatment of agitation in patients with AD, and plan to request a meeting with the FDA in 2016 to discuss our development plans. There is currently no FDA-approved pharmacological treatment for the indication of agitation in patients with AD. Agitation in patients with AD has been associated with increased caregiver burden, decreased functioning, earlier nursing home placement, and death. Administration of DM with quinidine has been shown to significantly reduce agitation in patients with probable AD, as shown in a randomized, double-blind, placebo-controlled, third-party clinical trial. The plasma concentrations of DM achieved with AXS-05 in our Phase 1 trials are in the range of those associated with the DM and quinidine doses that resulted in a reduction in agitation in patients with probable AD, based on data published by the FDA. It has been estimated that AD afflicts 5 million individuals in the United States, with agitation being reported in as many as 40% of those afflicted.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one active program, AXS-06, in preclinical development. We are developing AXS-06 for the treatment of chronic pain.</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Our product candidates are protected through a combination of patents, trade secrets, and proprietary know-how. If approved, they may also be eligible for periods of regulatory exclusivity. Our intellectual property portfolio includes U.S. patents with claims extending to 2034 for AXS-02 and to 2032 for AXS-05, as well as corresponding foreign patent applications. Our U.S. and E.U. orphan designations for AXS-02 for the treatment of CRPS potentially provide 7 and up to 12 years of marketing exclusivity in the respective geographies for the orphan indication.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Our goal is to cost-effectively and efficiently develop and commercialize novel, differentiated therapies for the management of pain and other CNS disorders. The primary elements of our strategy to achieve this goal are the following:</w:t>
      </w:r>
    </w:p>
    <w:p>
      <w:pPr>
        <w:spacing w:after="0" w:line="183" w:lineRule="exact"/>
        <w:rPr>
          <w:sz w:val="20"/>
          <w:szCs w:val="20"/>
          <w:color w:val="auto"/>
        </w:rPr>
      </w:pPr>
    </w:p>
    <w:p>
      <w:pPr>
        <w:ind w:left="1060" w:right="40" w:hanging="531"/>
        <w:spacing w:after="0" w:line="279"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novel pain and other CNS indications with high unmet medical need. </w:t>
      </w:r>
      <w:r>
        <w:rPr>
          <w:rFonts w:ascii="Arial" w:cs="Arial" w:eastAsia="Arial" w:hAnsi="Arial"/>
          <w:sz w:val="16"/>
          <w:szCs w:val="16"/>
          <w:color w:val="auto"/>
        </w:rPr>
        <w:t>We believe that pain and other CNS disorders are significantly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underserved therapeutic segments with currently limited treatment options. We are initially developing our product candidates for indications that have no or few FDA-approved pharmacological treatments. For example, there currently is no drug approved by the FDA or the EMA for CRPS, the pain of knee OA associated with BMLs, CLBP associated with MCs, or agitation in patients with AD. There is currently only one FDA-approved drug for TRD. These conditions are often disabling, difficult to treat, and associated with significant comorbidities. By focusing on novel indications, we aim to develop products that have the potential to change current medical practice, and that are highly relevant to patients, physicians, and regulatory bodies because they address unmet medical needs. Many of these indications have significant patient populations which, when combined with the lack of approved treatments, should provide us with attractive commercial opportunities.</w:t>
      </w:r>
    </w:p>
    <w:p>
      <w:pPr>
        <w:spacing w:after="0" w:line="202" w:lineRule="exact"/>
        <w:rPr>
          <w:rFonts w:ascii="Arial" w:cs="Arial" w:eastAsia="Arial" w:hAnsi="Arial"/>
          <w:sz w:val="16"/>
          <w:szCs w:val="16"/>
          <w:color w:val="auto"/>
        </w:rPr>
      </w:pPr>
    </w:p>
    <w:p>
      <w:pPr>
        <w:ind w:left="1060" w:right="120" w:hanging="531"/>
        <w:spacing w:after="0" w:line="261"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 biomarkers to define specific patient subsets for our pain indications. </w:t>
      </w:r>
      <w:r>
        <w:rPr>
          <w:rFonts w:ascii="Arial" w:cs="Arial" w:eastAsia="Arial" w:hAnsi="Arial"/>
          <w:sz w:val="17"/>
          <w:szCs w:val="17"/>
          <w:color w:val="auto"/>
        </w:rPr>
        <w:t>We are using biomarkers, such as BMLs and MCs, which are visible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magnetic resonance imaging, or MRI, to define specific subsets of patients who we believe are more likely to respond to the mechanisms of action of AXS-02. Biomarkers have been used successfully for oncology treatments, but are not commonly used for pain therapeutics. While patients with common pain conditions, such as knee OA and CLBP, experience similar symptoms, these symptoms may be due to different underlying conditions. The variability in underlying conditions is thought to contribute to heterogeneity in these populations and may account for observed differences in treatment response. We believe that our targeted biomarker approach may result in a less heterogeneous patient population in our clinical trials, which may improve our ability to demonstrate a treatment effect and, if approved, enable treatment of more appropriate patient populations with our product candidates.</w:t>
      </w:r>
    </w:p>
    <w:p>
      <w:pPr>
        <w:spacing w:after="0" w:line="200" w:lineRule="exact"/>
        <w:rPr>
          <w:rFonts w:ascii="Arial" w:cs="Arial" w:eastAsia="Arial" w:hAnsi="Arial"/>
          <w:sz w:val="17"/>
          <w:szCs w:val="17"/>
          <w:color w:val="auto"/>
        </w:rPr>
      </w:pPr>
    </w:p>
    <w:p>
      <w:pPr>
        <w:ind w:left="1060" w:right="80" w:hanging="531"/>
        <w:spacing w:after="0" w:line="283"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products with differentiated profiles. </w:t>
      </w:r>
      <w:r>
        <w:rPr>
          <w:rFonts w:ascii="Arial" w:cs="Arial" w:eastAsia="Arial" w:hAnsi="Arial"/>
          <w:sz w:val="16"/>
          <w:szCs w:val="16"/>
          <w:color w:val="auto"/>
        </w:rPr>
        <w:t>We aim to develop products with novel mechanisms of action for the intended indications that should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differentiated product profiles. For example, AXS-02 utilizes a potentially first-in-class mechanism of action for the treatment of pain that may result in analgesia that lasts for one or more months after treatment. AXS-05 combines several mechanisms of action resulting in a unique pharmacological profile that may be relevant to the treatment of numerous CNS disorders. We believe that products with clearly differentiated features will be attractive to patients and their physicians, and will provide us with a competitive commercial advantage.</w:t>
      </w:r>
    </w:p>
    <w:p>
      <w:pPr>
        <w:spacing w:after="0" w:line="186" w:lineRule="exact"/>
        <w:rPr>
          <w:rFonts w:ascii="Arial" w:cs="Arial" w:eastAsia="Arial" w:hAnsi="Arial"/>
          <w:sz w:val="16"/>
          <w:szCs w:val="16"/>
          <w:color w:val="auto"/>
        </w:rPr>
      </w:pPr>
    </w:p>
    <w:p>
      <w:pPr>
        <w:ind w:left="1060" w:right="80" w:hanging="531"/>
        <w:spacing w:after="0" w:line="279"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clinical and regulatory risk, limit development costs, and accelerate time to market. </w:t>
      </w:r>
      <w:r>
        <w:rPr>
          <w:rFonts w:ascii="Arial" w:cs="Arial" w:eastAsia="Arial" w:hAnsi="Arial"/>
          <w:sz w:val="16"/>
          <w:szCs w:val="16"/>
          <w:color w:val="auto"/>
        </w:rPr>
        <w:t>Our product candidates incorporate chemical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long histories of clinical use and well-characterized safety profiles. Use of well-characterized molecules has allowed us to rapidly complete early clinical development of our product candidates, and may reduce the risk of late-stage clinical failures due to unexpected toxicities. This strategy also allows us to seek FDA approval for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our product candidates and potentially forego conducting certain lengthy and costly preclinical studies, reduce clinical and regulatory risk, limit development costs, and accelerate our time to commercialization.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300"/>
          </w:cols>
          <w:pgMar w:left="240" w:top="131" w:right="359" w:bottom="1440" w:gutter="0" w:footer="0" w:header="0"/>
        </w:sect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Pipeline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5"/>
          <w:szCs w:val="15"/>
          <w:color w:val="auto"/>
        </w:rPr>
        <w:t>We intend to commercialize AXS-02, if approved, in the United States through the establishment of our own focused, cost-effective sales and marketing organization targeting high-prescribing specialists. We intend to selectively partner commercial rights outside of the United States with third parties to maximize the value of AXS-02 without the substantial investment required to develop independent sales forces in those geographies. We continue to evaluate strategic options for the commercialization of our other product candidates.</w:t>
      </w:r>
    </w:p>
    <w:p>
      <w:pPr>
        <w:spacing w:after="0" w:line="527" w:lineRule="exact"/>
        <w:rPr>
          <w:sz w:val="20"/>
          <w:szCs w:val="20"/>
          <w:color w:val="auto"/>
        </w:rPr>
      </w:pPr>
    </w:p>
    <w:p>
      <w:pPr>
        <w:sectPr>
          <w:pgSz w:w="11900" w:h="16838" w:orient="portrait"/>
          <w:cols w:equalWidth="0" w:num="2">
            <w:col w:w="940" w:space="120"/>
            <w:col w:w="10240"/>
          </w:cols>
          <w:pgMar w:left="240" w:top="131" w:right="359" w:bottom="1440" w:gutter="0" w:footer="0" w:header="0"/>
          <w:type w:val="continuous"/>
        </w:sectPr>
      </w:pPr>
    </w:p>
    <w:p>
      <w:pPr>
        <w:spacing w:after="0" w:line="5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147320</wp:posOffset>
            </wp:positionV>
            <wp:extent cx="5619115" cy="23310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19115"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AXS-02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4" w:lineRule="exact"/>
        <w:rPr>
          <w:sz w:val="20"/>
          <w:szCs w:val="20"/>
          <w:color w:val="auto"/>
        </w:rPr>
      </w:pPr>
    </w:p>
    <w:p>
      <w:pPr>
        <w:ind w:right="120" w:firstLine="332"/>
        <w:spacing w:after="0" w:line="287" w:lineRule="auto"/>
        <w:rPr>
          <w:sz w:val="20"/>
          <w:szCs w:val="20"/>
          <w:color w:val="auto"/>
        </w:rPr>
      </w:pPr>
      <w:r>
        <w:rPr>
          <w:rFonts w:ascii="Arial" w:cs="Arial" w:eastAsia="Arial" w:hAnsi="Arial"/>
          <w:sz w:val="16"/>
          <w:szCs w:val="16"/>
          <w:color w:val="auto"/>
        </w:rPr>
        <w:t>AXS-02 is a novel, targeted investigational pain therapeutic. It is an orally administered, non-opioid agent with a new mechanism of action for the treatment of pain. We are developing AXS-02 for the treatment of pain associated with CRPS, a severe and debilitating orphan condition. No drug is currently approved by the FDA or the EMA to treat CRPS. We are also developing AXS-02 for the treatment of the pain of knee OA associated with BMLs, and for the treatment of CLBP associated with MCs. No drug is currently approved by the FDA or the EMA specifically for these targeted subsets of knee OA and CLBP.</w:t>
      </w:r>
    </w:p>
    <w:p>
      <w:pPr>
        <w:spacing w:after="0" w:line="169"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We believe that, if successfully developed, AXS-02 may overcome the limitations of current treatments for pain, and may be attractive to patients and their physicians, based on the following differentiating features:</w:t>
      </w:r>
    </w:p>
    <w:p>
      <w:pPr>
        <w:spacing w:after="0" w:line="196"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Novel osteoclast-inhibiting mechanism of action for the treatment of pain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Targeted therapy approach that utilizes radiographic biomarkers to identify appropriate patients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Oral administration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Convenient weekly dosing and short course of treatment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Potential for extended duration of pain relief</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Lack of opioid-related side effects and abuse and addiction potential</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420" w:firstLine="338"/>
        <w:spacing w:after="0" w:line="270" w:lineRule="auto"/>
        <w:rPr>
          <w:sz w:val="20"/>
          <w:szCs w:val="20"/>
          <w:color w:val="auto"/>
        </w:rPr>
      </w:pPr>
      <w:r>
        <w:rPr>
          <w:rFonts w:ascii="Arial" w:cs="Arial" w:eastAsia="Arial" w:hAnsi="Arial"/>
          <w:sz w:val="17"/>
          <w:szCs w:val="17"/>
          <w:color w:val="auto"/>
        </w:rPr>
        <w:t>We initiated a Phase 3 trial with AXS-02 for the treatment of pain associated with CRPS in July 2015. We plan to initiate Phase 3 trials with AXS-02 for the treatment of the pain of knee OA associated with BMLs in or before the first quarter of 2016, and for the treatment of CLBP associated with MCs in the first half of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Novel Mechanisms of Action for Pain</w:t>
      </w:r>
    </w:p>
    <w:p>
      <w:pPr>
        <w:spacing w:after="0" w:line="224"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Zoledronic acid, the active molecule in AXS-02, is a potent nitrogen-containing bisphosphonate. Bisphosphonates are compounds that bind with high affinity to bone mineral and inhibit the bone-resorbing cells called osteoclasts. Zoledronic acid reduces osteoclast activity by inhibiting a critical enzyme called farnesyl pyrophosphate synthase, or FPPS. Zoledronic acid is the bisphosphonate with the strongest affinity for bone and the highest inhibitory activity of FPPS. Osteoclasts resorb bone by secreting protons and generating an acidic extracellular microenvironment. The secreted protons may directly excite pain receptors, which are found in mineralized bone. We believe that zoledronic acid may therefore reduce pain by inhibiting osteoclast hyperactivity and suppressing the up-regulation of acid-sensing ion channels on sensory neurons. Zoledronic acid has also been shown to inhibit the production of pro-inflammatory cytokines and to have anti-angiogenic properties.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Targeted Therapy for Pain</w:t>
      </w:r>
    </w:p>
    <w:p>
      <w:pPr>
        <w:spacing w:after="0" w:line="224" w:lineRule="exact"/>
        <w:rPr>
          <w:sz w:val="20"/>
          <w:szCs w:val="20"/>
          <w:color w:val="auto"/>
        </w:rPr>
      </w:pPr>
    </w:p>
    <w:p>
      <w:pPr>
        <w:ind w:right="140" w:firstLine="338"/>
        <w:spacing w:after="0" w:line="279" w:lineRule="auto"/>
        <w:rPr>
          <w:sz w:val="20"/>
          <w:szCs w:val="20"/>
          <w:color w:val="auto"/>
        </w:rPr>
      </w:pPr>
      <w:r>
        <w:rPr>
          <w:rFonts w:ascii="Arial" w:cs="Arial" w:eastAsia="Arial" w:hAnsi="Arial"/>
          <w:sz w:val="16"/>
          <w:szCs w:val="16"/>
          <w:color w:val="auto"/>
        </w:rPr>
        <w:t>We are developing AXS-02 for specific subsets of patients who display certain target lesions or specific pathology that we believe may be addressed by the mechanisms of action of our product candidate. The target lesions include regional osteoporosis, BMLs, and MCs. In order to select for CRPS patients with target lesions, such as regional osteoporosis, we plan to include only patients whose condition was precipitated by traumatic injury in our registration trials for CRPS. We plan to include only patients with BMLs in our registration trials of AXS-02 for the pain of knee OA, and only patients with MCs in our registration trials of AXS-02 for CLBP. These target lesions exhibit increased bone turnover, which is potentially inhibited by zoledronic acid. Furthermore, because zoledronic acid localizes preferentially to sites of high bone turnover, we believe it may specifically target these sites of disease activity in CRPS, knee OA, and CLBP. We believe that this targeted approach may result in a less heterogeneous patient population in our clinical trials, improve our ability to demonstrate a treatment effect, and, if approved, enable treatment of more appropriate patient populations.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Orally Administered</w:t>
      </w:r>
    </w:p>
    <w:p>
      <w:pPr>
        <w:spacing w:after="0" w:line="224" w:lineRule="exact"/>
        <w:rPr>
          <w:sz w:val="20"/>
          <w:szCs w:val="20"/>
          <w:color w:val="auto"/>
        </w:rPr>
      </w:pPr>
    </w:p>
    <w:p>
      <w:pPr>
        <w:ind w:right="200" w:firstLine="332"/>
        <w:spacing w:after="0" w:line="270" w:lineRule="auto"/>
        <w:rPr>
          <w:sz w:val="20"/>
          <w:szCs w:val="20"/>
          <w:color w:val="auto"/>
        </w:rPr>
      </w:pPr>
      <w:r>
        <w:rPr>
          <w:rFonts w:ascii="Arial" w:cs="Arial" w:eastAsia="Arial" w:hAnsi="Arial"/>
          <w:sz w:val="17"/>
          <w:szCs w:val="17"/>
          <w:color w:val="auto"/>
        </w:rPr>
        <w:t>AXS-02 is a novel oral formulation of zoledronic acid. Zoledronic acid is currently marketed only as an intravenous, or IV, preparation and is not currently approved for the treatment of pain. Our oral formulation uses a disodium salt of zoledronic acid, which exhibits substantially improved solubility as compared to the diacid form. This improved solubility may facilitate oral absorption.</w:t>
      </w:r>
    </w:p>
    <w:p>
      <w:pPr>
        <w:spacing w:after="0" w:line="17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Oral administration is non-invasive, less costly, more convenient, and less burdensome to patients and prescribers as compared to IV dosing. Oral administration provides greater prescribing flexibility for clinicians and convenience for patients since it allows them to self-administer the therapy at home and avoid having to travel to and from a hospital or infusion facility. Additionally, based on clinical experience with currently approved bisphosphonates, oral administration of zoledronic acid may have certain safety advantages as compared to IV dosing.</w:t>
      </w:r>
    </w:p>
    <w:p>
      <w:pPr>
        <w:spacing w:after="0" w:line="185"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In a recent trial of 6,097 patients who received either IV zoledronic acid therapy or oral therapy with alternative bisphosphonates, 73% of patients indicated a preference for oral versus IV formulations if all agents showed equal efficacy.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Infrequent Dosing and Convenient Regimen</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potency and pharmacokinetics of zoledronic acid may allow for very infrequent dosing and for a short and convenient treatment regimen. Based on the results of our Phase 1 trial, we are currently dosing AXS-02 once weekly for 6 weeks in our Phase 3 trial for the treatment of pain associated with CRPS. Because of its convenient administration and limited treatment duration, we believe that AXS-02, if successfully developed, may improve compliance and be preferred by patients and their physicians over currently available treatments.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Extended Pain Relief</w:t>
      </w:r>
    </w:p>
    <w:p>
      <w:pPr>
        <w:spacing w:after="0" w:line="224"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AXS-02 may provide pain relief of long duration based on results of trials conducted with IV-administered zoledronic acid. In trials in patients with knee OA associated with BMLs and CLBP associated with MCs, treatment with IV-administered zoledronic acid resulted in pain relief that was measurable one or more months after cessation of treatment. For example, pain reduction as compared to placebo was demonstrated 6 months after treatment in knee OA, and 1 month after treatment in CLBP. Furthermore, 1 year after treatment, a significantly lower percentage of zoledronic acid-treated patients with CLBP were taking non-steroidal anti-inflammatory drugs, or NSAIDs, as compared to placebo-treated patients. This observed extended pain reduction may be related to the potency of zoledronic acid and its long residence time in bone.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Lack of Opioid-related Side Effects and Abuse and Addiction Potential</w:t>
      </w:r>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Reflecting the currently limited treatment options for chronic pain, opioid medications are widely prescribed despite their numerous significant undesirable side effects and potential consequences. These side effects and consequences include dependency, addiction and abuse potential, respiratory depression, hypotension, constipation, and a higher incidence of falls and fractures in older patients. Prescription opioids are also increasingly associated with deaths from unintentional overdose, with over 16,000 deaths reported in the United States each year.</w:t>
      </w:r>
    </w:p>
    <w:p>
      <w:pPr>
        <w:spacing w:after="0" w:line="185"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AXS-02 exerts its potential effects for the treatment of pain via novel non-opioid mechanisms of action. If successfully developed, AXS-02 would represent an alternative treatment for pain that lacks the addiction and abuse potential and other serious side effects of opioids.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Complex Regional Pain Syndrome (CRPS)</w:t>
      </w:r>
    </w:p>
    <w:p>
      <w:pPr>
        <w:spacing w:after="0" w:line="224"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We are developing AXS-02 for the treatment of pain associated with CRPS. There is currently no drug approved by the FDA or the EMA for the treatment of CRPS. AXS-02 has been granted Orphan Drug Designation by the FDA and Orphan Medicinal Product Designation by the EMA for the treatment of CRPS. The FDA has also granted Fast Track designation for AXS-02 for the treatment of pain associated with CRPS.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Indication Overview</w:t>
      </w:r>
    </w:p>
    <w:p>
      <w:pPr>
        <w:spacing w:after="0" w:line="22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CRPS is a disorder characterized by severe, continuous, disabling pain in a limb accompanied by autonomic, sensory, motor, and skin and nail changes. The sensory changes, including allodynia, which is pain invoked by normally non-painful tactile stimuli, and hyperalgesia, which is greater than normal pain from painful stimuli, are accompanied by movement disorders and joint stiffness. These symptoms are initially confined to a specific limb but can spread beyond the affected limb. Radiographic examination using plain x-ray, three-phase bone scan, or MRI often reveal evidence of increased bone turnover in the affected limb.</w:t>
      </w:r>
    </w:p>
    <w:p>
      <w:pPr>
        <w:spacing w:after="0" w:line="169" w:lineRule="exact"/>
        <w:rPr>
          <w:sz w:val="20"/>
          <w:szCs w:val="20"/>
          <w:color w:val="auto"/>
        </w:rPr>
      </w:pPr>
    </w:p>
    <w:p>
      <w:pPr>
        <w:ind w:right="120" w:firstLine="338"/>
        <w:spacing w:after="0" w:line="315" w:lineRule="auto"/>
        <w:rPr>
          <w:sz w:val="20"/>
          <w:szCs w:val="20"/>
          <w:color w:val="auto"/>
        </w:rPr>
      </w:pPr>
      <w:r>
        <w:rPr>
          <w:rFonts w:ascii="Arial" w:cs="Arial" w:eastAsia="Arial" w:hAnsi="Arial"/>
          <w:sz w:val="16"/>
          <w:szCs w:val="16"/>
          <w:color w:val="auto"/>
        </w:rPr>
        <w:t>The disorder impairs daily functioning and negatively impacts quality of life. For many patients, the pain and associated loss of function result in significant and sometimes permanent disability. Depression is a common comorbidity. CRPS is often triggered by minor trauma, such as wrist fracture,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surgery or needle stick injury, but can occur spontaneously. The extreme nature of the pain is disproportionate to these inciting events. Fracture of the wrist or ankle are the most common inciting events. The disorder affects women 3 to 4 times as frequently as men and its prevalence increases with age. The pathophysiology of CRPS is thought to be multi-factorial and may include a localized increase in bone turnover, aberrant inflammatory mechanisms, vasomotor dysfunction, and maladaptive neuroplasticity.</w:t>
      </w:r>
    </w:p>
    <w:p>
      <w:pPr>
        <w:spacing w:after="0" w:line="185"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Diagnosis of CRPS is made using the International Association for the Study of Pain, or IASP, criteria. It is based on the presence of pain and its characteristics, and the presence of other signs and symptoms. CRPS type 1 is diagnosed if the criteria are seen without evidence of major nerve damage. If seen in the presence of major nerve damage, CRPS type 2, formerly known as causalgia, is diagnosed. CRPS type 1, formerly known as reflex sympathetic dystrophy, or RSD, is estimated to account for approximately 97% of all CRPS cases.</w:t>
      </w:r>
    </w:p>
    <w:p>
      <w:pPr>
        <w:spacing w:after="0" w:line="185"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It is estimated that there are approximately 80,000 new cases of CRPS in the United States annually. Spontaneous remission is common in some patients. Currently, no medicinal product is approved in either the United States or the European Union for the treatment of CRPS. In addition, current methods for the treatment of pain associated with CRPS are not considered satisfactory. Medicines used for more common pain conditions, such as opioids, NSAIDs, and neuropathic pain medications, are considered to be largely ineffective in CRPS, as demonstrated by controlled trials. Consequently, invasive and expensive palliative interventions, such as IV sympathetic blockades and surgical sympathectomy, are often used with their attendant risk of significant complications. Due to the resistance of the condition to medical therapy, amputation of the affected limb is sometimes performed for the relief of pain.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Rationale for the Use of AXS-02 in CRPS</w:t>
      </w:r>
    </w:p>
    <w:p>
      <w:pPr>
        <w:spacing w:after="0" w:line="224" w:lineRule="exact"/>
        <w:rPr>
          <w:sz w:val="20"/>
          <w:szCs w:val="20"/>
          <w:color w:val="auto"/>
        </w:rPr>
      </w:pPr>
    </w:p>
    <w:p>
      <w:pPr>
        <w:ind w:right="20" w:firstLine="338"/>
        <w:spacing w:after="0" w:line="352" w:lineRule="auto"/>
        <w:rPr>
          <w:sz w:val="20"/>
          <w:szCs w:val="20"/>
          <w:color w:val="auto"/>
        </w:rPr>
      </w:pPr>
      <w:r>
        <w:rPr>
          <w:rFonts w:ascii="Arial" w:cs="Arial" w:eastAsia="Arial" w:hAnsi="Arial"/>
          <w:sz w:val="15"/>
          <w:szCs w:val="15"/>
          <w:color w:val="auto"/>
        </w:rPr>
        <w:t>The rationale for the use of AXS-02 for the treatment of pain associated with CRPS is supported by the pharmacological action of AXS-02, demonstrated in our Phase 1 clinical trial, which addresses a common pathophysiological finding in CRPS-affected limbs, and by positive results in a well-validated animal study of CRPS.</w:t>
      </w:r>
    </w:p>
    <w:p>
      <w:pPr>
        <w:spacing w:after="0" w:line="123"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i w:val="1"/>
          <w:iCs w:val="1"/>
          <w:color w:val="auto"/>
        </w:rPr>
        <w:t xml:space="preserve">Clinical rationale. </w:t>
      </w:r>
      <w:r>
        <w:rPr>
          <w:rFonts w:ascii="Arial" w:cs="Arial" w:eastAsia="Arial" w:hAnsi="Arial"/>
          <w:sz w:val="15"/>
          <w:szCs w:val="15"/>
          <w:color w:val="auto"/>
        </w:rPr>
        <w:t>Increased bone resorption is seen in the affected limbs of the majority of CRPS patients and is manifested by increased tracer uptake on</w:t>
      </w:r>
      <w:r>
        <w:rPr>
          <w:rFonts w:ascii="Arial" w:cs="Arial" w:eastAsia="Arial" w:hAnsi="Arial"/>
          <w:sz w:val="15"/>
          <w:szCs w:val="15"/>
          <w:i w:val="1"/>
          <w:iCs w:val="1"/>
          <w:color w:val="auto"/>
        </w:rPr>
        <w:t xml:space="preserve"> </w:t>
      </w:r>
      <w:r>
        <w:rPr>
          <w:rFonts w:ascii="Arial" w:cs="Arial" w:eastAsia="Arial" w:hAnsi="Arial"/>
          <w:sz w:val="15"/>
          <w:szCs w:val="15"/>
          <w:color w:val="auto"/>
        </w:rPr>
        <w:t>three-phase bone scan, regional osteoporosis visible on plain x-ray, and bone marrow edema visible on MRI. Bisphosphonate compounds, such as zoledronic acid, are inhibitors of bone resorption. Bone resorption occurs when bone breaks down and releases minerals into the blood. In our completed Phase 1 trial, oral administration of AXS-02 to healthy human volunteers resulted in substantial reductions in markers of bone resorption. For example, a single oral administration of AXS-02 resulted in an 80% to 90% reduction in serum CTx, a standard marker of bone resorption, suggesting the potential for AXS-02 to address a common pathophysiological finding in CRPS-affected limbs. Furthermore, zoledronic acid localizes preferentially to regions of high bone turnover suggesting it may be able to preferentially target CRPS-affected limbs. Results of several small clinical trials with other less potent bisphosphonate compounds have shown a reduction in pain in CRPS patients treated with these agents. The pharmacological effect of AXS-02 shown in our Phase 1 trial may therefore translate to a clinical benefit in CRPS patients.</w:t>
      </w:r>
    </w:p>
    <w:p>
      <w:pPr>
        <w:spacing w:after="0" w:line="163"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i w:val="1"/>
          <w:iCs w:val="1"/>
          <w:color w:val="auto"/>
        </w:rPr>
        <w:t xml:space="preserve">Effects of AXS-02 in the rat tibia fracture model of CRPS. </w:t>
      </w:r>
      <w:r>
        <w:rPr>
          <w:rFonts w:ascii="Arial" w:cs="Arial" w:eastAsia="Arial" w:hAnsi="Arial"/>
          <w:sz w:val="17"/>
          <w:szCs w:val="17"/>
          <w:color w:val="auto"/>
        </w:rPr>
        <w:t>The effect of AXS-02 was examined in the rat tibia fracture model of CRPS. This well-validated</w:t>
      </w:r>
      <w:r>
        <w:rPr>
          <w:rFonts w:ascii="Arial" w:cs="Arial" w:eastAsia="Arial" w:hAnsi="Arial"/>
          <w:sz w:val="17"/>
          <w:szCs w:val="17"/>
          <w:i w:val="1"/>
          <w:iCs w:val="1"/>
          <w:color w:val="auto"/>
        </w:rPr>
        <w:t xml:space="preserve"> </w:t>
      </w:r>
      <w:r>
        <w:rPr>
          <w:rFonts w:ascii="Arial" w:cs="Arial" w:eastAsia="Arial" w:hAnsi="Arial"/>
          <w:sz w:val="17"/>
          <w:szCs w:val="17"/>
          <w:color w:val="auto"/>
        </w:rPr>
        <w:t>animal model has been shown to replicate the inciting trauma, natural history, signs, symptoms, and pathologic changes observed in human CRPS patients. We conducted a study with AXS-02 in this model. After baseline tests, 20 rats underwent a right distal tibia fracture with casting to induce CRPS-like symptoms and signs. Animals were then orally administered either placebo or AXS-02 in a dosage of 3 mg/kg/day for 28 days, starting the day after fracture and casting. The casts were removed on the 28th day after fracture, and on the following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day, bilateral testing of hindpaw pain thresholds, weight bearing, thickness, and temperature was performed. Hindpaw temperature and thickness data were analyzed as the difference between the affected hindpaw and the normal hindpaw. Weight-bearing data were analyzed as the ratio between the affected and the normal hindpaw. Weight bearing is a functional measure of pain since the animal is expected to shift its weight off the painful limb. Hindpaw thickness was measured to assess edema, commonly known as swelling. Hindpaw temperature was measured to assess warmth, a symptom of CRPS.</w:t>
      </w:r>
    </w:p>
    <w:p>
      <w:pPr>
        <w:spacing w:after="0" w:line="169" w:lineRule="exact"/>
        <w:rPr>
          <w:sz w:val="20"/>
          <w:szCs w:val="20"/>
          <w:color w:val="auto"/>
        </w:rPr>
      </w:pPr>
    </w:p>
    <w:p>
      <w:pPr>
        <w:jc w:val="both"/>
        <w:ind w:right="60" w:firstLine="341"/>
        <w:spacing w:after="0" w:line="265" w:lineRule="auto"/>
        <w:rPr>
          <w:sz w:val="20"/>
          <w:szCs w:val="20"/>
          <w:color w:val="auto"/>
        </w:rPr>
      </w:pPr>
      <w:r>
        <w:rPr>
          <w:rFonts w:ascii="Arial" w:cs="Arial" w:eastAsia="Arial" w:hAnsi="Arial"/>
          <w:sz w:val="17"/>
          <w:szCs w:val="17"/>
          <w:color w:val="auto"/>
        </w:rPr>
        <w:t>Oral administration of AXS-02 significantly reversed pain, improved weight bearing, and prevented edema as compared to placebo in the rat tibia fracture model of CRPS. As summarized in the figure below, treatment with AXS-02 reduced pain by 77% and edema by 60% as compared to placebo treatment. AXS-02 treatment also resulted in a 56% improvement in weight bearing as compared to placebo. P values shown below are for AXS-02 versus placebo. The study did not find an effect of AXS-02 on hindpaw temperature.</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Effect of AXS-02 in the rat tibia fracture model of CRPS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149860</wp:posOffset>
            </wp:positionV>
            <wp:extent cx="3629660" cy="2297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2966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We conducted a second study using the same rat tibia model in which dosing was started following cast removal. Results of this study also showed a significant reduction in pain and improvement in weight bearing in the group treated with AXS-02 as compared to placebo.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Knee Osteoarthritis (OA) Associated with Bone Marrow Lesions (BMLs)</w:t>
      </w:r>
    </w:p>
    <w:p>
      <w:pPr>
        <w:spacing w:after="0" w:line="224"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We are developing AXS-02 for the treatment of the pain of knee OA associated with BMLs. There is currently no therapy specifically approved by the FDA or the EMA to treat this subset of knee OA.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Indication Overview</w:t>
      </w:r>
    </w:p>
    <w:p>
      <w:pPr>
        <w:spacing w:after="0" w:line="224"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Knee OA is a disorder characterized by periarticular bone changes, progressive loss of articular cartilage, joint space narrowing, and eventual total joint failure. It is clinically manifested by knee pain, significant physical disability, and reduced quality of life. While currently available drug therapies attempt to address the pain of knee OA, they are not thought to address the cause of the pain.</w:t>
      </w:r>
    </w:p>
    <w:p>
      <w:pPr>
        <w:spacing w:after="0" w:line="17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Recently, BMLs have been recognized as an important feature of knee OA because of their relation to the pain and pathogenesis of the condition. BMLs appear as areas of increased signal intensity on MRI of the knee, and represent regions of increased subchondral bone turnover. BMLs are clinically relevant because they are associated with and predict knee pain, disease severity, and structural progression in patients with knee OA, based on published studies. Findings from several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cross-sectional and longitudinal studies have demonstrated that (1) BMLs are strongly associated with the presence and severity of pain in patients with knee OA,</w:t>
      </w:r>
    </w:p>
    <w:p>
      <w:pPr>
        <w:spacing w:after="0" w:line="43" w:lineRule="exact"/>
        <w:rPr>
          <w:sz w:val="20"/>
          <w:szCs w:val="20"/>
          <w:color w:val="auto"/>
        </w:rPr>
      </w:pPr>
    </w:p>
    <w:p>
      <w:pPr>
        <w:ind w:right="140" w:firstLine="5"/>
        <w:spacing w:after="0" w:line="266" w:lineRule="auto"/>
        <w:tabs>
          <w:tab w:leader="none" w:pos="241"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new or enlarging BMLs are associated with increased pain and diminishing BMLs with decreased pain, (3) BMLs are associated with progression of joint space narrowing and cartilage loss, (4) BMLs predict knee joint replacement, and (5) increasing BML size is associated with cartilage loss. These studies therefore suggest that BMLs are a source of knee pain and a potential target for pharmaceutical intervention.</w:t>
      </w:r>
    </w:p>
    <w:p>
      <w:pPr>
        <w:spacing w:after="0" w:line="183"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There is currently no therapy specifically approved by the FDA or the EMA to treat the pain of knee OA associated with BMLs. Currently available therapy for the broader knee OA population include non-pharmacological treatments, oral and topical medications, and intra-articular injections. Non-pharmacological approaches include exercise, weight management, strength training, self-management, and education. Oral treatments include acetaminophen, selective and non-selective NSAIDs, and opioid medications. Intra-articular injections for knee OA include intra-articular hyaluronic acid, or IAHA, and intra-articular corticosteroids, or IACS. These treatments are generally short-acting and may address the symptoms of knee OA, but are not thought to have an effect on the underlying cause of the condition. Knee joint replacement surgery is viewed as a last resort for patients who, despite pharmacological and non-pharmacological treatment, do not have adequate pain relief and functional improvement.</w:t>
      </w:r>
    </w:p>
    <w:p>
      <w:pPr>
        <w:spacing w:after="0" w:line="19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Results of epidemiological studies suggest that there are approximately 25 million patients in the United States, 50 years of age and older, with radiographic knee OA. Approximately 12 million of these patients are estimated to be symptomatic, 7 million of whom we estimate have BMLs.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Rationale for the Use of AXS-02 in the Pain of Knee OA Associated with BMLs</w:t>
      </w:r>
    </w:p>
    <w:p>
      <w:pPr>
        <w:spacing w:after="0" w:line="224"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The rationale for utilizing AXS-02 for the treatment of the pain of knee OA associated with BMLs is based on the observations that (1) BMLs are strongly associated with pain in knee OA, (2) BMLs represent regions of increased subchondral bone turnover and reduced mineral content based on studies of BMLs resected from human subjects, and (3) zoledronic acid potently inhibits bone turnover, increases bone mineral density, and localizes preferentially to regions of increased bone turnover. The pharmacological actions of zoledronic acid therefore suggest the potential for AXS-02 to affect BMLs, thereby reducing pain in patients with knee OA associated with BMLs.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Chronic Low Back Pain (CLBP) Associated with Modic Changes (MCs)</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are developing AXS-02 for the treatment of CLBP associated with MCs. There is currently no therapy specifically approved by the FDA or the EMA to treat this subset of CLBP.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Indication Overview</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CLBP is defined as persistent or fluctuating low back pain lasting at least three months. It is a disabling and costly condition that is associated with increased healthcare utilization. The economic costs of CLBP are estimated to range from $12.2 billion to $90.6 billion annually in the United States. Factors that contribute to this economic impact include prolonged loss of function, consequent loss of work productivity, treatment costs, and disability payments. Low back pain may be due to a specific cause such as fracture, tumor, infection, or nerve root compression. However it is estimated that in more than 85% of cases such specific causes cannot be identified, resulting in the majority of cases being classified as non-specific.</w:t>
      </w:r>
    </w:p>
    <w:p>
      <w:pPr>
        <w:spacing w:after="0" w:line="18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Recently, it has been suggested that patients with MCs may represent a specific clinical subgroup of CLBP patients. MCs are vertebral bone marrow changes that are visible on MRI of the spine, and that represent regions of increased bone turnover and pro-inflammatory mediators. MCs are classified into types 1, 2, or 3, based on radiographic and histological features. MCs are clinically relevant because they are associated with low back pain, based on published studies. Findings from studies 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spacing w:after="0" w:line="352" w:lineRule="auto"/>
        <w:rPr>
          <w:sz w:val="20"/>
          <w:szCs w:val="20"/>
          <w:color w:val="auto"/>
        </w:rPr>
      </w:pPr>
      <w:r>
        <w:rPr>
          <w:rFonts w:ascii="Arial" w:cs="Arial" w:eastAsia="Arial" w:hAnsi="Arial"/>
          <w:sz w:val="15"/>
          <w:szCs w:val="15"/>
          <w:color w:val="auto"/>
        </w:rPr>
        <w:t>clinical and non-clinical populations have demonstrated that the presence of MCs, especially type 1 MCs, is correlated with low back pain, predicts persistent symptoms, and sick leaves, and is associated with poor outcomes. These studies therefore suggest that MCs are a potential target for pharmaceutical intervention.</w:t>
      </w:r>
    </w:p>
    <w:p>
      <w:pPr>
        <w:spacing w:after="0" w:line="123" w:lineRule="exact"/>
        <w:rPr>
          <w:sz w:val="20"/>
          <w:szCs w:val="20"/>
          <w:color w:val="auto"/>
        </w:rPr>
      </w:pPr>
    </w:p>
    <w:p>
      <w:pPr>
        <w:ind w:right="280" w:firstLine="338"/>
        <w:spacing w:after="0" w:line="265" w:lineRule="auto"/>
        <w:rPr>
          <w:sz w:val="20"/>
          <w:szCs w:val="20"/>
          <w:color w:val="auto"/>
        </w:rPr>
      </w:pPr>
      <w:r>
        <w:rPr>
          <w:rFonts w:ascii="Arial" w:cs="Arial" w:eastAsia="Arial" w:hAnsi="Arial"/>
          <w:sz w:val="17"/>
          <w:szCs w:val="17"/>
          <w:color w:val="auto"/>
        </w:rPr>
        <w:t>There is currently no therapy specifically approved by the FDA or the EMA to treat CLBP associated with MCs. Currently available therapy for the broader CLBP population includes non-pharmacological approaches, such as exercise, and pharmacological treatments, such as NSAIDs and opioid medications. Current pharmacological treatments are generally short-acting and may address the symptoms of CLBP, but are not thought to have an effect on the underlying cause of the condition.</w:t>
      </w:r>
    </w:p>
    <w:p>
      <w:pPr>
        <w:spacing w:after="0" w:line="185"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Results of epidemiological studies suggest that there are approximately 121 million adults in the United States with low back pain in a given year. Approximately 9 million of these sufferers are estimated to have CLBP, of whom we estimate approximately 1.6 million have type 1 MCs.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Rationale for the Use of AXS-02 in CLBP Associated with MCs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rationale for utilizing AXS-02 for the treatment of CLBP associated with MCs is based on the observations that (1) MCs are associated with low back pain,</w:t>
      </w:r>
    </w:p>
    <w:p>
      <w:pPr>
        <w:spacing w:after="0" w:line="43" w:lineRule="exact"/>
        <w:rPr>
          <w:sz w:val="20"/>
          <w:szCs w:val="20"/>
          <w:color w:val="auto"/>
        </w:rPr>
      </w:pPr>
    </w:p>
    <w:p>
      <w:pPr>
        <w:ind w:right="40" w:firstLine="5"/>
        <w:spacing w:after="0" w:line="263" w:lineRule="auto"/>
        <w:tabs>
          <w:tab w:leader="none" w:pos="2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MCs represent regions of increased bone turnover based on three-phase bone scans and increased pro-inflammatory cytokines based on analysis of lesions resected from human subjects, and (3) zoledronic acid potently inhibits bone turnover, may reduce pro-inflammatory cytokine production, and localizes preferentially to regions of increased turnover. The pharmacological actions of zoledronic acid therefore suggest the potential for AXS-02 to affect MCs, thereby reducing pain in patients with CLBP associated with MCs.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of AXS-02</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are developing AXS-02 and intend to seek FDA approval for the product candidate utilizing the 505(b)(2) regulatory pathway. Section 505(b)(2) of the FDCA permits an applicant to file an NDA that relies, in part, on data not developed by or for the applicant and to which the applicant has not received a right of reference, such as the FDA's findings of safety and efficacy in the approval of a similar drug, or reference listed drug, or published literature, in support of its application. We currently plan to rely on the FDA's prior finding of safety and efficacy for IV-administered zoledronic acid as well as published literature to support our marketing application.</w:t>
      </w:r>
    </w:p>
    <w:p>
      <w:pPr>
        <w:spacing w:after="0" w:line="187"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We held a Type C meeting with the FDA in June 2014 where we presented our clinical development plan for AXS-02 in the treatment of pain associated with CRPS, the pain of knee OA associated with BMLs, and CLBP associated with MCs. Based on feedback from this meeting and other ongoing communications with the FDA, we plan to conduct two Phase 3 trials with AXS-02 in the treatment of pain associated with recently diagnosed CRPS, as well as a toxicology study and a food-effect study, to support an NDA filing for this indication. We requested scientific advice and protocol assistance from the EMA for the development of AXS-02 for the treatment of pain associated with CRPS. We received final advice from the EMA in March 2015. Based on this advice, we believe that only one successful Phase 3 trial in CRPS will be required to support a Marketing Authorization Application, or MAA, for AXS-02 in this indication.</w:t>
      </w:r>
    </w:p>
    <w:p>
      <w:pPr>
        <w:spacing w:after="0" w:line="176"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May 2013, we received Orphan Drug Designation from the FDA for AXS-02 for the treatment of CRPS. This designation may entitle AXS-02 to a period of seven years of marketing exclusivity for the treatment of CRPS in the United States upon FDA approval.</w:t>
      </w:r>
    </w:p>
    <w:p>
      <w:pPr>
        <w:spacing w:after="0" w:line="170"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October 2013, we received Orphan Medicinal Product Designation from the EMA for AXS-02 for the treatment of CRPS. Orphan Medicinal Product Designation provides ten years of potential market exclusivity in the European Union if the designated product candidate is approved for the indication for which it is designated and the orphan designation is maintained. Additionally if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Pediatric Investigation Plan is completed, an additional two years of exclusivity in the European Union could be granted for a product with Orphan Medicinal Product Designation.</w:t>
      </w:r>
    </w:p>
    <w:p>
      <w:pPr>
        <w:spacing w:after="0" w:line="170"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In August 2014, we received Fast Track designation from the FDA for AXS-02 for the treatment of pain associated with CRPS. The FDA's Fast Track designation program is designed to aid in the development and expedite the review of drugs that are intended to treat serious or life-threatening conditions. In order to receive Fast Track designation, a product candidate must also demonstrate the potential to address an unmet medical need. Fast Track designation provides greater access to, and more frequent communication with, the FDA throughout the entire drug development and review process, with the goal of getting important new drugs to patients more rapidly. It also provides the opportunity to submit sections of an NDA on a rolling basis, where the FDA may review portions of the NDA as they are received instead of waiting for the entire NDA submission. In addition, Fast Track designated product candidates are eligible for priority review at the time of NDA submission.</w:t>
      </w:r>
    </w:p>
    <w:p>
      <w:pPr>
        <w:spacing w:after="0" w:line="162"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We completed oral toxicology studies in the rat and dog models to support the dosing of AXS-02 in our completed Phase 1 trial and in our ongoing and planned Phase 3 trials. Dose-limiting adverse effects were primarily gastrointestinal related. We have completed a Phase 1 trial of AXS-02 to characterize the pharmacokinetics of zoledronic acid and its effects on markers of bone resorption after oral administration of AXS-02. In this trial, oral administration of AXS-02 tablets resulted in rapid absorption of zoledronic acid and marked suppression of bone resorption markers.</w:t>
      </w:r>
    </w:p>
    <w:p>
      <w:pPr>
        <w:spacing w:after="0" w:line="185"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potential effect of zoledronic acid on the pain of knee OA associated with BMLs has been demonstrated in a Phase 2, investigator-initiated, randomized, double-blind, placebo-controlled trial. In this trial, IV administration of zoledronic acid resulted in a reduction in pain and BML size at 6 months. The potential effect of zoledronic acid in CLBP associated with MCs has been demonstrated in a Phase 2, investigator-initiated, randomized, double-blind, placebo-controlled trial. In this trial, IV administration of zoledronic acid resulted in a reduction in pain at 1 month and NSAID use at 12 months. We have obtained exclusive rights to the data generated from this trial in CLBP.</w:t>
      </w:r>
    </w:p>
    <w:p>
      <w:pPr>
        <w:spacing w:after="0" w:line="187" w:lineRule="exact"/>
        <w:rPr>
          <w:sz w:val="20"/>
          <w:szCs w:val="20"/>
          <w:color w:val="auto"/>
        </w:rPr>
      </w:pPr>
    </w:p>
    <w:p>
      <w:pPr>
        <w:ind w:right="120" w:firstLine="338"/>
        <w:spacing w:after="0" w:line="296" w:lineRule="auto"/>
        <w:rPr>
          <w:sz w:val="20"/>
          <w:szCs w:val="20"/>
          <w:color w:val="auto"/>
        </w:rPr>
      </w:pPr>
      <w:r>
        <w:rPr>
          <w:rFonts w:ascii="Arial" w:cs="Arial" w:eastAsia="Arial" w:hAnsi="Arial"/>
          <w:sz w:val="15"/>
          <w:szCs w:val="15"/>
          <w:color w:val="auto"/>
        </w:rPr>
        <w:t>We are currently conducting a randomized, double-blind, placebo-controlled Phase 3 trial of AXS-02 in patients with CRPS. We plan to initiate a Phase 3 trial in patients with knee OA associated with BMLs in or before the first quarter of 2016, and a Phase 3 trial in patients with CLBP associated with MCs in the first half</w:t>
      </w:r>
    </w:p>
    <w:p>
      <w:pPr>
        <w:ind w:right="80"/>
        <w:spacing w:after="0" w:line="275" w:lineRule="auto"/>
        <w:rPr>
          <w:sz w:val="20"/>
          <w:szCs w:val="20"/>
          <w:color w:val="auto"/>
        </w:rPr>
      </w:pPr>
      <w:r>
        <w:rPr>
          <w:rFonts w:ascii="Arial" w:cs="Arial" w:eastAsia="Arial" w:hAnsi="Arial"/>
          <w:sz w:val="17"/>
          <w:szCs w:val="17"/>
          <w:color w:val="auto"/>
        </w:rPr>
        <w:t>of 2016. Our planned Phase 3 dosing of AXS-02 provides cumulative systemic exposure of zoledronic acid that is similar to that achieved with the 5 mg IV dose used in the Phase 2 trials in knee OA and CLBP, based on the results of our completed Phase 1 trial.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Completed Phase 1 Trial of AXS-02</w:t>
      </w:r>
    </w:p>
    <w:p>
      <w:pPr>
        <w:spacing w:after="0" w:line="224"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conducted a Phase 1 trial to assess the fasting pharmacokinetics, pharmacodynamics, safety, and tolerability of orally administered AXS-02 tablets in healthy adult male and postmenopausal female volunteers under a Health Canada Clinical Trial Application. The trial was a randomized, open-label, partial crossover study in a total of 36 subjects. Each subject received two of the following four treatments: three varying oral doses of AXS-02 or a 1 mg IV dose of zoledronic acid. Each treatment was separated by a wash-out period of approximately 14 days. Blood samples were collected prior to dosing and after dosing to measure zoledronic acid plasma concentrations and the effect of AXS-02 on biomarkers of bone resorption, including serum CTx.</w:t>
      </w:r>
    </w:p>
    <w:p>
      <w:pPr>
        <w:spacing w:after="0" w:line="51" w:lineRule="exact"/>
        <w:rPr>
          <w:sz w:val="20"/>
          <w:szCs w:val="20"/>
          <w:color w:val="auto"/>
        </w:rPr>
      </w:pPr>
    </w:p>
    <w:p>
      <w:pPr>
        <w:ind w:firstLine="341"/>
        <w:spacing w:after="0" w:line="234" w:lineRule="auto"/>
        <w:rPr>
          <w:sz w:val="20"/>
          <w:szCs w:val="20"/>
          <w:color w:val="auto"/>
        </w:rPr>
      </w:pPr>
      <w:r>
        <w:rPr>
          <w:rFonts w:ascii="Arial" w:cs="Arial" w:eastAsia="Arial" w:hAnsi="Arial"/>
          <w:sz w:val="17"/>
          <w:szCs w:val="17"/>
          <w:color w:val="auto"/>
        </w:rPr>
        <w:t>Zoledronic acid was rapidly absorbed after oral administration of AXS-02 tablets with median time to reach the maximum plasma concentration, or T</w:t>
      </w:r>
      <w:r>
        <w:rPr>
          <w:rFonts w:ascii="Arial" w:cs="Arial" w:eastAsia="Arial" w:hAnsi="Arial"/>
          <w:sz w:val="28"/>
          <w:szCs w:val="28"/>
          <w:color w:val="auto"/>
          <w:vertAlign w:val="subscript"/>
        </w:rPr>
        <w:t>max</w:t>
      </w:r>
      <w:r>
        <w:rPr>
          <w:rFonts w:ascii="Arial" w:cs="Arial" w:eastAsia="Arial" w:hAnsi="Arial"/>
          <w:sz w:val="17"/>
          <w:szCs w:val="17"/>
          <w:color w:val="auto"/>
        </w:rPr>
        <w:t>, of 30 to 45 minutes. The absolute oral bioavailability of zoledronic acid after administration of AXS-02 tablets found in this trial was greater than that reported for oral bisphosphonate agents currently marketed in the United States, based on FDA package inserts. Zoledronic acid plasma concentrations after oral administration of AXS-02, measured using area under the plasma concentration curve, or AUC, and maximum plasma concentration, or C</w:t>
      </w:r>
      <w:r>
        <w:rPr>
          <w:rFonts w:ascii="Arial" w:cs="Arial" w:eastAsia="Arial" w:hAnsi="Arial"/>
          <w:sz w:val="28"/>
          <w:szCs w:val="28"/>
          <w:color w:val="auto"/>
          <w:vertAlign w:val="subscript"/>
        </w:rPr>
        <w:t>max</w:t>
      </w:r>
      <w:r>
        <w:rPr>
          <w:rFonts w:ascii="Arial" w:cs="Arial" w:eastAsia="Arial" w:hAnsi="Arial"/>
          <w:sz w:val="17"/>
          <w:szCs w:val="17"/>
          <w:color w:val="auto"/>
        </w:rPr>
        <w:t>, were found to be dose proportional in the range tested using the power model.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Oral administration of AXS-02 resulted in marked reductions of biomarkers of bone resorption. For example, as shown in the figure below, levels of serum CTx were reduced by approximately 80 to 90% seven days after dosing. This effect was generally maintained 14 to 15 days after dosing.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Serum CTx change from baseline after oral administration of varying doses of AXS-02,</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and IV administration of 1 mg zoledronic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143510</wp:posOffset>
            </wp:positionV>
            <wp:extent cx="4170680" cy="2380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70680" cy="238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There were no reported serious adverse events in the trial. The majority of treatment-emergent adverse events experienced were graded as mild or moderate in severity, were transient in nature, and were completely resolved by the end of the study. The most commonly reported adverse events were headache, fever, musculoskeletal pain, diarrhea, abdominal pain, nausea, myalgia, and chills. Adverse events were reported more frequently with increasing oral doses, and more frequently in the oral dose groups than in the IV dose group.</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of Zoledronic Acid in the Pain of Knee OA Associated with BMLs</w:t>
      </w:r>
    </w:p>
    <w:p>
      <w:pPr>
        <w:spacing w:after="0" w:line="224" w:lineRule="exact"/>
        <w:rPr>
          <w:sz w:val="20"/>
          <w:szCs w:val="20"/>
          <w:color w:val="auto"/>
        </w:rPr>
      </w:pPr>
    </w:p>
    <w:p>
      <w:pPr>
        <w:jc w:val="both"/>
        <w:ind w:right="540" w:firstLine="341"/>
        <w:spacing w:after="0" w:line="294" w:lineRule="auto"/>
        <w:rPr>
          <w:sz w:val="20"/>
          <w:szCs w:val="20"/>
          <w:color w:val="auto"/>
        </w:rPr>
      </w:pPr>
      <w:r>
        <w:rPr>
          <w:rFonts w:ascii="Arial" w:cs="Arial" w:eastAsia="Arial" w:hAnsi="Arial"/>
          <w:sz w:val="16"/>
          <w:szCs w:val="16"/>
          <w:color w:val="auto"/>
        </w:rPr>
        <w:t>IV-administered zoledronic acid, the active molecule in AXS-02, was tested in an investigator-initiated, single-center, randomized, double-blind, placebo-controlled trial in patients with knee OA associated with BMLs. In this trial, zoledronic acid treatment reduced pain and BML size, as further described below, demonstrating an effect on symptom and structure. The design and results of this trial have been reported in a peer-reviewed journal.</w:t>
      </w:r>
    </w:p>
    <w:p>
      <w:pPr>
        <w:spacing w:after="0" w:line="163"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the trial, 59 patients, aged 50 to 80 years, with clinical knee OA and knee BMLs on MRI were randomized in a 1:1 ratio to receive either a single 5-mg IV infusion of zoledronic acid or placebo. BMLs were determined using proton density-weighted fat saturation magnetic resonance images at baseline, 6, and 12 months. Pain intensity was measured at baseline, 3, 6, and 12 months using a 100-mm visual analogue scale, or VAS, which is a standard clinical measurement for pain severity. Total BML area was measured in square millimeters at baseline, 6, and 12 months. The primary outcomes were the change from baseline to 6 months in pain intensity as measured by the VAS, and maximal area of BML measured at 6 months. Participants were allowed to remain on their background pain medications but the dose was kept constant through the trial period where possible. One subject randomized to placebo received zoledronic acid. Therefore, data for this patient was included in the zoledronic acid arm in the analyses and results discussed below. This analysis is referred to as a per protocol analysis.</w:t>
      </w:r>
    </w:p>
    <w:p>
      <w:pPr>
        <w:spacing w:after="0" w:line="164" w:lineRule="exact"/>
        <w:rPr>
          <w:sz w:val="20"/>
          <w:szCs w:val="20"/>
          <w:color w:val="auto"/>
        </w:rPr>
      </w:pPr>
    </w:p>
    <w:p>
      <w:pPr>
        <w:ind w:right="280" w:firstLine="332"/>
        <w:spacing w:after="0" w:line="315" w:lineRule="auto"/>
        <w:rPr>
          <w:sz w:val="20"/>
          <w:szCs w:val="20"/>
          <w:color w:val="auto"/>
        </w:rPr>
      </w:pPr>
      <w:r>
        <w:rPr>
          <w:rFonts w:ascii="Arial" w:cs="Arial" w:eastAsia="Arial" w:hAnsi="Arial"/>
          <w:sz w:val="16"/>
          <w:szCs w:val="16"/>
          <w:color w:val="auto"/>
        </w:rPr>
        <w:t>At baseline, the mean VAS score was 54 mm. As shown in the figure below, there was a significant reduction in pain intensity, measured using the VAS, from baseline to 6 months in the zoledronic acid-treated group as compared to placebo. Changes in pain intensity between baseline and the other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time points were numerically greater in the zoledronic acid arm than in the placebo arm but were not statistically significant.</w:t>
      </w:r>
    </w:p>
    <w:p>
      <w:pPr>
        <w:spacing w:after="0" w:line="220"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Pain intensity over time in knee OA patients with BMLs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149860</wp:posOffset>
            </wp:positionV>
            <wp:extent cx="3846195" cy="2355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46195"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 xml:space="preserve">Source: Derived from </w:t>
      </w:r>
      <w:r>
        <w:rPr>
          <w:rFonts w:ascii="Arial" w:cs="Arial" w:eastAsia="Arial" w:hAnsi="Arial"/>
          <w:sz w:val="17"/>
          <w:szCs w:val="17"/>
          <w:i w:val="1"/>
          <w:iCs w:val="1"/>
          <w:color w:val="auto"/>
        </w:rPr>
        <w:t>Laslett et al. Ann Rheum Dis. 2012;71:1322-1328.</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As shown in the figure below, there was a significant reduction in BML area at 6 months in the zoledronic acid-treated group as compared to placebo. At the 12 month assessment, the changes in BML size were lower in magnitude in the zoledronic acid arm as compared to the placebo arm and were not statistically significant.</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BML area over time in subjects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149860</wp:posOffset>
            </wp:positionV>
            <wp:extent cx="3879215" cy="22809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921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 xml:space="preserve">Source: Derived from </w:t>
      </w:r>
      <w:r>
        <w:rPr>
          <w:rFonts w:ascii="Arial" w:cs="Arial" w:eastAsia="Arial" w:hAnsi="Arial"/>
          <w:sz w:val="17"/>
          <w:szCs w:val="17"/>
          <w:i w:val="1"/>
          <w:iCs w:val="1"/>
          <w:color w:val="auto"/>
        </w:rPr>
        <w:t>Laslett et al. Ann Rheum Dis. 2012;71:1322-1328.</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most commonly reported adverse events were acute phase reactions, which are primarily cold or flu-like symptoms and headaches. Adverse events occurred more frequently in the zoledronic acid-treated group. Serious adverse events were primarily non-elective hospital admissions, none of which were considered causally related to study drug.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of Zoledronic Acid in CLBP Associated with MCs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IV-administered zoledronic acid was tested in an investigator-initiated, single-center, randomized, double-blind, placebo-controlled trial in patients with CLBP associated with MCs. In this trial, zoledronic acid treatment significantly reduced pain at 1 month and NSAID use at 12 months. We have exclusive rights to reference these trial data.</w:t>
      </w:r>
    </w:p>
    <w:p>
      <w:pPr>
        <w:spacing w:after="0" w:line="17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the trial, 40 patients, with a mean age of approximately 50 years, with low back pain lasting at least 3 months and MCs on MRI, were randomized in a 1:1 ratio to receive either a single 5-mg IV infusion of zoledronic acid or placebo. MCs were determined on MRI performed within 6 months prior to enrollment. Other inclusion criteria included pain intensity of at least 6 cm on a 10-cm VAS or an Oswestry Disability Index, or ODI, of at least 30%. Low back pain intensity was measured at screening and 1 and 12 months after infusion using a 10-cm VAS. The primary outcome was the change in low back pain intensity as measured by the VAS. Pain medication use was inquired about during study visits.</w:t>
      </w:r>
    </w:p>
    <w:p>
      <w:pPr>
        <w:spacing w:after="0" w:line="187"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Study participants had a mean low back pain duration of 293 days at study entry, and initial low back pain intensity of 6.7 on the VAS. All patients displayed either type 1, type 2, or mixed type 1 and type 2 MCs on MRI. As shown in the figure below, there was a significant reduction in pain intensity, measured using the VAS, at 1 month in the zoledronic acid-treated group as compared to placebo. Changes in pain intensity at 12 months were numerically greater in the zoledronic acid arm than in the placebo arm but were not statistically significant.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 in pain intensity at 1 month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150495</wp:posOffset>
            </wp:positionV>
            <wp:extent cx="3854450" cy="2131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54450" cy="213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As shown in the figure below, at 1 year only 20% of patients in the zoledronic acid treatment group reported using NSAIDs compared to 60% of patients in the placebo group. At baseline, there were no differences in self-reported use of NSAIDs between the treatment groups.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NSAID use at 1 year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150495</wp:posOffset>
            </wp:positionV>
            <wp:extent cx="3771265" cy="257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71265" cy="257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firstLine="338"/>
        <w:spacing w:after="0" w:line="270" w:lineRule="auto"/>
        <w:rPr>
          <w:sz w:val="20"/>
          <w:szCs w:val="20"/>
          <w:color w:val="auto"/>
        </w:rPr>
      </w:pPr>
      <w:r>
        <w:rPr>
          <w:rFonts w:ascii="Arial" w:cs="Arial" w:eastAsia="Arial" w:hAnsi="Arial"/>
          <w:sz w:val="17"/>
          <w:szCs w:val="17"/>
          <w:color w:val="auto"/>
        </w:rPr>
        <w:t>The most commonly reported adverse events were acute phase reactions, which occurred more frequently in the zoledronic acid-treated group. The majority of the acute phase reactions were rated mild to moderate in severity and typically resolved within three days of onset. Sinusitis requiring temporary hospitalization following zoledronic acid infusion was reported in one patient and was therefore classified as a serious adverse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Ongoing and Planned Phase 3 Trials of AXS-02 in CRPS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Ongoing CREATE-1 Study</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July 2015, we initiated the CREATE-1 study, a Phase 3, randomized, double-blind, placebo-controlled trial to assess the efficacy and safety of AXS-02 in the treatment of pain associated with CRPS. Eligible patients must be at least 18 years of age, with recently diagnosed CRPS type 1 according to the International Association for the Study of Pain, or IASP, diagnostic criteria, and an average weekly baseline pain intensity in the affected limb of at least 5 on an 11-point (0-10) numeric rating scale, or NRS. In addition, the CRPS must have been precipitated by traumatic injury to the affected limb, for example, fracture, crushing injury, or orthopedic surgery. We expect to complete this trial by the end of 2017.</w:t>
      </w:r>
    </w:p>
    <w:p>
      <w:pPr>
        <w:spacing w:after="0" w:line="187" w:lineRule="exact"/>
        <w:rPr>
          <w:sz w:val="20"/>
          <w:szCs w:val="20"/>
          <w:color w:val="auto"/>
        </w:rPr>
      </w:pPr>
    </w:p>
    <w:p>
      <w:pPr>
        <w:ind w:firstLine="332"/>
        <w:spacing w:after="0" w:line="306" w:lineRule="auto"/>
        <w:rPr>
          <w:sz w:val="20"/>
          <w:szCs w:val="20"/>
          <w:color w:val="auto"/>
        </w:rPr>
      </w:pPr>
      <w:r>
        <w:rPr>
          <w:rFonts w:ascii="Arial" w:cs="Arial" w:eastAsia="Arial" w:hAnsi="Arial"/>
          <w:sz w:val="15"/>
          <w:szCs w:val="15"/>
          <w:color w:val="auto"/>
        </w:rPr>
        <w:t>After a baseline period, patients meeting the entry criteria will be randomly assigned in a 1:1 ratio to orally receive either (1) AXS-02 tablets once per week for 6 weeks, or (2) matching placebo tablets once per week for 6 weeks. Patients will receive drug or placebo under fasting conditions, which is typical for oral bisphosphonates. Randomized patients will remain blinded for an additional 6 weeks, totaling 12 weeks for the double-blind phase. The primary endpoint will be the change in pain intensity from baseline to week 12, measured using the NRS. Patients will be followed for an additional 12 weeks after the double-blind period. We anticipate that the study will enroll a total of approximately 190 patients. An interim analysis for efficacy is planned on the first approximately 50% of patients who</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are enrolled and who complete the double-blind phase. The basic trial design is summarized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147955</wp:posOffset>
            </wp:positionV>
            <wp:extent cx="5627370" cy="1456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27370" cy="145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Planned Phase 3 Trial in CRPS</w:t>
      </w:r>
    </w:p>
    <w:p>
      <w:pPr>
        <w:spacing w:after="0" w:line="224" w:lineRule="exact"/>
        <w:rPr>
          <w:sz w:val="20"/>
          <w:szCs w:val="20"/>
          <w:color w:val="auto"/>
        </w:rPr>
      </w:pPr>
    </w:p>
    <w:p>
      <w:pPr>
        <w:ind w:right="400" w:firstLine="338"/>
        <w:spacing w:after="0" w:line="281" w:lineRule="auto"/>
        <w:rPr>
          <w:sz w:val="20"/>
          <w:szCs w:val="20"/>
          <w:color w:val="auto"/>
        </w:rPr>
      </w:pPr>
      <w:r>
        <w:rPr>
          <w:rFonts w:ascii="Arial" w:cs="Arial" w:eastAsia="Arial" w:hAnsi="Arial"/>
          <w:sz w:val="16"/>
          <w:szCs w:val="16"/>
          <w:color w:val="auto"/>
        </w:rPr>
        <w:t>We plan to conduct a second Phase 3 trial in patients with recently diagnosed CRPS. The design and entry criteria for this trial will be similar to those of the CREATE-1 trial with the exception that it will incorporate three treatment arms instead of two. After a baseline period, patients meeting the entry criteria will be randomized in a 1:1:1 ratio to receive either (1) AXS-02 tablets once per week for 6 weeks, (2) AXS-02 tablets once per week for 3 weeks and matching placebo tablets for the following 3 weeks or (3) matching placebo tablets once per week for 6 weeks. Randomized patients will remain blinded for an additional 6 weeks, totaling 12 weeks for the double-blind phase. The primary endpoint will be the change in pain intensity from baseline to week 12, measured using the NRS. We anticipate that the trial will enroll a total of approximately 285 patients.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Trial in the Pain of Knee OA Associated with BMLs</w:t>
      </w:r>
    </w:p>
    <w:p>
      <w:pPr>
        <w:spacing w:after="0" w:line="224"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5"/>
          <w:szCs w:val="15"/>
          <w:color w:val="auto"/>
        </w:rPr>
        <w:t>We intend to initiate a Phase 3, randomized, double-blind, placebo-controlled trial to assess the efficacy and safety of AXS-02 in the treatment of the pain of knee OA associated with BMLs. This trial is anticipated to enroll patients with clinically diagnosed knee OA and at least one confirmed BML in the affected knee on MRI. After a baseline period, patients meeting the entry criteria will be randomized in a 1:1 ratio to receive either (1) AXS-02 tablets once per week for 6 weeks, or</w:t>
      </w:r>
    </w:p>
    <w:p>
      <w:pPr>
        <w:spacing w:after="0" w:line="1" w:lineRule="exact"/>
        <w:rPr>
          <w:sz w:val="20"/>
          <w:szCs w:val="20"/>
          <w:color w:val="auto"/>
        </w:rPr>
      </w:pPr>
    </w:p>
    <w:p>
      <w:pPr>
        <w:ind w:firstLine="5"/>
        <w:spacing w:after="0" w:line="266" w:lineRule="auto"/>
        <w:tabs>
          <w:tab w:leader="none" w:pos="241"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matching placebo tablets once per week for 6 weeks. Randomized patients will remain blinded for an additional 18 weeks, totaling 24 weeks for the double-blind phase. The primary endpoint is anticipated to be the change in pain intensity from baseline to week 24, measured using the NRS. We anticipate that the trial will enroll a total of approximately 300 patients. We plan to initiate this trial in or before the first quarter of 2016.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Trial in CLBP Associated with MCs</w:t>
      </w:r>
    </w:p>
    <w:p>
      <w:pPr>
        <w:spacing w:after="0" w:line="224"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intend to initiate a Phase 3, randomized, double-blind, placebo-controlled trial to assess the efficacy and safety of AXS-02 in the treatment of CLBP associated with MCs. This trial is anticipated to enroll patients with low back pain lasting at least 3 months and confirmed MCs on MRI. After a baseline period, patients meeting the entry criteria will be randomized in a 1:1 ratio to receive either (1) AXS-02 tablets once per week for 6 weeks or (2) matching placebo tablets once per week for 6 weeks. Randomized patients will remain blinded for an additional 6 weeks, totaling 12 weeks for the double-blind phase. The primary endpoint is anticipated to be the change in pain intensity from baseline to week 12, measured using the NRS. We anticipate that the trial will enroll a total of approximately 300 patients. We plan to initiate this trial in the first half of 2016.</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AXS-05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4"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AXS-05 is an innovative fixed-dose combination of dextromethorphan and bupropion. DM is active at multiple CNS receptors but is rapidly metabolized when dosed alone. Our combination uses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bupropion as a novel drug delivery method to inhibit DM metabolism and increase its bioavailability. Bupropion itself is also active at distinct CNS receptors. The activity of the two components may provide an additive or synergistic effect.</w:t>
      </w:r>
    </w:p>
    <w:p>
      <w:pPr>
        <w:spacing w:after="0" w:line="170"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AXS-05 is potentially applicable to the treatment of a variety of CNS disorders, based on the mechanisms of action of its two components. We are developing AXS-05 initially as a therapeutic for treatment resistant depression and agitation in patients with Alzheimer's disease.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Scientific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147320</wp:posOffset>
            </wp:positionV>
            <wp:extent cx="5619115" cy="29965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19115"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DM and bupropion each target different CNS receptor systems that are potentially relevant to the treatment of CNS disorders. Combining the distinct and independent mechanisms of action of these two compounds may be additive or synergistic in the treatment of depression and other CNS disorders. However, as shown in the figure above, DM is quickly eliminated from the body following administration due to extensive first pass metabolism, which results in low blood levels even at high doses. Attainment of therapeutic plasma levels of DM is therefore difficult when DM is dosed as a single agent. We have demonstrated in two Phase 1 trials that co-administration of bupropion and DM leads to significantly increased DM plasma levels. This positive pharmacokinetic interaction between bupropion and DM therefore may enable DM's clinical utility by increasing DM's plasma levels into a potentially therapeutic range. We believe this dual pharmacodynamic and pharmacokinetic synergy results in a unique pharmacological profile that could potentially be efficacious in CNS disorders.</w:t>
      </w:r>
    </w:p>
    <w:p>
      <w:pPr>
        <w:spacing w:after="0" w:line="175"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Bupropion is a well-characterized antidepressant that is chemically unrelated to tricyclic, tetracyclic, selective serotonin reuptake inhibitor, or other known antidepressant agents. It is an inhibitor of the neuronal uptake of norepinephrine and dopamine, and does not inhibit monoamine oxidase or the reuptake of serotonin. It is the only antidepressant currently available that is capable of selectively inhibiting both dopamine and norepinephrine reuptake. Bupropion was approved in the United States in 1985 and is marketed under the trade name Wellbutrin for the treatment of major depressive disorder, or MDD, and under the trade name Zyban as an aid to smoking cessation.</w:t>
      </w:r>
    </w:p>
    <w:p>
      <w:pPr>
        <w:spacing w:after="0" w:line="187"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DM is a noncompetitive N-methyl-D-aspartate, or NMDA, receptor antagonist, sigma-1 receptor agonist and inhibitor of the serotonin transporter, or SERT, and norepinephrine transporter, or NET. Each of these mechanisms of action has been shown to be associated with antidepressant response. DM is a well-known agent that is used as an ingredient in over-the-counter cough and cold preparations. DM, in combination with quinidine, was approved by the FDA in 2010 for the treatment of</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pseudobulbar affect, also known as emotional lability. Like bupropion in our product candidate, quinidine is used to inhibit the metabolism of DM and increase its plasma concentrations. Unlike bupropion, however, the quinidine in the preparation does not have CNS activity.</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independent mechanisms of action of bupropion and DM that we believe contribute to the unique pharmacological profile of AXS-05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113030</wp:posOffset>
            </wp:positionV>
            <wp:extent cx="3171825" cy="277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71825" cy="277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Resistant Depression (TRD)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developing AXS-05 for the treatment of TRD. There is currently only one FDA-approved drug for this condition.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Indication Overview</w:t>
      </w:r>
    </w:p>
    <w:p>
      <w:pPr>
        <w:spacing w:after="0" w:line="224" w:lineRule="exact"/>
        <w:rPr>
          <w:sz w:val="20"/>
          <w:szCs w:val="20"/>
          <w:color w:val="auto"/>
        </w:rPr>
      </w:pPr>
    </w:p>
    <w:p>
      <w:pPr>
        <w:ind w:right="60" w:firstLine="341"/>
        <w:spacing w:after="0" w:line="301" w:lineRule="auto"/>
        <w:rPr>
          <w:sz w:val="20"/>
          <w:szCs w:val="20"/>
          <w:color w:val="auto"/>
        </w:rPr>
      </w:pPr>
      <w:r>
        <w:rPr>
          <w:rFonts w:ascii="Arial" w:cs="Arial" w:eastAsia="Arial" w:hAnsi="Arial"/>
          <w:sz w:val="15"/>
          <w:szCs w:val="15"/>
          <w:color w:val="auto"/>
        </w:rPr>
        <w:t>Patients diagnosed with MDD are defined as having TRD if they have failed two or more antidepressant therapies. MDD is a serious condition characterized by depressed mood or a loss of interest or pleasure in daily activities consistently for at least a two-week period, and which impairs social, occupational, educational, or other important functioning. MDD is highly prevalent and difficult to treat. According to the National Institute of Health, or NIH, an estimated 6.7% of U.S. adults experience MDD each year, while 3.3% of individuals 13 to 18 years of age experience a seriously debilitating depressive disorder. Results of the Sequenced Treatment Alternatives to Relieve Depression, or STAR*D trial, funded by the National Institute of Mental Health, indicate that nearly two-thirds of diagnosed and treated patients do not experience adequate treatment response with first-line therapy, and that the majority of these initial failures also fail second-line treatment. Based on these observations, we estimate that there are approximately 3 million patients with TRD in the United States.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Rationale for the Use of AXS-05 in TRD</w:t>
      </w:r>
    </w:p>
    <w:p>
      <w:pPr>
        <w:spacing w:after="0" w:line="224" w:lineRule="exact"/>
        <w:rPr>
          <w:sz w:val="20"/>
          <w:szCs w:val="20"/>
          <w:color w:val="auto"/>
        </w:rPr>
      </w:pPr>
    </w:p>
    <w:p>
      <w:pPr>
        <w:ind w:right="20" w:firstLine="338"/>
        <w:spacing w:after="0" w:line="352" w:lineRule="auto"/>
        <w:rPr>
          <w:sz w:val="20"/>
          <w:szCs w:val="20"/>
          <w:color w:val="auto"/>
        </w:rPr>
      </w:pPr>
      <w:r>
        <w:rPr>
          <w:rFonts w:ascii="Arial" w:cs="Arial" w:eastAsia="Arial" w:hAnsi="Arial"/>
          <w:sz w:val="15"/>
          <w:szCs w:val="15"/>
          <w:color w:val="auto"/>
        </w:rPr>
        <w:t>The rationale for the use of AXS-05 in TRD is based on the mechanisms of action of DM, preclinical evidence of antidepressant effects of DM, preliminary clinical evidence of antidepressant effects of DM when co-administered with an inhibitor of its metabolism, and the established clinical efficacy of bupropion in MDD.</w:t>
      </w:r>
    </w:p>
    <w:p>
      <w:pPr>
        <w:spacing w:after="0" w:line="123"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i w:val="1"/>
          <w:iCs w:val="1"/>
          <w:color w:val="auto"/>
        </w:rPr>
        <w:t xml:space="preserve">Mechanistic rationale. </w:t>
      </w:r>
      <w:r>
        <w:rPr>
          <w:rFonts w:ascii="Arial" w:cs="Arial" w:eastAsia="Arial" w:hAnsi="Arial"/>
          <w:sz w:val="16"/>
          <w:szCs w:val="16"/>
          <w:color w:val="auto"/>
        </w:rPr>
        <w:t>DM's mechanisms of action encompass those of several currently marketed antidepressant drugs such as duloxetine (Cymbalta),</w:t>
      </w:r>
      <w:r>
        <w:rPr>
          <w:rFonts w:ascii="Arial" w:cs="Arial" w:eastAsia="Arial" w:hAnsi="Arial"/>
          <w:sz w:val="16"/>
          <w:szCs w:val="16"/>
          <w:i w:val="1"/>
          <w:iCs w:val="1"/>
          <w:color w:val="auto"/>
        </w:rPr>
        <w:t xml:space="preserve"> </w:t>
      </w:r>
      <w:r>
        <w:rPr>
          <w:rFonts w:ascii="Arial" w:cs="Arial" w:eastAsia="Arial" w:hAnsi="Arial"/>
          <w:sz w:val="16"/>
          <w:szCs w:val="16"/>
          <w:color w:val="auto"/>
        </w:rPr>
        <w:t>fluoxetine (Prozac), and fluvoxamine (Luvox). Bupropion inhibits the reuptake of dopamine and is a nicotinic acetylcholinesterase agonist. The distinct mechanisms of action of DM and bupropion may therefore be complementary. Additionally we believe that, if successfully developed, the NMDA receptor antagonist properties of DM in AXS-05 may potentially result in a faster onset of action than currently available antidepressant treatments.</w:t>
      </w:r>
    </w:p>
    <w:p>
      <w:pPr>
        <w:spacing w:after="0" w:line="169"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i w:val="1"/>
          <w:iCs w:val="1"/>
          <w:color w:val="auto"/>
        </w:rPr>
        <w:t xml:space="preserve">Preclinical rationale. </w:t>
      </w:r>
      <w:r>
        <w:rPr>
          <w:rFonts w:ascii="Arial" w:cs="Arial" w:eastAsia="Arial" w:hAnsi="Arial"/>
          <w:sz w:val="15"/>
          <w:szCs w:val="15"/>
          <w:color w:val="auto"/>
        </w:rPr>
        <w:t>The effects of DM have been reported in two preclinical models of antidepressant effect. In the forced swim test model in mice, DM</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administered intraperitoneally resulted in antidepressant-like effects in a dose-dependent manner. The forced swim test is considered to be the most well-validated animal model for predicting antidepressant effect. Using the tail suspension test in mice, another widely used behavioral test for assessing antidepressant potential, DM was also shown to display antidepressant-like effects similar to those seen with imipramine, a conventional antidepressant, and ketamine, a compound that has demonstrated fast-acting antidepressant effects. In both models, inhibition of DM metabolism using quinidine was shown to potentiate the antidepressant-like effects.</w:t>
      </w:r>
    </w:p>
    <w:p>
      <w:pPr>
        <w:spacing w:after="0" w:line="159" w:lineRule="exact"/>
        <w:rPr>
          <w:sz w:val="20"/>
          <w:szCs w:val="20"/>
          <w:color w:val="auto"/>
        </w:rPr>
      </w:pPr>
    </w:p>
    <w:p>
      <w:pPr>
        <w:ind w:right="360" w:firstLine="341"/>
        <w:spacing w:after="0" w:line="263" w:lineRule="auto"/>
        <w:rPr>
          <w:sz w:val="20"/>
          <w:szCs w:val="20"/>
          <w:color w:val="auto"/>
        </w:rPr>
      </w:pPr>
      <w:r>
        <w:rPr>
          <w:rFonts w:ascii="Arial" w:cs="Arial" w:eastAsia="Arial" w:hAnsi="Arial"/>
          <w:sz w:val="17"/>
          <w:szCs w:val="17"/>
          <w:i w:val="1"/>
          <w:iCs w:val="1"/>
          <w:color w:val="auto"/>
        </w:rPr>
        <w:t xml:space="preserve">Clinical Rationale. </w:t>
      </w:r>
      <w:r>
        <w:rPr>
          <w:rFonts w:ascii="Arial" w:cs="Arial" w:eastAsia="Arial" w:hAnsi="Arial"/>
          <w:sz w:val="17"/>
          <w:szCs w:val="17"/>
          <w:color w:val="auto"/>
        </w:rPr>
        <w:t>Administration of DM with an inhibitor of its metabolism has been shown to reduce depressive symptoms, measured using the Beck</w:t>
      </w:r>
      <w:r>
        <w:rPr>
          <w:rFonts w:ascii="Arial" w:cs="Arial" w:eastAsia="Arial" w:hAnsi="Arial"/>
          <w:sz w:val="17"/>
          <w:szCs w:val="17"/>
          <w:i w:val="1"/>
          <w:iCs w:val="1"/>
          <w:color w:val="auto"/>
        </w:rPr>
        <w:t xml:space="preserve"> </w:t>
      </w:r>
      <w:r>
        <w:rPr>
          <w:rFonts w:ascii="Arial" w:cs="Arial" w:eastAsia="Arial" w:hAnsi="Arial"/>
          <w:sz w:val="17"/>
          <w:szCs w:val="17"/>
          <w:color w:val="auto"/>
        </w:rPr>
        <w:t>Depression Inventory Second Edition, or BDI-II, in a third-party study. In a 326-patient, randomized, double-blind, placebo-controlled trial in patients with pseudobulbar affect, co-administration of DM and the metabolic inhibitor quinidine resulted in a statistically significant reduction in depressive symptoms as compared to placebo at the 30 mg DM / 10 mg quinidine dose at 12 weeks, as shown in the figure below. Assessment of depressive symptoms was a pre-specified secondary endpoint in this trial.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According to the FDA package insert for the combination of DM and quinidine (Nuedexta), DM is the pharmacologically active ingredient of the DM / quinidine</w:t>
      </w:r>
    </w:p>
    <w:p>
      <w:pPr>
        <w:spacing w:after="0" w:line="43" w:lineRule="exact"/>
        <w:rPr>
          <w:sz w:val="20"/>
          <w:szCs w:val="20"/>
          <w:color w:val="auto"/>
        </w:rPr>
      </w:pPr>
    </w:p>
    <w:p>
      <w:pPr>
        <w:ind w:right="220"/>
        <w:spacing w:after="0" w:line="231" w:lineRule="auto"/>
        <w:rPr>
          <w:sz w:val="20"/>
          <w:szCs w:val="20"/>
          <w:color w:val="auto"/>
        </w:rPr>
      </w:pPr>
      <w:r>
        <w:rPr>
          <w:rFonts w:ascii="Arial" w:cs="Arial" w:eastAsia="Arial" w:hAnsi="Arial"/>
          <w:sz w:val="15"/>
          <w:szCs w:val="15"/>
          <w:color w:val="auto"/>
        </w:rPr>
        <w:t>combination that acts on the CNS, with quinidine serving to increase DM plasma levels. The plasma concentrations of DM, measured using AUC</w:t>
      </w:r>
      <w:r>
        <w:rPr>
          <w:rFonts w:ascii="Arial" w:cs="Arial" w:eastAsia="Arial" w:hAnsi="Arial"/>
          <w:sz w:val="24"/>
          <w:szCs w:val="24"/>
          <w:color w:val="auto"/>
          <w:vertAlign w:val="subscript"/>
        </w:rPr>
        <w:t>0[ib]-12</w:t>
      </w:r>
      <w:r>
        <w:rPr>
          <w:rFonts w:ascii="Arial" w:cs="Arial" w:eastAsia="Arial" w:hAnsi="Arial"/>
          <w:sz w:val="15"/>
          <w:szCs w:val="15"/>
          <w:color w:val="auto"/>
        </w:rPr>
        <w:t xml:space="preserve"> and C</w:t>
      </w:r>
      <w:r>
        <w:rPr>
          <w:rFonts w:ascii="Arial" w:cs="Arial" w:eastAsia="Arial" w:hAnsi="Arial"/>
          <w:sz w:val="24"/>
          <w:szCs w:val="24"/>
          <w:color w:val="auto"/>
          <w:vertAlign w:val="subscript"/>
        </w:rPr>
        <w:t>max</w:t>
      </w:r>
      <w:r>
        <w:rPr>
          <w:rFonts w:ascii="Arial" w:cs="Arial" w:eastAsia="Arial" w:hAnsi="Arial"/>
          <w:sz w:val="15"/>
          <w:szCs w:val="15"/>
          <w:color w:val="auto"/>
        </w:rPr>
        <w:t>, achieved with AXS-05 administration in our Phase 1 trials are in the range of those associated with a 30 mg DM / 10 mg quinidine dose, based on data published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FDA.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Depressive symptom change with DM and metabolic inhibitor quinidine (Q) in patients with pseudobulbar affect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149860</wp:posOffset>
            </wp:positionV>
            <wp:extent cx="3396615" cy="22726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9661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Source: </w:t>
      </w:r>
      <w:r>
        <w:rPr>
          <w:rFonts w:ascii="Arial" w:cs="Arial" w:eastAsia="Arial" w:hAnsi="Arial"/>
          <w:sz w:val="17"/>
          <w:szCs w:val="17"/>
          <w:i w:val="1"/>
          <w:iCs w:val="1"/>
          <w:color w:val="auto"/>
        </w:rPr>
        <w:t>Pioro EP, et al. Ann Neurol 2010;68:693-702</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Agitation in Patients with Alzheimer's Disease (AD)</w:t>
      </w:r>
    </w:p>
    <w:p>
      <w:pPr>
        <w:spacing w:after="0" w:line="224" w:lineRule="exact"/>
        <w:rPr>
          <w:sz w:val="20"/>
          <w:szCs w:val="20"/>
          <w:color w:val="auto"/>
        </w:rPr>
      </w:pPr>
    </w:p>
    <w:p>
      <w:pPr>
        <w:ind w:right="680" w:firstLine="338"/>
        <w:spacing w:after="0" w:line="282" w:lineRule="auto"/>
        <w:rPr>
          <w:sz w:val="20"/>
          <w:szCs w:val="20"/>
          <w:color w:val="auto"/>
        </w:rPr>
      </w:pPr>
      <w:r>
        <w:rPr>
          <w:rFonts w:ascii="Arial" w:cs="Arial" w:eastAsia="Arial" w:hAnsi="Arial"/>
          <w:sz w:val="17"/>
          <w:szCs w:val="17"/>
          <w:color w:val="auto"/>
        </w:rPr>
        <w:t>We intend to develop AXS-05 for the treatment of agitation in patients with AD. There is currently no FDA-approved pharmacological treatment for the indication of agitation in patients with 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Indication Overview</w:t>
      </w:r>
    </w:p>
    <w:p>
      <w:pPr>
        <w:spacing w:after="0" w:line="224"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AD is a progressive neurodegenerative disorder that manifests initially as forgetfulness advancing to severe cognitive impairment and memory loss. It is a common form of dementia and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as many as 40% of patients. Agitation is characterized by emotional distress, aggressive behaviors, disruptive irritability, and disinhibition. Agitation in patients with AD has been associated with increased caregiver burden, decreased functioning, earlier nursing home placement, and death.</w:t>
      </w:r>
    </w:p>
    <w:p>
      <w:pPr>
        <w:spacing w:after="0" w:line="188"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Because there are no FDA-approved pharmacological treatments for the indication of agitation in patients with AD, patients are currently treated off-label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in patients with dementia.</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Rationale for the Development of AXS-05 in Agitation in Patients with AD</w:t>
      </w:r>
    </w:p>
    <w:p>
      <w:pPr>
        <w:spacing w:after="0" w:line="224"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The rationale for the use of AXS-05 for the treatment of agitation in patients with AD is based on the mechanisms of action of DM, and preliminary clinical evidence of the effect of DM when co-administered with an inhibitor of its metabolism in agitation in patients with AD.</w:t>
      </w:r>
    </w:p>
    <w:p>
      <w:pPr>
        <w:spacing w:after="0" w:line="170"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i w:val="1"/>
          <w:iCs w:val="1"/>
          <w:color w:val="auto"/>
        </w:rPr>
        <w:t xml:space="preserve">Mechanistic rationale. </w:t>
      </w:r>
      <w:r>
        <w:rPr>
          <w:rFonts w:ascii="Arial" w:cs="Arial" w:eastAsia="Arial" w:hAnsi="Arial"/>
          <w:sz w:val="17"/>
          <w:szCs w:val="17"/>
          <w:color w:val="auto"/>
        </w:rPr>
        <w:t>Mechanisms of action of DM include NMDA receptor antagonism and sigma-1 receptor agonism. Altered glutamate transmission via</w:t>
      </w:r>
      <w:r>
        <w:rPr>
          <w:rFonts w:ascii="Arial" w:cs="Arial" w:eastAsia="Arial" w:hAnsi="Arial"/>
          <w:sz w:val="17"/>
          <w:szCs w:val="17"/>
          <w:i w:val="1"/>
          <w:iCs w:val="1"/>
          <w:color w:val="auto"/>
        </w:rPr>
        <w:t xml:space="preserve"> </w:t>
      </w:r>
      <w:r>
        <w:rPr>
          <w:rFonts w:ascii="Arial" w:cs="Arial" w:eastAsia="Arial" w:hAnsi="Arial"/>
          <w:sz w:val="17"/>
          <w:szCs w:val="17"/>
          <w:color w:val="auto"/>
        </w:rPr>
        <w:t>NMDA receptors has been suggested to play a role in behavioral changes in dementia, and clinical evidence suggests that NMDA antagonism may reduce agitation and aggression in AD patients. The pharmacologic action of agents used in the treatment of dementia, such as donepezil, and behavioral disorders, such as fluvoxamine, include sigma-1 receptor agonism.</w:t>
      </w:r>
    </w:p>
    <w:p>
      <w:pPr>
        <w:spacing w:after="0" w:line="185" w:lineRule="exact"/>
        <w:rPr>
          <w:sz w:val="20"/>
          <w:szCs w:val="20"/>
          <w:color w:val="auto"/>
        </w:rPr>
      </w:pPr>
    </w:p>
    <w:p>
      <w:pPr>
        <w:ind w:right="100" w:firstLine="341"/>
        <w:spacing w:after="0" w:line="276" w:lineRule="auto"/>
        <w:rPr>
          <w:sz w:val="20"/>
          <w:szCs w:val="20"/>
          <w:color w:val="auto"/>
        </w:rPr>
      </w:pPr>
      <w:r>
        <w:rPr>
          <w:rFonts w:ascii="Arial" w:cs="Arial" w:eastAsia="Arial" w:hAnsi="Arial"/>
          <w:sz w:val="16"/>
          <w:szCs w:val="16"/>
          <w:i w:val="1"/>
          <w:iCs w:val="1"/>
          <w:color w:val="auto"/>
        </w:rPr>
        <w:t xml:space="preserve">Clinical Rationale. </w:t>
      </w:r>
      <w:r>
        <w:rPr>
          <w:rFonts w:ascii="Arial" w:cs="Arial" w:eastAsia="Arial" w:hAnsi="Arial"/>
          <w:sz w:val="16"/>
          <w:szCs w:val="16"/>
          <w:color w:val="auto"/>
        </w:rPr>
        <w:t>Administration of DM with an inhibitor of its metabolism has been shown to significantly reduce agitation in patients with AD. The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of DM co-administered with the metabolic inhibitor quinidine was studied in a third-party, randomized, double-blind, placebo-controlled, two-stage trial in 220 patients with probable AD and clinically meaningful agitation. In stage 1 of the study, patients were randomized to receive either placebo or DM with quinidine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(20 mg DM / 10 mg quinidine once per day, titrated to 30 mg DM / 10 mg quinidine twice per day). In stage 2, patients initially on placebo were stratified according to response, then re-randomized to placebo or active treatment (titrated as in stage 1). Each stage lasted five weeks. The primary endpoint was the change in the agitation/aggression domain of the Neuropsychiatric Inventory, or NPI, assessed by combining results from the two stages.</w:t>
      </w:r>
    </w:p>
    <w:p>
      <w:pPr>
        <w:spacing w:after="0" w:line="183"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primary endpoint improved significantly with DM and quinidine as compared to placebo. A significantly greater reduction for active treatment as compared to placebo in the agitation/aggression domain of the NPI was seen in both stage 1, shown in the figure below, as well as in stage 2 of the study. Significant improvements for the active treatment arm compared to placebo were also reported for the majority of secondary endpoints including the NPI total score, NPI-Caregiver Distress Score, Caregiver Strain Index, and Cornell Scale for Depression in Dementia. Moreover, treatment with DM and the metabolic inhibitor was not associated with cognitive decline as measured by the Mini Mental State Examination.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In the trial, patients were titrated to a 30 mg DM / 10 mg quinidine dose. According to the FDA package insert for Nuedexta, DM is the pharmacologically active ingredient of the DM / quinidine combination that acts on the CNS, with quinidine serving to increase DM plasma levels. The plasma concentrations of DM, measured</w:t>
      </w:r>
    </w:p>
    <w:p>
      <w:pPr>
        <w:ind w:right="80"/>
        <w:spacing w:after="0" w:line="200" w:lineRule="auto"/>
        <w:rPr>
          <w:sz w:val="20"/>
          <w:szCs w:val="20"/>
          <w:color w:val="auto"/>
        </w:rPr>
      </w:pPr>
      <w:r>
        <w:rPr>
          <w:rFonts w:ascii="Arial" w:cs="Arial" w:eastAsia="Arial" w:hAnsi="Arial"/>
          <w:sz w:val="17"/>
          <w:szCs w:val="17"/>
          <w:color w:val="auto"/>
        </w:rPr>
        <w:t>using AUC</w:t>
      </w:r>
      <w:r>
        <w:rPr>
          <w:rFonts w:ascii="Arial" w:cs="Arial" w:eastAsia="Arial" w:hAnsi="Arial"/>
          <w:sz w:val="28"/>
          <w:szCs w:val="28"/>
          <w:color w:val="auto"/>
          <w:vertAlign w:val="subscript"/>
        </w:rPr>
        <w:t>0[ib]-12</w:t>
      </w:r>
      <w:r>
        <w:rPr>
          <w:rFonts w:ascii="Arial" w:cs="Arial" w:eastAsia="Arial" w:hAnsi="Arial"/>
          <w:sz w:val="17"/>
          <w:szCs w:val="17"/>
          <w:color w:val="auto"/>
        </w:rPr>
        <w:t xml:space="preserve"> and C</w:t>
      </w:r>
      <w:r>
        <w:rPr>
          <w:rFonts w:ascii="Arial" w:cs="Arial" w:eastAsia="Arial" w:hAnsi="Arial"/>
          <w:sz w:val="28"/>
          <w:szCs w:val="28"/>
          <w:color w:val="auto"/>
          <w:vertAlign w:val="subscript"/>
        </w:rPr>
        <w:t>max</w:t>
      </w:r>
      <w:r>
        <w:rPr>
          <w:rFonts w:ascii="Arial" w:cs="Arial" w:eastAsia="Arial" w:hAnsi="Arial"/>
          <w:sz w:val="17"/>
          <w:szCs w:val="17"/>
          <w:color w:val="auto"/>
        </w:rPr>
        <w:t>, achieved with AXS-05 administration in our Phase 1 trials are in the range of those associated with a 30 mg DM / 10 mg quinidine dose, based on data published by the FDA.</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Change in agitation/aggression scores in AD with DM and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metabolic inhibitor quinidine (Q) during stage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143510</wp:posOffset>
            </wp:positionV>
            <wp:extent cx="4079240" cy="2406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7924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Source: </w:t>
      </w:r>
      <w:r>
        <w:rPr>
          <w:rFonts w:ascii="Arial" w:cs="Arial" w:eastAsia="Arial" w:hAnsi="Arial"/>
          <w:sz w:val="17"/>
          <w:szCs w:val="17"/>
          <w:i w:val="1"/>
          <w:iCs w:val="1"/>
          <w:color w:val="auto"/>
        </w:rPr>
        <w:t>Am J Geriatr Psychiatry 2015; 23:3, Supplement 1, S164-S165</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of AXS-05</w:t>
      </w:r>
    </w:p>
    <w:p>
      <w:pPr>
        <w:spacing w:after="0" w:line="224" w:lineRule="exact"/>
        <w:rPr>
          <w:sz w:val="20"/>
          <w:szCs w:val="20"/>
          <w:color w:val="auto"/>
        </w:rPr>
      </w:pPr>
    </w:p>
    <w:p>
      <w:pPr>
        <w:ind w:right="120" w:firstLine="338"/>
        <w:spacing w:after="0" w:line="224" w:lineRule="auto"/>
        <w:rPr>
          <w:sz w:val="20"/>
          <w:szCs w:val="20"/>
          <w:color w:val="auto"/>
        </w:rPr>
      </w:pPr>
      <w:r>
        <w:rPr>
          <w:rFonts w:ascii="Arial" w:cs="Arial" w:eastAsia="Arial" w:hAnsi="Arial"/>
          <w:sz w:val="17"/>
          <w:szCs w:val="17"/>
          <w:color w:val="auto"/>
        </w:rPr>
        <w:t>We are developing AXS-05 and intend to seek FDA approval for the product utilizing the 505(b)(2) regulatory pathway. We have completed two Phase 1 pharmacokinetic clinical trials of AXS-05 under clinical trial applications, or CTAs, with Health Canada. In both studies, administration of bupropion in combination with DM resulted in a significant increase in DM plasma concentrations measured using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and AUC at all doses tested.</w:t>
      </w:r>
    </w:p>
    <w:p>
      <w:pPr>
        <w:spacing w:after="0" w:line="187"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We held a pre-IND meeting with the FDA in February 2015 where we discussed our clinical development plan for AXS-05 in TRD. Based on that meeting, we plan to submit an investigational new drug application, or IND, to the FDA and conduct two Phase 3 trials of AXS-05 in TRD to support an NDA filing for this indication.</w:t>
      </w:r>
    </w:p>
    <w:p>
      <w:pPr>
        <w:spacing w:after="0" w:line="179" w:lineRule="exact"/>
        <w:rPr>
          <w:sz w:val="20"/>
          <w:szCs w:val="20"/>
          <w:color w:val="auto"/>
        </w:rPr>
      </w:pPr>
    </w:p>
    <w:p>
      <w:pPr>
        <w:ind w:right="180" w:firstLine="338"/>
        <w:spacing w:after="0" w:line="315" w:lineRule="auto"/>
        <w:rPr>
          <w:sz w:val="20"/>
          <w:szCs w:val="20"/>
          <w:color w:val="auto"/>
        </w:rPr>
      </w:pPr>
      <w:r>
        <w:rPr>
          <w:rFonts w:ascii="Arial" w:cs="Arial" w:eastAsia="Arial" w:hAnsi="Arial"/>
          <w:sz w:val="16"/>
          <w:szCs w:val="16"/>
          <w:color w:val="auto"/>
        </w:rPr>
        <w:t>We expect to be ready to initiate a Phase 3, randomized, double-blind, active-controlled trial of AXS-05 in the treatment of TRD in or before the first quarter of 2016. We plan to request a meeting with the FDA in 2016 to discuss our plans to conduct a controlled trial of AXS-05 in agitation in patients with AD.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Completed Phase 1 Trials of AXS-05</w:t>
      </w:r>
    </w:p>
    <w:p>
      <w:pPr>
        <w:spacing w:after="0" w:line="224" w:lineRule="exact"/>
        <w:rPr>
          <w:sz w:val="20"/>
          <w:szCs w:val="20"/>
          <w:color w:val="auto"/>
        </w:rPr>
      </w:pPr>
    </w:p>
    <w:p>
      <w:pPr>
        <w:ind w:right="240" w:firstLine="338"/>
        <w:spacing w:after="0" w:line="231" w:lineRule="auto"/>
        <w:rPr>
          <w:sz w:val="20"/>
          <w:szCs w:val="20"/>
          <w:color w:val="auto"/>
        </w:rPr>
      </w:pPr>
      <w:r>
        <w:rPr>
          <w:rFonts w:ascii="Arial" w:cs="Arial" w:eastAsia="Arial" w:hAnsi="Arial"/>
          <w:sz w:val="17"/>
          <w:szCs w:val="17"/>
          <w:color w:val="auto"/>
        </w:rPr>
        <w:t>We have completed two Phase 1 pharmacokinetic clinical trials of AXS-05. The objectives of these trials were to assess the impact of co-administration of bupropion on the pharmacokinetics of DM, and to assess the safety and tolerability of the combination. In these Phase 1 trials, the components of AXS-05, DM and bupropion, were co-administered as separate tablets. In both studies, administration of bupropion in combination with DM resulted in significant increases in DM plasma concentrations measured using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and AUC at all doses tested.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293" w:lineRule="auto"/>
        <w:rPr>
          <w:sz w:val="20"/>
          <w:szCs w:val="20"/>
          <w:color w:val="auto"/>
        </w:rPr>
      </w:pPr>
      <w:r>
        <w:rPr>
          <w:rFonts w:ascii="Arial" w:cs="Arial" w:eastAsia="Arial" w:hAnsi="Arial"/>
          <w:sz w:val="15"/>
          <w:szCs w:val="15"/>
          <w:color w:val="auto"/>
        </w:rPr>
        <w:t>The first Phase 1 trial was a randomized, multiple-dose, open-label study to determine the pharmacokinetics of DM when various doses of DM are administered concomitantly with bupropion under fasting conditions, as well as the safety of the combination. Subjects were randomized to receive twice-daily administrations of 150 mg of bupropion in combination with DM at various doses up to 60 mg, or 60 mg of DM alone, for 8 consecutive days. A total of 32 healthy, adult volunteers were included in this study in four treatment groups. Full pharmacokinetic assessments were made on Day 1 and Day 8. As shown in the figure below, for the dose of</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60 mg of DM / 150 mg of bupropion, AUC</w:t>
      </w:r>
      <w:r>
        <w:rPr>
          <w:rFonts w:ascii="Arial" w:cs="Arial" w:eastAsia="Arial" w:hAnsi="Arial"/>
          <w:sz w:val="24"/>
          <w:szCs w:val="24"/>
          <w:color w:val="auto"/>
          <w:vertAlign w:val="subscript"/>
        </w:rPr>
        <w:t>0[ib]-12</w:t>
      </w:r>
      <w:r>
        <w:rPr>
          <w:rFonts w:ascii="Arial" w:cs="Arial" w:eastAsia="Arial" w:hAnsi="Arial"/>
          <w:sz w:val="15"/>
          <w:szCs w:val="15"/>
          <w:color w:val="auto"/>
        </w:rPr>
        <w:t xml:space="preserve"> and C</w:t>
      </w:r>
      <w:r>
        <w:rPr>
          <w:rFonts w:ascii="Arial" w:cs="Arial" w:eastAsia="Arial" w:hAnsi="Arial"/>
          <w:sz w:val="24"/>
          <w:szCs w:val="24"/>
          <w:color w:val="auto"/>
          <w:vertAlign w:val="subscript"/>
        </w:rPr>
        <w:t>max</w:t>
      </w:r>
      <w:r>
        <w:rPr>
          <w:rFonts w:ascii="Arial" w:cs="Arial" w:eastAsia="Arial" w:hAnsi="Arial"/>
          <w:sz w:val="15"/>
          <w:szCs w:val="15"/>
          <w:color w:val="auto"/>
        </w:rPr>
        <w:t xml:space="preserve"> values on Day 8 for DM when dosed in combination with bupropion were approximately 60 times and 40 times, respectively, the values for DM when dosed alone. For all doses tested, administration of DM in combination with bupropion resulted in substantial increases in</w:t>
      </w:r>
    </w:p>
    <w:p>
      <w:pPr>
        <w:spacing w:after="0" w:line="1" w:lineRule="exact"/>
        <w:rPr>
          <w:sz w:val="20"/>
          <w:szCs w:val="20"/>
          <w:color w:val="auto"/>
        </w:rPr>
      </w:pPr>
    </w:p>
    <w:p>
      <w:pPr>
        <w:ind w:right="140"/>
        <w:spacing w:after="0" w:line="200" w:lineRule="auto"/>
        <w:rPr>
          <w:sz w:val="20"/>
          <w:szCs w:val="20"/>
          <w:color w:val="auto"/>
        </w:rPr>
      </w:pPr>
      <w:r>
        <w:rPr>
          <w:rFonts w:ascii="Arial" w:cs="Arial" w:eastAsia="Arial" w:hAnsi="Arial"/>
          <w:sz w:val="17"/>
          <w:szCs w:val="17"/>
          <w:color w:val="auto"/>
        </w:rPr>
        <w:t>AUC</w:t>
      </w:r>
      <w:r>
        <w:rPr>
          <w:rFonts w:ascii="Arial" w:cs="Arial" w:eastAsia="Arial" w:hAnsi="Arial"/>
          <w:sz w:val="28"/>
          <w:szCs w:val="28"/>
          <w:color w:val="auto"/>
          <w:vertAlign w:val="subscript"/>
        </w:rPr>
        <w:t>0[ib]-12</w:t>
      </w:r>
      <w:r>
        <w:rPr>
          <w:rFonts w:ascii="Arial" w:cs="Arial" w:eastAsia="Arial" w:hAnsi="Arial"/>
          <w:sz w:val="17"/>
          <w:szCs w:val="17"/>
          <w:color w:val="auto"/>
        </w:rPr>
        <w:t xml:space="preserve"> and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values of DM on Day 8 as compared to Day 1 of dosing. DM exposure measured using AUC and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increased in a dose dependent manner with increasing doses of DM. Administration of DM did not appear to affect the pharmacokinetics of bupropion.</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DM plasma concentrations resulting from dosing of DM alone or</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DM with bupropion (AXS-05) on day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293370</wp:posOffset>
            </wp:positionV>
            <wp:extent cx="6468110" cy="1873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8110"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There were no reported serious adverse events in the trial. The majority of treatment-emergent adverse events experienced were graded as mild or moderate in severity, and had resolved by the end of the study. The most commonly reported adverse events were dizziness, nausea, headache, insomnia, dry mouth, constipation, hypoesthesia, palpitation, disturbance in attention, tremor, and hyperhidrosis. Adverse events were reported more frequently in the AXS-05 arm as compared to the DM-only arm, with the majority of these adverse events having been already reported in the FDA package inserts for products containing bupropion and having been consistent with those expected with the administration of bupropion based on FDA package inserts.</w:t>
      </w:r>
    </w:p>
    <w:p>
      <w:pPr>
        <w:spacing w:after="0" w:line="174" w:lineRule="exact"/>
        <w:rPr>
          <w:sz w:val="20"/>
          <w:szCs w:val="20"/>
          <w:color w:val="auto"/>
        </w:rPr>
      </w:pPr>
    </w:p>
    <w:p>
      <w:pPr>
        <w:ind w:right="100" w:firstLine="338"/>
        <w:spacing w:after="0" w:line="293" w:lineRule="auto"/>
        <w:rPr>
          <w:sz w:val="20"/>
          <w:szCs w:val="20"/>
          <w:color w:val="auto"/>
        </w:rPr>
      </w:pPr>
      <w:r>
        <w:rPr>
          <w:rFonts w:ascii="Arial" w:cs="Arial" w:eastAsia="Arial" w:hAnsi="Arial"/>
          <w:sz w:val="15"/>
          <w:szCs w:val="15"/>
          <w:color w:val="auto"/>
        </w:rPr>
        <w:t>The second Phase 1 trial was a randomized, multiple-dose, open-label study to determine the pharmacokinetics of DM when various doses of DM are administered concomitantly with various doses of bupropion and to assess safety during co-administration of bupropion and DM. A total of 40 healthy, adult volunteers were included in this study in five treatment groups. Subjects were randomized to receive twice-daily administration of either 150 mg of bupropion alone, or combinations of varying doses of bupropion and DM for eight consecutive days. Full pharmacokinetic assessments were made on Day 1 and Day 8. Similar to the</w:t>
      </w:r>
    </w:p>
    <w:p>
      <w:pPr>
        <w:spacing w:after="0" w:line="3" w:lineRule="exact"/>
        <w:rPr>
          <w:sz w:val="20"/>
          <w:szCs w:val="20"/>
          <w:color w:val="auto"/>
        </w:rPr>
      </w:pPr>
    </w:p>
    <w:p>
      <w:pPr>
        <w:ind w:right="120"/>
        <w:spacing w:after="0" w:line="192" w:lineRule="auto"/>
        <w:rPr>
          <w:sz w:val="20"/>
          <w:szCs w:val="20"/>
          <w:color w:val="auto"/>
        </w:rPr>
      </w:pPr>
      <w:r>
        <w:rPr>
          <w:rFonts w:ascii="Arial" w:cs="Arial" w:eastAsia="Arial" w:hAnsi="Arial"/>
          <w:sz w:val="17"/>
          <w:szCs w:val="17"/>
          <w:color w:val="auto"/>
        </w:rPr>
        <w:t>results in our first study, administration of DM in combination with bupropion resulted in substantial increases in AUC</w:t>
      </w:r>
      <w:r>
        <w:rPr>
          <w:rFonts w:ascii="Arial" w:cs="Arial" w:eastAsia="Arial" w:hAnsi="Arial"/>
          <w:sz w:val="27"/>
          <w:szCs w:val="27"/>
          <w:color w:val="auto"/>
          <w:vertAlign w:val="subscript"/>
        </w:rPr>
        <w:t>0[ib]-12</w:t>
      </w:r>
      <w:r>
        <w:rPr>
          <w:rFonts w:ascii="Arial" w:cs="Arial" w:eastAsia="Arial" w:hAnsi="Arial"/>
          <w:sz w:val="17"/>
          <w:szCs w:val="17"/>
          <w:color w:val="auto"/>
        </w:rPr>
        <w:t xml:space="preserve"> and C</w:t>
      </w:r>
      <w:r>
        <w:rPr>
          <w:rFonts w:ascii="Arial" w:cs="Arial" w:eastAsia="Arial" w:hAnsi="Arial"/>
          <w:sz w:val="27"/>
          <w:szCs w:val="27"/>
          <w:color w:val="auto"/>
          <w:vertAlign w:val="subscript"/>
        </w:rPr>
        <w:t>max</w:t>
      </w:r>
      <w:r>
        <w:rPr>
          <w:rFonts w:ascii="Arial" w:cs="Arial" w:eastAsia="Arial" w:hAnsi="Arial"/>
          <w:sz w:val="17"/>
          <w:szCs w:val="17"/>
          <w:color w:val="auto"/>
        </w:rPr>
        <w:t xml:space="preserve"> values of DM on Day 8 as compared to Day 1 of dosing for all combinations tested. DM exposure measured using AUC and C</w:t>
      </w:r>
      <w:r>
        <w:rPr>
          <w:rFonts w:ascii="Arial" w:cs="Arial" w:eastAsia="Arial" w:hAnsi="Arial"/>
          <w:sz w:val="27"/>
          <w:szCs w:val="27"/>
          <w:color w:val="auto"/>
          <w:vertAlign w:val="subscript"/>
        </w:rPr>
        <w:t>max</w:t>
      </w:r>
      <w:r>
        <w:rPr>
          <w:rFonts w:ascii="Arial" w:cs="Arial" w:eastAsia="Arial" w:hAnsi="Arial"/>
          <w:sz w:val="17"/>
          <w:szCs w:val="17"/>
          <w:color w:val="auto"/>
        </w:rPr>
        <w:t xml:space="preserve"> increased in a dose-dependent manner as doses of either DM or bupropion were increased. Administration of DM did not appear to affect the pharmacokinetics of bupropion.</w:t>
      </w:r>
    </w:p>
    <w:p>
      <w:pPr>
        <w:spacing w:after="0" w:line="206" w:lineRule="exact"/>
        <w:rPr>
          <w:sz w:val="20"/>
          <w:szCs w:val="20"/>
          <w:color w:val="auto"/>
        </w:rPr>
      </w:pPr>
    </w:p>
    <w:p>
      <w:pPr>
        <w:ind w:right="180" w:firstLine="338"/>
        <w:spacing w:after="0" w:line="315" w:lineRule="auto"/>
        <w:rPr>
          <w:sz w:val="20"/>
          <w:szCs w:val="20"/>
          <w:color w:val="auto"/>
        </w:rPr>
      </w:pPr>
      <w:r>
        <w:rPr>
          <w:rFonts w:ascii="Arial" w:cs="Arial" w:eastAsia="Arial" w:hAnsi="Arial"/>
          <w:sz w:val="16"/>
          <w:szCs w:val="16"/>
          <w:color w:val="auto"/>
        </w:rPr>
        <w:t>There were no reported serious adverse events in the trial. The majority of treatment-emergent adverse events experienced were graded as mild in severity, and had resolved by the end of the study. The most commonly reported adverse events were headache, nausea, dizziness, fatigue, increased</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heartrate, palpitations, constipation, diarrhea, increased blood pressure, and tremor. No particular trend was observed when comparing the rates or types of adverse events in the combination groups as compared to the group receiving bupropion alone.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Trial of AXS-05 in TRD</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intend to initiate a Phase 3, randomized, double-blind, active-controlled trial to assess the efficacy and safety of AXS-05 in the treatment of TRD. Patients with MDD who have previously failed one antidepressant treatment will be treated in an open-label fashion with bupropion during a 6-week lead-in period. Patients who fail to respond to bupropion during this lead-in period will be considered to have TRD and will be randomly assigned in a 1:1 ratio to receive bupropion or AXS-05 in a double-blind fashion for 4 weeks. The primary endpoint is anticipated to be the change in the Montgomery-Asberg Depression Rating Scale after 4 weeks of treatment. We anticipate that the study will enroll a total of approximately 300 patients. We will be submitting an IND prior to the conduct of this trial and we expect to be ready to initiate this trial in or before the first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Trial of AXS-05 in Agitation in Patients with AD</w:t>
      </w:r>
    </w:p>
    <w:p>
      <w:pPr>
        <w:spacing w:after="0" w:line="224" w:lineRule="exact"/>
        <w:rPr>
          <w:sz w:val="20"/>
          <w:szCs w:val="20"/>
          <w:color w:val="auto"/>
        </w:rPr>
      </w:pPr>
    </w:p>
    <w:p>
      <w:pPr>
        <w:ind w:right="360" w:firstLine="338"/>
        <w:spacing w:after="0" w:line="282" w:lineRule="auto"/>
        <w:rPr>
          <w:sz w:val="20"/>
          <w:szCs w:val="20"/>
          <w:color w:val="auto"/>
        </w:rPr>
      </w:pPr>
      <w:r>
        <w:rPr>
          <w:rFonts w:ascii="Arial" w:cs="Arial" w:eastAsia="Arial" w:hAnsi="Arial"/>
          <w:sz w:val="17"/>
          <w:szCs w:val="17"/>
          <w:color w:val="auto"/>
        </w:rPr>
        <w:t>We plan to request a meeting with the FDA in 2016 to discuss our development plans for AXS-05 in agitation in patients with AD. Pending the results of this meeting, we intend to conduct a controlled trial to assess the efficacy and safety of AXS-05 in AD patients with agitation.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Programs</w:t>
      </w:r>
    </w:p>
    <w:p>
      <w:pPr>
        <w:spacing w:after="0" w:line="228"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We have one active program, AXS-06, in preclinical development. We are currently conducting formulation work for this program. Following formulation, we plan to conduct a preclinical study to assess the pharmacokinetics of AXS-06 prior to potentially advancing it into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Agreements</w:t>
      </w:r>
    </w:p>
    <w:p>
      <w:pPr>
        <w:spacing w:after="0" w:line="228" w:lineRule="exact"/>
        <w:rPr>
          <w:sz w:val="20"/>
          <w:szCs w:val="20"/>
          <w:color w:val="auto"/>
        </w:rPr>
      </w:pPr>
    </w:p>
    <w:p>
      <w:pPr>
        <w:jc w:val="both"/>
        <w:ind w:right="300" w:firstLine="338"/>
        <w:spacing w:after="0" w:line="270" w:lineRule="auto"/>
        <w:rPr>
          <w:sz w:val="20"/>
          <w:szCs w:val="20"/>
          <w:color w:val="auto"/>
        </w:rPr>
      </w:pPr>
      <w:r>
        <w:rPr>
          <w:rFonts w:ascii="Arial" w:cs="Arial" w:eastAsia="Arial" w:hAnsi="Arial"/>
          <w:sz w:val="17"/>
          <w:szCs w:val="17"/>
          <w:color w:val="auto"/>
        </w:rPr>
        <w:t>We have customary clinical supply agreements and a customary agreement with a clinical research organization to help manage our clinical trials. Each of our commercial agreements are non-exclusive, and we have no material contractual obligations under such agreements, except to the extent we order supply or request services to be performed.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License Agreements</w:t>
      </w:r>
    </w:p>
    <w:p>
      <w:pPr>
        <w:spacing w:after="0" w:line="228" w:lineRule="exact"/>
        <w:rPr>
          <w:sz w:val="20"/>
          <w:szCs w:val="20"/>
          <w:color w:val="auto"/>
        </w:rPr>
      </w:pPr>
    </w:p>
    <w:p>
      <w:pPr>
        <w:ind w:right="100" w:firstLine="341"/>
        <w:spacing w:after="0" w:line="293" w:lineRule="auto"/>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Pursuant to the agreements, we are required to use commercially reasonable efforts to develop, obtain regulatory approval for, and commercialize AXS-02, AXS-05, and AXS-04. Under the terms of the agreements, we are required to pay to Antecip a royalty equal to</w:t>
      </w:r>
    </w:p>
    <w:p>
      <w:pPr>
        <w:spacing w:after="0" w:line="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convenience, the rights granted to us under such terminated agreement will revert to Antecip. To date, we have not been required to make any payments to Antecip under any of the license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87"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Our intellectual property portfolio contains 11 issued patents and 60 pending applications in the United States and worldwide. Patents and pending patent applications covering our AXS-02 product candidate have claims covering method of delivery, pharmacokinetics, composition of matter, and methods of use with protection extending through 2034. In addition to patent protections, our AXS-02 program, if approved, may also be afforded potential exclusivity by the FDA's and EMA's orphan drug designation programs for CRPS, which provide 7 years and 10 to 12 years of exclusivity, respectively. One issued patent and several pending patent applications covering our AXS-05 product candidate have claims covering pharmaceutical composition, drug delivery, and pharmacokinetics with protection extending through 2032. We have other patent applications with claims covering the other programs in our product pipeline, including those that are not relevant to our current programs in development.</w:t>
      </w:r>
    </w:p>
    <w:p>
      <w:pPr>
        <w:spacing w:after="0" w:line="190" w:lineRule="exact"/>
        <w:rPr>
          <w:sz w:val="20"/>
          <w:szCs w:val="20"/>
          <w:color w:val="auto"/>
        </w:rPr>
      </w:pPr>
    </w:p>
    <w:p>
      <w:pPr>
        <w:ind w:right="60" w:firstLine="341"/>
        <w:spacing w:after="0" w:line="275"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in the field of pain and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know-how, and continuing technological innovation to develop and maintain a competitive position. We seek to protect our proprietary information, including our trade secrets and proprietary know-how,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color w:val="auto"/>
        </w:rPr>
        <w:t>shall be our exclusive property to the extent permitted by law. Further, we require confidentiality agreements from entities that receive our confidential data or materials.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28"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intend to build a commercial infrastructure in the United States in advance of anticipated drug approval of our product candidates. We believe that we can cost-effectively implement a targeted sales force required to commercialize our products, if approved, in the United States for the treatment of pain associated with CRPS, the pain of knee OA associated with BMLs, and CLBP associated with MCs. Support for this team will include sales management, internal sales support, distribution support, and an internal marketing group. Additional requisite capabilities will include focused management of key accounts such as managed care organizations, group purchasing organizations, and government accounts. We may seek co-promotion partners for our sales efforts to reach other United States physician groups, such as primary care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Scientific Advisors</w:t>
      </w:r>
    </w:p>
    <w:p>
      <w:pPr>
        <w:spacing w:after="0" w:line="228" w:lineRule="exact"/>
        <w:rPr>
          <w:sz w:val="20"/>
          <w:szCs w:val="20"/>
          <w:color w:val="auto"/>
        </w:rPr>
      </w:pPr>
    </w:p>
    <w:p>
      <w:pPr>
        <w:ind w:right="60" w:firstLine="341"/>
        <w:spacing w:after="0" w:line="301" w:lineRule="auto"/>
        <w:rPr>
          <w:sz w:val="20"/>
          <w:szCs w:val="20"/>
          <w:color w:val="auto"/>
        </w:rPr>
      </w:pPr>
      <w:r>
        <w:rPr>
          <w:rFonts w:ascii="Arial" w:cs="Arial" w:eastAsia="Arial" w:hAnsi="Arial"/>
          <w:sz w:val="15"/>
          <w:szCs w:val="15"/>
          <w:color w:val="auto"/>
        </w:rPr>
        <w:t>In March 2015, we formed a Depression Scientific Advisory Board, or SAB, composed of leading experts in the areas of depression, FDA regulations, and clinical trial design. These experts provide key scientific, clinical, and strategic guidance concerning our development programs in depression and other CNS disorders. The following members were appointed to our Depression SAB: Maurizio Fava, M.D., Director of the Clinical Research Program and Executive Vice Chair of the Department of Psychiatry at Massachusetts General Hospital, and Slater Family Professor of Psychiatry at Harvard Medical School; Thomas Laughren, M.D., retired Division Director of the FDA's Division of Psychiatry Products; and Dan Iosifescu, M.D., Director of the Mood and Anxiety Disorders Program and Associate Professor of Psychiatry and Neuroscience at the Icahn School of Medicine at Mount Sinai, and Consultant in Psychiatry at Massachusetts General Hospital. We also benefit from the guidance of our other scientific advisors in the areas of CRPS, knee OA, CLBP, and pain clinical trial design.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4"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pain and CNS markets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also compete with us in recruiting and retaining qualified scientific and management personnel and establishing clinical trial sites and patient registration for clinical trials, as well as in acquiring technologies complementary to, or necessary for, our programs. Small or early 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third-party payors.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AXS-02 Competition</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There are no drugs approved by the FDA or the EMA for the treatment of pain associated with CRPS, although various classes of pain medications, such as NSAIDs and opioids, are used off-label. We are aware of other companies working to develop therapeutics for the treatment of pain associated with CRPS, including Grunenthal GmbH and Thar Pharmaceuticals, Inc. Companies working to develop therapeutics for the treatment of pain associated with knee OA include Carbylan Therapeutics, Inc.; Flexion Therapeutics, Inc.; and Levolta Pharmaceuticals, Inc., which is developing an IV zoledronic acid product for the treatment of knee OA. We are aware of two companies attempting to develop oral dosage forms of zoledronic acid for various indications, Merrion Pharmaceuticals plc and Thar Pharmaceuticals.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AXS-05 Competition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There is one product approved for the treatment of TRD, Symbyax, which is marketed by Eli Lilly and Company. In addition, Otsuka Pharmaceutical Co. Ltd. is working to develop a combination of DM and quinidine for the treatment of TRD. We are aware of several other companies developing compounds for the treatment of TRD including Alkermes plc; Allergan plc; and Janssen Research &amp; Development, LLC. We are aware of other companies working to develop therapeutics for the treatment of agitation in patients with AD, including Otsuka Pharmaceutical Co. Ltd., which is working to develop a combination of DM and quinidine in this indication; and Transition Therapeutics Inc.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Manufacturing of drugs and product candidates, including AXS-02 and AXS-05, must comply with FDA current good manufacturing practice, or cGMP, regulations. AXS-02 and AXS-05 comprise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AXS-02 and AXS-05 active 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28"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marketing, import, and export of pharmaceutical products such as those we are developing. In addition, manufacturers of pharmaceutical products participating in Medicaid and Medicare are required to comply with mandatory price reporting, discount, and rebate requirements. The processes for obtaining regulatory approvals in the United States and in foreign countries, along with subsequent compliance with applicable statutes and regulations, require the expenditure of substantial time and financial resources.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83" w:lineRule="exact"/>
        <w:rPr>
          <w:sz w:val="20"/>
          <w:szCs w:val="20"/>
          <w:color w:val="auto"/>
        </w:rPr>
      </w:pPr>
    </w:p>
    <w:p>
      <w:pPr>
        <w:ind w:left="1060" w:right="28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or GLP, regulations;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proposed drug candidates for its intended use, performed in accordance with current Good Clinical Practices, or GCP;</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development of manufacturing processes to ensure the drug's identity, strength, quality, and purity;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submission to the FDA of an NDA;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250" w:lineRule="exact"/>
        <w:rPr>
          <w:rFonts w:ascii="Arial" w:cs="Arial" w:eastAsia="Arial" w:hAnsi="Arial"/>
          <w:sz w:val="17"/>
          <w:szCs w:val="17"/>
          <w:color w:val="auto"/>
        </w:rPr>
      </w:pPr>
    </w:p>
    <w:p>
      <w:pPr>
        <w:ind w:left="1060" w:right="340" w:hanging="531"/>
        <w:spacing w:after="0" w:line="322"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7" w:lineRule="exact"/>
        <w:rPr>
          <w:rFonts w:ascii="Arial" w:cs="Arial" w:eastAsia="Arial" w:hAnsi="Arial"/>
          <w:sz w:val="15"/>
          <w:szCs w:val="15"/>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for particular indications for use.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and IND Submission</w:t>
      </w:r>
    </w:p>
    <w:p>
      <w:pPr>
        <w:spacing w:after="0" w:line="224"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Some preclinical testing may continue even after the IND is submitted.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firstLine="332"/>
        <w:spacing w:after="0" w:line="287" w:lineRule="auto"/>
        <w:rPr>
          <w:sz w:val="20"/>
          <w:szCs w:val="20"/>
          <w:color w:val="auto"/>
        </w:rPr>
      </w:pPr>
      <w:r>
        <w:rPr>
          <w:rFonts w:ascii="Arial" w:cs="Arial" w:eastAsia="Arial" w:hAnsi="Arial"/>
          <w:sz w:val="16"/>
          <w:szCs w:val="16"/>
          <w:color w:val="auto"/>
        </w:rPr>
        <w:t>An IND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w:t>
      </w:r>
    </w:p>
    <w:p>
      <w:pPr>
        <w:spacing w:after="0" w:line="224"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9" w:lineRule="exact"/>
        <w:rPr>
          <w:sz w:val="20"/>
          <w:szCs w:val="20"/>
          <w:color w:val="auto"/>
        </w:rPr>
      </w:pPr>
    </w:p>
    <w:p>
      <w:pPr>
        <w:ind w:right="440" w:firstLine="341"/>
        <w:spacing w:after="0" w:line="282" w:lineRule="auto"/>
        <w:rPr>
          <w:sz w:val="20"/>
          <w:szCs w:val="20"/>
          <w:color w:val="auto"/>
        </w:rPr>
      </w:pPr>
      <w:r>
        <w:rPr>
          <w:rFonts w:ascii="Arial" w:cs="Arial" w:eastAsia="Arial" w:hAnsi="Arial"/>
          <w:sz w:val="17"/>
          <w:szCs w:val="17"/>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The data safety monitoring board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87"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general, for purposes of NDA approval, human clinical trials are typically conducted in three sequential phases, which may overlap or be combined.</w:t>
      </w:r>
    </w:p>
    <w:p>
      <w:pPr>
        <w:spacing w:after="0" w:line="249" w:lineRule="exact"/>
        <w:rPr>
          <w:sz w:val="20"/>
          <w:szCs w:val="20"/>
          <w:color w:val="auto"/>
        </w:rPr>
      </w:pPr>
    </w:p>
    <w:p>
      <w:pPr>
        <w:ind w:left="1060" w:right="4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—Studies are initially conducted in healthy human volunteers or subjects with the target disease or condition and test the product candidate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safety, dosage tolerance, structure-activity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spacing w:after="0" w:line="282" w:lineRule="auto"/>
        <w:rPr>
          <w:sz w:val="20"/>
          <w:szCs w:val="20"/>
          <w:color w:val="auto"/>
        </w:rPr>
      </w:pPr>
      <w:r>
        <w:rPr>
          <w:rFonts w:ascii="Arial" w:cs="Arial" w:eastAsia="Arial" w:hAnsi="Arial"/>
          <w:sz w:val="17"/>
          <w:szCs w:val="17"/>
          <w:color w:val="auto"/>
        </w:rPr>
        <w:t>relationships, mechanism of action, absorption, metabolism, distribution, and excretion. If possible, Phase 1 trials may also be used to gain an initial indication of product effectiveness.</w:t>
      </w:r>
    </w:p>
    <w:p>
      <w:pPr>
        <w:spacing w:after="0" w:line="183" w:lineRule="exact"/>
        <w:rPr>
          <w:sz w:val="20"/>
          <w:szCs w:val="20"/>
          <w:color w:val="auto"/>
        </w:rPr>
      </w:pPr>
    </w:p>
    <w:p>
      <w:pPr>
        <w:ind w:left="1060" w:hanging="531"/>
        <w:spacing w:after="0" w:line="315"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—Controlled studies are conducted in limited subject populations with a specified disease or condition to evaluate preliminary efficacy, identify</w:t>
      </w:r>
      <w:r>
        <w:rPr>
          <w:rFonts w:ascii="Arial" w:cs="Arial" w:eastAsia="Arial" w:hAnsi="Arial"/>
          <w:sz w:val="16"/>
          <w:szCs w:val="16"/>
          <w:i w:val="1"/>
          <w:iCs w:val="1"/>
          <w:color w:val="auto"/>
        </w:rPr>
        <w:t xml:space="preserve"> </w:t>
      </w:r>
      <w:r>
        <w:rPr>
          <w:rFonts w:ascii="Arial" w:cs="Arial" w:eastAsia="Arial" w:hAnsi="Arial"/>
          <w:sz w:val="16"/>
          <w:szCs w:val="16"/>
          <w:color w:val="auto"/>
        </w:rPr>
        <w:t>optimal dosages, dosage tolerance and schedule, possible adverse effects and safety risks, and expanded evidence of safety.</w:t>
      </w:r>
    </w:p>
    <w:p>
      <w:pPr>
        <w:spacing w:after="0" w:line="172" w:lineRule="exact"/>
        <w:rPr>
          <w:rFonts w:ascii="Arial" w:cs="Arial" w:eastAsia="Arial" w:hAnsi="Arial"/>
          <w:sz w:val="16"/>
          <w:szCs w:val="16"/>
          <w:color w:val="auto"/>
        </w:rPr>
      </w:pPr>
    </w:p>
    <w:p>
      <w:pPr>
        <w:ind w:left="1060" w:right="20" w:hanging="531"/>
        <w:spacing w:after="0" w:line="265"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These adequate and well-controlled clinical trials are undertaken in expanded subject populations, generally at geographically dispersed</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sites, to generate enough data to provide statistically significant evidence of clinical efficacy and safety of the product for approval, to establish the overall risk-benefit profile of the product, and to provide adequate information for the labeling of the product. Typically, two Phase 3 trials are required by the FDA for product approval.</w:t>
      </w:r>
    </w:p>
    <w:p>
      <w:pPr>
        <w:spacing w:after="0" w:line="185" w:lineRule="exact"/>
        <w:rPr>
          <w:sz w:val="20"/>
          <w:szCs w:val="20"/>
          <w:color w:val="auto"/>
        </w:rPr>
      </w:pPr>
    </w:p>
    <w:p>
      <w:pPr>
        <w:jc w:val="both"/>
        <w:ind w:right="360" w:firstLine="338"/>
        <w:spacing w:after="0" w:line="270" w:lineRule="auto"/>
        <w:rPr>
          <w:sz w:val="20"/>
          <w:szCs w:val="20"/>
          <w:color w:val="auto"/>
        </w:rPr>
      </w:pPr>
      <w:r>
        <w:rPr>
          <w:rFonts w:ascii="Arial" w:cs="Arial" w:eastAsia="Arial" w:hAnsi="Arial"/>
          <w:sz w:val="17"/>
          <w:szCs w:val="17"/>
          <w:color w:val="auto"/>
        </w:rPr>
        <w:t>The FDA may also require, or companies may conduct, additional clinical trials for the same indication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79"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69"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60" w:firstLine="341"/>
        <w:spacing w:after="0" w:line="279" w:lineRule="auto"/>
        <w:rPr>
          <w:sz w:val="20"/>
          <w:szCs w:val="20"/>
          <w:color w:val="auto"/>
        </w:rPr>
      </w:pPr>
      <w:r>
        <w:rPr>
          <w:rFonts w:ascii="Arial" w:cs="Arial" w:eastAsia="Arial" w:hAnsi="Arial"/>
          <w:sz w:val="16"/>
          <w:szCs w:val="16"/>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the clinical trial, other new scientific concerns regarding the product candidate's safety or efficacy arise, or if the sponsoring company fails to comply with the agreed upon clinical trial protocol.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NDA Submission, Review by the FDA, and Marketing Approval</w:t>
      </w:r>
    </w:p>
    <w:p>
      <w:pPr>
        <w:spacing w:after="0" w:line="224" w:lineRule="exact"/>
        <w:rPr>
          <w:sz w:val="20"/>
          <w:szCs w:val="20"/>
          <w:color w:val="auto"/>
        </w:rPr>
      </w:pPr>
    </w:p>
    <w:p>
      <w:pPr>
        <w:ind w:right="40" w:firstLine="332"/>
        <w:spacing w:after="0" w:line="260" w:lineRule="auto"/>
        <w:rPr>
          <w:sz w:val="20"/>
          <w:szCs w:val="20"/>
          <w:color w:val="auto"/>
        </w:rPr>
      </w:pPr>
      <w:r>
        <w:rPr>
          <w:rFonts w:ascii="Arial" w:cs="Arial" w:eastAsia="Arial" w:hAnsi="Arial"/>
          <w:sz w:val="17"/>
          <w:szCs w:val="17"/>
          <w:color w:val="auto"/>
        </w:rPr>
        <w:t>Assuming successful completion of the required clinical and preclinical testing, the results of product development, including chemistry, manufacture, and controls,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drugs, which are further described below, are also not subject to application user fees unless the application includes an indication other than the orphan indication.</w:t>
      </w:r>
    </w:p>
    <w:p>
      <w:pPr>
        <w:spacing w:after="0" w:line="192"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outweigh the risks of the drug.</w:t>
      </w:r>
    </w:p>
    <w:p>
      <w:pPr>
        <w:spacing w:after="0" w:line="179"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of the NDA.</w:t>
      </w:r>
    </w:p>
    <w:p>
      <w:pPr>
        <w:spacing w:after="0" w:line="18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Under the goals and policies agreed to by the FDA under the Prescription Drug User Fee Act, or PDUFA, the FDA has set the review goal of completing its review of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date. Such deadlines are referred to as the PDUFA date. The PDUFA date is only a goal, thus, the FDA does not always meet its PDUFA dates. The review process and the PDUFA date may also be extended if the FDA requests or the NDA sponsor otherwise provides substantial additional information or clarification regarding the submission.</w:t>
      </w:r>
    </w:p>
    <w:p>
      <w:pPr>
        <w:spacing w:after="0" w:line="159"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committee or provide in an action letter a summary for not referring it to an advisory committee. The FDA may also refer drugs to advisory committees when it is determined that an advisory committee's expertise would be beneficial to the regulatory decision-making process, including the evaluation of novel products and the use of new technology.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140" w:firstLine="338"/>
        <w:spacing w:after="0" w:line="262" w:lineRule="auto"/>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188"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185" w:lineRule="exact"/>
        <w:rPr>
          <w:sz w:val="20"/>
          <w:szCs w:val="20"/>
          <w:color w:val="auto"/>
        </w:rPr>
      </w:pPr>
    </w:p>
    <w:p>
      <w:pPr>
        <w:ind w:right="60" w:firstLine="332"/>
        <w:spacing w:after="0" w:line="297" w:lineRule="auto"/>
        <w:rPr>
          <w:sz w:val="20"/>
          <w:szCs w:val="20"/>
          <w:color w:val="auto"/>
        </w:rPr>
      </w:pPr>
      <w:r>
        <w:rPr>
          <w:rFonts w:ascii="Arial" w:cs="Arial" w:eastAsia="Arial" w:hAnsi="Arial"/>
          <w:sz w:val="15"/>
          <w:szCs w:val="15"/>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resubmissions in either two or six months of the resubmission date, depending on the kind of resubmission.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 For some products, which are controlled substances, an additional step of Drug Enforcement Agency, or DEA, review and scheduling is required.</w:t>
      </w:r>
    </w:p>
    <w:p>
      <w:pPr>
        <w:spacing w:after="0" w:line="169"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firstLine="332"/>
        <w:spacing w:after="0" w:line="265"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505(b)(2) Approval Process</w:t>
      </w:r>
    </w:p>
    <w:p>
      <w:pPr>
        <w:spacing w:after="0" w:line="224"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Hatch-Waxman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Orange Book Listing</w:t>
      </w:r>
    </w:p>
    <w:p>
      <w:pPr>
        <w:spacing w:after="0" w:line="224" w:lineRule="exact"/>
        <w:rPr>
          <w:sz w:val="20"/>
          <w:szCs w:val="20"/>
          <w:color w:val="auto"/>
        </w:rPr>
      </w:pPr>
    </w:p>
    <w:p>
      <w:pPr>
        <w:ind w:right="20" w:firstLine="341"/>
        <w:spacing w:after="0" w:line="277" w:lineRule="auto"/>
        <w:rPr>
          <w:sz w:val="20"/>
          <w:szCs w:val="20"/>
          <w:color w:val="auto"/>
        </w:rPr>
      </w:pPr>
      <w:r>
        <w:rPr>
          <w:rFonts w:ascii="Arial" w:cs="Arial" w:eastAsia="Arial" w:hAnsi="Arial"/>
          <w:sz w:val="16"/>
          <w:szCs w:val="16"/>
          <w:color w:val="auto"/>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Limited changes must be pre-approved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color w:val="auto"/>
        </w:rPr>
        <w:t>,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81"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 xml:space="preserve">In seeking approval for a drug through an NDA, including a 505(b)(2) NDA, applicants are required to list with the FDA certain patents whose claims cover the applicant's product and method of use. Upon approval of an NDA, each of the patents listed in the application for the drug is then published in </w:t>
      </w:r>
      <w:r>
        <w:rPr>
          <w:rFonts w:ascii="Arial" w:cs="Arial" w:eastAsia="Arial" w:hAnsi="Arial"/>
          <w:sz w:val="17"/>
          <w:szCs w:val="17"/>
          <w:i w:val="1"/>
          <w:iCs w:val="1"/>
          <w:color w:val="auto"/>
        </w:rPr>
        <w:t>Approved Drug</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with Therapeutic Equivalence Evaluations</w:t>
      </w:r>
      <w:r>
        <w:rPr>
          <w:rFonts w:ascii="Arial" w:cs="Arial" w:eastAsia="Arial" w:hAnsi="Arial"/>
          <w:sz w:val="17"/>
          <w:szCs w:val="17"/>
          <w:color w:val="auto"/>
        </w:rPr>
        <w:t>, also known as the Orange Book. These products may be cited by potential competitors in support of approval of</w:t>
      </w:r>
      <w:r>
        <w:rPr>
          <w:rFonts w:ascii="Arial" w:cs="Arial" w:eastAsia="Arial" w:hAnsi="Arial"/>
          <w:sz w:val="17"/>
          <w:szCs w:val="17"/>
          <w:i w:val="1"/>
          <w:iCs w:val="1"/>
          <w:color w:val="auto"/>
        </w:rPr>
        <w:t xml:space="preserve"> </w:t>
      </w:r>
      <w:r>
        <w:rPr>
          <w:rFonts w:ascii="Arial" w:cs="Arial" w:eastAsia="Arial" w:hAnsi="Arial"/>
          <w:sz w:val="17"/>
          <w:szCs w:val="17"/>
          <w:color w:val="auto"/>
        </w:rPr>
        <w:t>an ANDA or 505(b)(2) NDA.</w:t>
      </w:r>
    </w:p>
    <w:p>
      <w:pPr>
        <w:spacing w:after="0" w:line="185"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Any applicant who files an abbreviated new drug application, or ANDA, seeking approval of a generic equivalent version of a drug listed in the Orange Book or a 505(b)(2) NDA referencing a drug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listed in the Orange Book must make patent certifications to the FDA that (1) no patent information on the drug product that is the subject of the application has been submitted to the FDA; (2) the listed patent has expired; (3) the date on which the listed patent has expired and approval will not be sought until after the patent expiration; or (4) the listed patent is invalid or will not be infringed upon by the manufacture, use, or sale of the drug product for which the application is submitted. The last certification is known as a paragraph IV certification. Generally, the ANDA or 505(b)(2) NDA cannot be approved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will not be approved until all of the listed patents claiming the referenced product have expired.</w:t>
      </w:r>
    </w:p>
    <w:p>
      <w:pPr>
        <w:spacing w:after="0" w:line="175"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approving the ANDA or 505(b)(2) application until the earlier of 30 months from the date of the lawsuit, expiration of the patent, settlement of the lawsuit, or a decision in the infringement case that is favorable to the applicant or such shorter or longer period as may be ordered by a court. This prohibition is generally referred to as the 30-month stay.</w:t>
      </w:r>
    </w:p>
    <w:p>
      <w:pPr>
        <w:spacing w:after="0" w:line="176" w:lineRule="exact"/>
        <w:rPr>
          <w:sz w:val="20"/>
          <w:szCs w:val="20"/>
          <w:color w:val="auto"/>
        </w:rPr>
      </w:pPr>
    </w:p>
    <w:p>
      <w:pPr>
        <w:ind w:right="80" w:firstLine="341"/>
        <w:spacing w:after="0" w:line="322" w:lineRule="auto"/>
        <w:rPr>
          <w:sz w:val="20"/>
          <w:szCs w:val="20"/>
          <w:color w:val="auto"/>
        </w:rPr>
      </w:pPr>
      <w:r>
        <w:rPr>
          <w:rFonts w:ascii="Arial" w:cs="Arial" w:eastAsia="Arial" w:hAnsi="Arial"/>
          <w:sz w:val="15"/>
          <w:szCs w:val="15"/>
          <w:color w:val="auto"/>
        </w:rPr>
        <w:t>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Exclusivity</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The FDA provides periods of regulatory exclusivity, which provides the holder of an approved NDA limited protection from new competition in the marketplace for the innovation represented by its approved drug.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and approve an ANDA or a 505(b)(2) NDA submitted by another company that contains the previously approved active moiety. An ANDA or 505(b)(2) application, however, may be submitted one year before NCE exclusivity expires if a paragraph IV certification is filed.</w:t>
      </w:r>
    </w:p>
    <w:p>
      <w:pPr>
        <w:spacing w:after="0" w:line="187"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or indication for a previously approved product, if one or more new clinical studies, other than bioavailability or bioequivalence studies, was essential to the approval of the application and was conducted or sponsored by the applicant. This three-year exclusivity period protects against FDA approval of ANDAs and 505(b)(2) NDAs for the condition of the new drug's approval. As a general matter, the three year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exclusivity does not prohibit the FDA from approving ANDAs or 505(b)(2) NDAs for generic versions of the original, unmodified drug product. Five-year and three-year exclusivity will also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 Moreover, even if a product receives a period of exclusivity, a physician may prescribe the reference listed drug or a generic version of the reference listed drug off-label for the same use as the newly approved drug.</w:t>
      </w:r>
    </w:p>
    <w:p>
      <w:pPr>
        <w:spacing w:after="0" w:line="187"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cover the drug are extended by six months. This is not a patent term extension, but it effectively extends the regulatory period during which the FDA cannot approve an ANDA or 505(b)(2) application owing to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92" w:lineRule="exact"/>
        <w:rPr>
          <w:sz w:val="20"/>
          <w:szCs w:val="20"/>
          <w:color w:val="auto"/>
        </w:rPr>
      </w:pPr>
    </w:p>
    <w:p>
      <w:pPr>
        <w:ind w:right="60" w:firstLine="338"/>
        <w:spacing w:after="0" w:line="299" w:lineRule="auto"/>
        <w:rPr>
          <w:sz w:val="20"/>
          <w:szCs w:val="20"/>
          <w:color w:val="auto"/>
        </w:rPr>
      </w:pPr>
      <w:r>
        <w:rPr>
          <w:rFonts w:ascii="Arial" w:cs="Arial" w:eastAsia="Arial" w:hAnsi="Arial"/>
          <w:sz w:val="15"/>
          <w:szCs w:val="15"/>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Additionally, sponsors must present a plausible hypothesis for clinical superiority to obtain orphan designation if there is a drug already approved by the FDA that is intended for the same indication and that is considered by the FDA to be the same drug as the already approved drug. This hypothesis must be demonstrated to obtain orphan drug exclusivity. If granted, prior to product approval, Orphan Drug Designation entitles a party to financial incentives such as opportunities for grant funding towards clinical study costs, tax advantages, and user-fee waivers. In addition,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FDA Expedited Review and Approval Programs</w:t>
      </w:r>
    </w:p>
    <w:p>
      <w:pPr>
        <w:spacing w:after="0" w:line="224" w:lineRule="exact"/>
        <w:rPr>
          <w:sz w:val="20"/>
          <w:szCs w:val="20"/>
          <w:color w:val="auto"/>
        </w:rPr>
      </w:pPr>
    </w:p>
    <w:p>
      <w:pPr>
        <w:jc w:val="both"/>
        <w:ind w:right="340" w:firstLine="338"/>
        <w:spacing w:after="0" w:line="265" w:lineRule="auto"/>
        <w:rPr>
          <w:sz w:val="20"/>
          <w:szCs w:val="20"/>
          <w:color w:val="auto"/>
        </w:rPr>
      </w:pPr>
      <w:r>
        <w:rPr>
          <w:rFonts w:ascii="Arial" w:cs="Arial" w:eastAsia="Arial" w:hAnsi="Arial"/>
          <w:sz w:val="17"/>
          <w:szCs w:val="17"/>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5"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 In some cases, a Fast Track product may be eligible for accelerated approval or priority review.</w:t>
      </w:r>
    </w:p>
    <w:p>
      <w:pPr>
        <w:spacing w:after="0" w:line="185" w:lineRule="exact"/>
        <w:rPr>
          <w:sz w:val="20"/>
          <w:szCs w:val="20"/>
          <w:color w:val="auto"/>
        </w:rPr>
      </w:pPr>
    </w:p>
    <w:p>
      <w:pPr>
        <w:ind w:right="160" w:firstLine="338"/>
        <w:spacing w:after="0" w:line="311" w:lineRule="auto"/>
        <w:rPr>
          <w:sz w:val="20"/>
          <w:szCs w:val="20"/>
          <w:color w:val="auto"/>
        </w:rPr>
      </w:pPr>
      <w:r>
        <w:rPr>
          <w:rFonts w:ascii="Arial" w:cs="Arial" w:eastAsia="Arial" w:hAnsi="Arial"/>
          <w:sz w:val="15"/>
          <w:szCs w:val="15"/>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means that the goal for the FDA is to review an application within six months, rather than the standard review of ten months under current PDUFA guidelines, of the 60-day filing date for NMEs and within six months of the submission date for non-NMEs. Products that are eligible for Fast Track designation may also be considered appropriate to receive a priority review.</w:t>
      </w:r>
    </w:p>
    <w:p>
      <w:pPr>
        <w:spacing w:after="0" w:line="155"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cross-disciplinary review.</w:t>
      </w:r>
    </w:p>
    <w:p>
      <w:pPr>
        <w:spacing w:after="0" w:line="190"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4"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Any product manufactured or distributed pursuant to FDA approvals are subject to pervasive and continuing regulation by the FDA, including, among other things, manufacturing, recordkeeping, and reporting requirements, including adverse experience reporting, periodic reporting, product sampling and distribution requirements, advertising, promotion requirements, drug shortage reporting, complying with certain electronic records and signature requirements, and compliance with any post-approval requirements imposed as a condition of approval, such as Phase 4 clinical trials, REMS, and surveillance to assess safety and effectiveness after commercialization.</w:t>
      </w:r>
    </w:p>
    <w:p>
      <w:pPr>
        <w:spacing w:after="0" w:line="187"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In addition, drug manufacturers and other entities involved in the manufacture and distribution of approved drugs are required to register their establishments with the FDA and certain state agencies, list their drug products, and are subject to periodic announced and unannounced inspections by the FDA and these state agencies for compliance with cGMP and other requirements, which impose certain procedural and documentation requirements upon the company and third-party manufacturers.</w:t>
      </w:r>
    </w:p>
    <w:p>
      <w:pPr>
        <w:spacing w:after="0" w:line="188"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upon the sponsor and any third-party manufacturers that the sponsor may decide to use. Accordingly, manufacturers must continue to expend time, money, and effort in the area of production and quality control to maintain cGMP compliance.</w:t>
      </w:r>
    </w:p>
    <w:p>
      <w:pPr>
        <w:spacing w:after="0" w:line="170"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w:t>
      </w:r>
    </w:p>
    <w:p>
      <w:pPr>
        <w:spacing w:after="0" w:line="187"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63"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Moreover, the recently enacted Drug Quality and Security Act, or DQSA, imposes new obligations on manufacturers of pharmaceutical products related to product tracking and tracing. Among the requirements of this new legislation, manufacturers will be required to provide certain information regarding the drug products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77"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result in adverse publicity, among other adverse consequences.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Fraud and Abuse, Data Privacy and Security, and Transparency Laws and Regulations</w:t>
      </w:r>
    </w:p>
    <w:p>
      <w:pPr>
        <w:spacing w:after="0" w:line="224"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w:t>
      </w:r>
    </w:p>
    <w:p>
      <w:pPr>
        <w:spacing w:after="0" w:line="188" w:lineRule="exact"/>
        <w:rPr>
          <w:sz w:val="20"/>
          <w:szCs w:val="20"/>
          <w:color w:val="auto"/>
        </w:rPr>
      </w:pPr>
    </w:p>
    <w:p>
      <w:pPr>
        <w:ind w:right="20" w:firstLine="338"/>
        <w:spacing w:after="0" w:line="276"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or ACA, of 2010, as amended,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82"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drug's label, and allegations as to misrepresentations with respect to the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79" w:lineRule="exact"/>
        <w:rPr>
          <w:sz w:val="20"/>
          <w:szCs w:val="20"/>
          <w:color w:val="auto"/>
        </w:rPr>
      </w:pPr>
    </w:p>
    <w:p>
      <w:pPr>
        <w:ind w:right="220" w:firstLine="338"/>
        <w:spacing w:after="0" w:line="294" w:lineRule="auto"/>
        <w:rPr>
          <w:sz w:val="20"/>
          <w:szCs w:val="20"/>
          <w:color w:val="auto"/>
        </w:rPr>
      </w:pPr>
      <w:r>
        <w:rPr>
          <w:rFonts w:ascii="Arial" w:cs="Arial" w:eastAsia="Arial" w:hAnsi="Arial"/>
          <w:sz w:val="16"/>
          <w:szCs w:val="16"/>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63" w:lineRule="exact"/>
        <w:rPr>
          <w:sz w:val="20"/>
          <w:szCs w:val="20"/>
          <w:color w:val="auto"/>
        </w:rPr>
      </w:pPr>
    </w:p>
    <w:p>
      <w:pPr>
        <w:ind w:right="100" w:firstLine="341"/>
        <w:spacing w:after="0" w:line="278" w:lineRule="auto"/>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of these price reporting requirements create risk of submitting false information to the government, and potential FCA liability.</w:t>
      </w:r>
    </w:p>
    <w:p>
      <w:pPr>
        <w:spacing w:after="0" w:line="176"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This necessitates compliance with applicable federal procure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69" w:lineRule="exact"/>
        <w:rPr>
          <w:sz w:val="20"/>
          <w:szCs w:val="20"/>
          <w:color w:val="auto"/>
        </w:rPr>
      </w:pPr>
    </w:p>
    <w:p>
      <w:pPr>
        <w:ind w:right="160" w:firstLine="338"/>
        <w:spacing w:after="0" w:line="277" w:lineRule="auto"/>
        <w:rPr>
          <w:sz w:val="20"/>
          <w:szCs w:val="20"/>
          <w:color w:val="auto"/>
        </w:rPr>
      </w:pPr>
      <w:r>
        <w:rPr>
          <w:rFonts w:ascii="Arial" w:cs="Arial" w:eastAsia="Arial" w:hAnsi="Arial"/>
          <w:sz w:val="16"/>
          <w:szCs w:val="16"/>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 In addition, many states have similar fraud and abuse statutes or regulations that apply to items and services reimbursed under Medicaid and other state programs, or, in several states, apply regardless of the payor. In addition, there has been a recent trend of increased federal and state regulation of payments made to physicians and other health care providers. The ACA created new federal requirements for reporting, by applicable manufacturers of covered drugs, payments and other transfers of value to physicians and teaching hospitals, and ownership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w:t>
      </w:r>
    </w:p>
    <w:p>
      <w:pPr>
        <w:spacing w:after="0" w:line="187"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imposes certain requirements relating to the privacy, security, and transmission of individually identifiable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6"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third-party payor, including commercial insurers. Many of these laws contain ambiguities as to what is required in order to comply with such laws. Certain state laws also regulate manufacturers' use of prescriber-identifiable data. These laws may affect our future sales, marketing, and other promotional activities by imposing administrative and compliance burdens. In addition, given the lack of clarity with respect to these laws and their implementation, our reporting actions once we commercialize could be subject to the penalty provisions of the pertinent state and federal authorities.</w:t>
      </w:r>
    </w:p>
    <w:p>
      <w:pPr>
        <w:spacing w:after="0" w:line="174" w:lineRule="exact"/>
        <w:rPr>
          <w:sz w:val="20"/>
          <w:szCs w:val="20"/>
          <w:color w:val="auto"/>
        </w:rPr>
      </w:pPr>
    </w:p>
    <w:p>
      <w:pPr>
        <w:ind w:right="80" w:firstLine="341"/>
        <w:spacing w:after="0" w:line="261" w:lineRule="auto"/>
        <w:rPr>
          <w:sz w:val="20"/>
          <w:szCs w:val="20"/>
          <w:color w:val="auto"/>
        </w:rPr>
      </w:pPr>
      <w:r>
        <w:rPr>
          <w:rFonts w:ascii="Arial" w:cs="Arial" w:eastAsia="Arial" w:hAnsi="Arial"/>
          <w:sz w:val="17"/>
          <w:szCs w:val="17"/>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False Claims Act if the violations are alleged to have caused the government to pay a false or fraudulent claim.</w:t>
      </w:r>
    </w:p>
    <w:p>
      <w:pPr>
        <w:spacing w:after="0" w:line="190"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 Generally</w:t>
      </w:r>
    </w:p>
    <w:p>
      <w:pPr>
        <w:spacing w:after="0" w:line="224"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drugs they will pay for and establish reimbursement levels for healthcare.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165"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These restrictions and limitations influence the purchase of healthcare services and products. Third-party payors are developing increasingly sophisticated methods of controlling healthcare costs. Third-party payors may limit coverage to specific drug products on an approved list, or formulary, which might not include all of the FDA-approved drug products for a particular indication.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manufacturers frequently rebate a portion of the prescription price to the third-party payors.</w:t>
      </w:r>
    </w:p>
    <w:p>
      <w:pPr>
        <w:spacing w:after="0" w:line="176"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7"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70"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63"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As a result of the above,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or the rebate percentages required to secure coverage may not yield an adequate margin over cost.</w:t>
      </w:r>
    </w:p>
    <w:p>
      <w:pPr>
        <w:spacing w:after="0" w:line="179"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224" w:lineRule="exact"/>
        <w:rPr>
          <w:sz w:val="20"/>
          <w:szCs w:val="20"/>
          <w:color w:val="auto"/>
        </w:rPr>
      </w:pPr>
    </w:p>
    <w:p>
      <w:pPr>
        <w:ind w:right="240" w:firstLine="338"/>
        <w:spacing w:after="0" w:line="311" w:lineRule="auto"/>
        <w:rPr>
          <w:sz w:val="20"/>
          <w:szCs w:val="20"/>
          <w:color w:val="auto"/>
        </w:rPr>
      </w:pPr>
      <w:r>
        <w:rPr>
          <w:rFonts w:ascii="Arial" w:cs="Arial" w:eastAsia="Arial" w:hAnsi="Arial"/>
          <w:sz w:val="15"/>
          <w:szCs w:val="15"/>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5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For example, the Medicare Prescription Drug, Improvement, and Modernization Act of 2003, or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175"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payors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77"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Moreover, as enacted, the ACA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also expanded the 340B drug discount program that mandates discounts to certain hospitals, community centers, and other qualifying providers. Effective October 1, 2010, the Health Care Reform Law revised the definition of "average manufacturer price (AMP)" for reporting purposes, which generally increased the amount of Medicaid drug rebates to states. Further, the ACA requires manufacturers of NDA drugs, including 505(b)</w:t>
      </w:r>
    </w:p>
    <w:p>
      <w:pPr>
        <w:spacing w:after="0" w:line="2" w:lineRule="exact"/>
        <w:rPr>
          <w:sz w:val="20"/>
          <w:szCs w:val="20"/>
          <w:color w:val="auto"/>
        </w:rPr>
      </w:pPr>
    </w:p>
    <w:p>
      <w:pPr>
        <w:ind w:right="280" w:firstLine="5"/>
        <w:spacing w:after="0" w:line="280" w:lineRule="auto"/>
        <w:tabs>
          <w:tab w:leader="none" w:pos="2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drugs, to pay 50% of the pharmacy charge to Medicare patients while they are in the coverage gap. Finally, beginning in 2011, the ACA imposes a significant annual fee on companies that manufacture or import branded prescription drug products. Substantial new provisions affecting compliance have also been enacted, which may require us to modify our business practices with healthcare practitioners. Although we will not know the full effects of the ACA until applicable federal and state agencies issue regulations or guidance under the law, it is likely that pressure on pharmaceutical pricing, especially under the Medicare program, will continue, and may also increase our regulatory burdens and operating costs. Moreover, in the coming years, additional changes could be made to governmental healthcare programs that could significantly impact the success of our product candidates.</w:t>
      </w:r>
    </w:p>
    <w:p>
      <w:pPr>
        <w:spacing w:after="0" w:line="174"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w:t>
      </w:r>
    </w:p>
    <w:p>
      <w:pPr>
        <w:spacing w:after="0" w:line="179"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Some third-party payors also require pre-approval of coverage for new or innovative devices or drug therapies before they will reimburse healthcare providers that use such therapies. While we cannot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70" w:lineRule="exact"/>
        <w:rPr>
          <w:sz w:val="20"/>
          <w:szCs w:val="20"/>
          <w:color w:val="auto"/>
        </w:rPr>
      </w:pPr>
    </w:p>
    <w:p>
      <w:pPr>
        <w:ind w:right="20" w:firstLine="341"/>
        <w:spacing w:after="0" w:line="277"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President Obama signed into law the Budget Control Act of 2011, as amended, which, among other things, created the Joint Select Committee on Deficit Reduction to 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These reductions include aggregate reductions to Medicare payments to providers of up to 2% per fiscal year, which went into effect in April 2013 and will remain in effect through 2024 unless additional Congressional action is taken. Under the Budget Control Act of 2011, as amended, federal budget "sequestration" Medicare payment reductions became effective on April 1, 2013 and automatically reduced payments under various government programs, including, for example, certain Medicare provider and supplier reimbursement payments. In January 2013, President Obama signed into law the American Taxpayer Relief Act of 2012, which, among other things, further reduced Medicare payments to several categories of healthcare providers and increased the statute of limitations period for the government to recover overpayments to providers from three to five years. 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further limit the prices we are able to charge, or the amounts of reimbursement available, for our product candidates once they are approved.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224"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224"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or CTA,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color w:val="auto"/>
        </w:rPr>
        <w:t>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post-approval regulatory requirements, such as those regarding product manufacture, marketing, or distribution would apply to any product that is approved outside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firstLine="332"/>
        <w:spacing w:after="0" w:line="352" w:lineRule="auto"/>
        <w:rPr>
          <w:sz w:val="20"/>
          <w:szCs w:val="20"/>
          <w:color w:val="auto"/>
        </w:rPr>
      </w:pPr>
      <w:r>
        <w:rPr>
          <w:rFonts w:ascii="Arial" w:cs="Arial" w:eastAsia="Arial" w:hAnsi="Arial"/>
          <w:sz w:val="15"/>
          <w:szCs w:val="15"/>
          <w:color w:val="auto"/>
        </w:rPr>
        <w:t>As of August 25, 2015, we had 5 full-time employees and 3 key consultants, three of whom hold Ph.D. or M.D. degrees. None of our employees is represented by a collective bargaining agreement and we have never experienced any work stoppage. We believe that we maintain good relations with our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Our offices are located in New York, New York. We currently have a month-to-month agreement for office space that automatically renews for successive monthly periods, unless we provide notice of non-renewal.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not currently a party to any legal proceedings. We may become involved in various claims and legal proceedings in the future.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our executive officers, key personnel and directors as of August 25, 2015.</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gridSpan w:val="2"/>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Position(s)</w:t>
            </w:r>
          </w:p>
        </w:tc>
        <w:tc>
          <w:tcPr>
            <w:tcW w:w="4920" w:type="dxa"/>
            <w:vAlign w:val="bottom"/>
          </w:tcPr>
          <w:p>
            <w:pPr>
              <w:spacing w:after="0"/>
              <w:rPr>
                <w:sz w:val="13"/>
                <w:szCs w:val="13"/>
                <w:color w:val="auto"/>
              </w:rPr>
            </w:pPr>
          </w:p>
        </w:tc>
      </w:tr>
      <w:tr>
        <w:trPr>
          <w:trHeight w:val="203"/>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Executive Officers: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17"/>
                <w:szCs w:val="17"/>
                <w:color w:val="auto"/>
              </w:rPr>
            </w:pPr>
          </w:p>
        </w:tc>
      </w:tr>
      <w:tr>
        <w:trPr>
          <w:trHeight w:val="210"/>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Herriot Tabuteau,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5580" w:type="dxa"/>
            <w:vAlign w:val="bottom"/>
            <w:gridSpan w:val="2"/>
          </w:tcPr>
          <w:p>
            <w:pPr>
              <w:spacing w:after="0"/>
              <w:rPr>
                <w:sz w:val="20"/>
                <w:szCs w:val="20"/>
                <w:color w:val="auto"/>
              </w:rPr>
            </w:pPr>
            <w:r>
              <w:rPr>
                <w:rFonts w:ascii="Arial" w:cs="Arial" w:eastAsia="Arial" w:hAnsi="Arial"/>
                <w:sz w:val="17"/>
                <w:szCs w:val="17"/>
                <w:color w:val="auto"/>
              </w:rPr>
              <w:t>Chief Executive Officer and Chairman of the Board</w:t>
            </w:r>
          </w:p>
        </w:tc>
      </w:tr>
      <w:tr>
        <w:trPr>
          <w:trHeight w:val="210"/>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Randall Kaye, M.D.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Medical Officer</w:t>
            </w:r>
          </w:p>
        </w:tc>
      </w:tr>
      <w:tr>
        <w:trPr>
          <w:trHeight w:val="210"/>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Constance Ames</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5580" w:type="dxa"/>
            <w:vAlign w:val="bottom"/>
            <w:gridSpan w:val="2"/>
          </w:tcPr>
          <w:p>
            <w:pPr>
              <w:spacing w:after="0"/>
              <w:rPr>
                <w:sz w:val="20"/>
                <w:szCs w:val="20"/>
                <w:color w:val="auto"/>
              </w:rPr>
            </w:pPr>
            <w:r>
              <w:rPr>
                <w:rFonts w:ascii="Arial" w:cs="Arial" w:eastAsia="Arial" w:hAnsi="Arial"/>
                <w:sz w:val="17"/>
                <w:szCs w:val="17"/>
                <w:color w:val="auto"/>
              </w:rPr>
              <w:t>Vice President, Finance</w:t>
            </w:r>
          </w:p>
        </w:tc>
      </w:tr>
      <w:tr>
        <w:trPr>
          <w:trHeight w:val="210"/>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Key Personnel: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r>
      <w:tr>
        <w:trPr>
          <w:trHeight w:val="210"/>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Robert Niecestro, Ph.D.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5580" w:type="dxa"/>
            <w:vAlign w:val="bottom"/>
            <w:gridSpan w:val="2"/>
          </w:tcPr>
          <w:p>
            <w:pPr>
              <w:spacing w:after="0"/>
              <w:rPr>
                <w:sz w:val="20"/>
                <w:szCs w:val="20"/>
                <w:color w:val="auto"/>
              </w:rPr>
            </w:pPr>
            <w:r>
              <w:rPr>
                <w:rFonts w:ascii="Arial" w:cs="Arial" w:eastAsia="Arial" w:hAnsi="Arial"/>
                <w:sz w:val="17"/>
                <w:szCs w:val="17"/>
                <w:color w:val="auto"/>
              </w:rPr>
              <w:t>Head of Regulatory</w:t>
            </w:r>
          </w:p>
        </w:tc>
      </w:tr>
      <w:tr>
        <w:trPr>
          <w:trHeight w:val="210"/>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Mark Jacobson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Director of Operations</w:t>
            </w:r>
          </w:p>
        </w:tc>
      </w:tr>
      <w:tr>
        <w:trPr>
          <w:trHeight w:val="210"/>
        </w:trPr>
        <w:tc>
          <w:tcPr>
            <w:tcW w:w="302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auto"/>
              </w:rPr>
              <w:t>Non-Employee Directors: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49"/>
        </w:trPr>
        <w:tc>
          <w:tcPr>
            <w:tcW w:w="30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Roger Jeffs, Ph.D</w:t>
            </w:r>
            <w:r>
              <w:rPr>
                <w:rFonts w:ascii="Arial" w:cs="Arial" w:eastAsia="Arial" w:hAnsi="Arial"/>
                <w:sz w:val="28"/>
                <w:szCs w:val="28"/>
                <w:color w:val="auto"/>
                <w:vertAlign w:val="superscript"/>
              </w:rPr>
              <w:t>(1)(2)(3)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302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Mark Coleman, M.D.</w:t>
            </w:r>
            <w:r>
              <w:rPr>
                <w:rFonts w:ascii="Arial" w:cs="Arial" w:eastAsia="Arial" w:hAnsi="Arial"/>
                <w:sz w:val="28"/>
                <w:szCs w:val="28"/>
                <w:color w:val="auto"/>
                <w:vertAlign w:val="superscript"/>
              </w:rPr>
              <w:t>(2)(3)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558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49"/>
        </w:trPr>
        <w:tc>
          <w:tcPr>
            <w:tcW w:w="30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28"/>
                <w:szCs w:val="28"/>
                <w:color w:val="auto"/>
                <w:vertAlign w:val="subscript"/>
              </w:rPr>
              <w:t>Mark Saad</w:t>
            </w:r>
            <w:r>
              <w:rPr>
                <w:rFonts w:ascii="Arial" w:cs="Arial" w:eastAsia="Arial" w:hAnsi="Arial"/>
                <w:sz w:val="13"/>
                <w:szCs w:val="13"/>
                <w:color w:val="auto"/>
              </w:rPr>
              <w:t>(1)(2)(3)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05"/>
        </w:trPr>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92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40"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7"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i w:val="1"/>
          <w:iCs w:val="1"/>
          <w:color w:val="auto"/>
        </w:rPr>
        <w:t xml:space="preserve">Herriot Tabuteau, M.D. </w:t>
      </w:r>
      <w:r>
        <w:rPr>
          <w:rFonts w:ascii="Arial" w:cs="Arial" w:eastAsia="Arial" w:hAnsi="Arial"/>
          <w:sz w:val="15"/>
          <w:szCs w:val="15"/>
          <w:color w:val="auto"/>
        </w:rPr>
        <w:t>has served as our founder, Chief Executive Officer, and Chairman of our board of directors since our founding in January 2012. He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also the founder of Antecip Capital LLC (formerly Versant Capital Management LLC), one of our principal stockholders, for which Dr. Tabuteau has been the managing member since 2003. Dr. Tabuteau is also the managing member of Antecip Bioventures II LLC. Prior to founding our company, Dr. Tabuteau was a Senior Analyst and Partner at Healthco/S.A.C. Capital where he was responsible for the biotechnology, genomics and instrumentation portfolios. Previously, Dr. Tabuteau was the healthcare analyst at Kingdon Capital. Dr. Tabuteau began his professional career as an investment banking analyst at Goldman Sachs and subsequently was a Senior Research Analyst at Banc of America Securities covering the hospital supplies sector. Dr. Tabuteau earned his M.D. from Yale University School of Medicine and his Bachelor of Arts in molecular biology and biochemistry from Wesleyan University. We believe that Dr. Tabuteau's medical background, coupled with his extensive investment experience in the healthcare field, make him uniquely suited to guide the Board in strategic planning, operational, and commercial matters.</w:t>
      </w:r>
    </w:p>
    <w:p>
      <w:pPr>
        <w:spacing w:after="0" w:line="163"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b w:val="1"/>
          <w:bCs w:val="1"/>
          <w:i w:val="1"/>
          <w:iCs w:val="1"/>
          <w:color w:val="auto"/>
        </w:rPr>
        <w:t xml:space="preserve">Randall Kaye, M.D. </w:t>
      </w:r>
      <w:r>
        <w:rPr>
          <w:rFonts w:ascii="Arial" w:cs="Arial" w:eastAsia="Arial" w:hAnsi="Arial"/>
          <w:sz w:val="16"/>
          <w:szCs w:val="16"/>
          <w:color w:val="auto"/>
        </w:rPr>
        <w:t>has served as our Chief Medical Officer since April 2015, and previously served as our Vice President, Clinical Affairs since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Prior to joining us, Dr. Kaye was at Avanir Pharmaceuticals, Inc., a CNS-focused company, from 2006 to 2014, where he served in a variety of roles, including Chief Medical Officer, and Senior Vice President, Clinical Research and Medical Affairs. While at Avanir, Dr. Kaye provided leadership and vision to the clinical, regulatory, and medical affairs areas, and supported the commercialization of new products from a medical, scientific, regulatory, technical, and quality perspective. Immediately prior to joining Avanir, Dr. Kaye was the Vice President of Medical Affairs for Scios Inc., a cardiovascular division of Johnson &amp; Johnson. Prior to joining Johnson &amp; Johnson, Dr. Kaye recruited and managed the medical affairs department for InterMune Inc., a specialty company focusing on Idiopathic Pulmonary Fibrosis. Previously, Dr. Kaye served for nearly a decade in a variety of medical affairs and medical marketing positions for Pfizer Inc. Dr. Kaye earned his Doctor of Medicine, Masters in Public Health, and Bachelor of Science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degrees at George Washington University in Washington, D.C. Dr. Kaye trained in Pediatrics at the University of Massachusetts Medical School and was a Research Fellow in Allergy and Immunology at Harvard Medical School.</w:t>
      </w:r>
    </w:p>
    <w:p>
      <w:pPr>
        <w:spacing w:after="0" w:line="170"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b w:val="1"/>
          <w:bCs w:val="1"/>
          <w:i w:val="1"/>
          <w:iCs w:val="1"/>
          <w:color w:val="auto"/>
        </w:rPr>
        <w:t xml:space="preserve">Constance Ames </w:t>
      </w:r>
      <w:r>
        <w:rPr>
          <w:rFonts w:ascii="Arial" w:cs="Arial" w:eastAsia="Arial" w:hAnsi="Arial"/>
          <w:sz w:val="16"/>
          <w:szCs w:val="16"/>
          <w:color w:val="auto"/>
        </w:rPr>
        <w:t>has served as our Vice President, Finance since February 2015. Ms. Ames joined us from Keryx Biopharmaceuticals, Inc., which she joined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where she served in a variety of roles of increasing responsibility, most recently as Senior Director, Finance and Accounting. During her tenure there, Ms. Ames played a critical role in growing the finance and accounting department through Keryx's transition from a development-stage company to a fully integrated commercial organization. She was also responsible for leading Keryx's compliance with Securities and Exchange Commission rules and regulations. Prior to joining Keryx, she was with Deloitte and Touche, LLP, independent certified public accountants, where she served as a senior associate. Ms. Ames received a Bachelor of Science in accounting from Ithaca College and is a member of the American Institute of Certified Public Accountants.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Personnel</w:t>
      </w:r>
    </w:p>
    <w:p>
      <w:pPr>
        <w:spacing w:after="0" w:line="228" w:lineRule="exact"/>
        <w:rPr>
          <w:sz w:val="20"/>
          <w:szCs w:val="20"/>
          <w:color w:val="auto"/>
        </w:rPr>
      </w:pPr>
    </w:p>
    <w:p>
      <w:pPr>
        <w:ind w:firstLine="341"/>
        <w:spacing w:after="0" w:line="292" w:lineRule="auto"/>
        <w:rPr>
          <w:sz w:val="20"/>
          <w:szCs w:val="20"/>
          <w:color w:val="auto"/>
        </w:rPr>
      </w:pPr>
      <w:r>
        <w:rPr>
          <w:rFonts w:ascii="Arial" w:cs="Arial" w:eastAsia="Arial" w:hAnsi="Arial"/>
          <w:sz w:val="15"/>
          <w:szCs w:val="15"/>
          <w:b w:val="1"/>
          <w:bCs w:val="1"/>
          <w:i w:val="1"/>
          <w:iCs w:val="1"/>
          <w:color w:val="auto"/>
        </w:rPr>
        <w:t xml:space="preserve">Robert Niecestro, Ph.D. </w:t>
      </w:r>
      <w:r>
        <w:rPr>
          <w:rFonts w:ascii="Arial" w:cs="Arial" w:eastAsia="Arial" w:hAnsi="Arial"/>
          <w:sz w:val="15"/>
          <w:szCs w:val="15"/>
          <w:color w:val="auto"/>
        </w:rPr>
        <w:t>has served as our Head of Regulatory since October 2012. In addition, since 2004, Dr. Niecestro has served as a consultant to a variety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biopharmaceutical companies, including Keryx Biopharmaceuticals, Inc. and TG Therapeutics, Inc. Prior to 2004, Dr. Niecestro previously held numerous senior management positions including serving as Vice President of Clinical Development for Andrx Laboratories, Senior Director, Clinical Development and Therapeutic Head for Gastrointestinal, Oncology and Stroke at Eisai Inc. and as Director, Clinical Operations and NDA Planning for Organon Inc. While at Andrx, Dr. Niecestro was part of the team that developed the following approved drugs: extended-release metformin, extended-release lovastatin and valproic acid. At Eisai, Dr. Niecestro played a pivotal role in the development and commercialization of Aciphex (rabeprazole sodium), the post-NDA program for Aricept (donepezil sodium), and started both the oncology and neurology franchises in the United States; and while at Organon was part of the team that developed and commercialized the following drugs: Zemuron (rocuronium bromide), Orgaran (danaparoid sodium), Humegon (FSH/LH), Follistim (recombinant FSH beta), and one birth control pill (Mircette).</w:t>
      </w:r>
    </w:p>
    <w:p>
      <w:pPr>
        <w:spacing w:after="0" w:line="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Dr. Niecestro has been involved in the filing of over 45 INDs, has over 60 peer-reviewed publications and holds 3 patents. Dr. Niecestro completed his graduate and post-graduate work at the University of Illinois at Chicago.</w:t>
      </w:r>
    </w:p>
    <w:p>
      <w:pPr>
        <w:spacing w:after="0" w:line="175"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b w:val="1"/>
          <w:bCs w:val="1"/>
          <w:i w:val="1"/>
          <w:iCs w:val="1"/>
          <w:color w:val="auto"/>
        </w:rPr>
        <w:t xml:space="preserve">Mark Jacobson, M.A. </w:t>
      </w:r>
      <w:r>
        <w:rPr>
          <w:rFonts w:ascii="Arial" w:cs="Arial" w:eastAsia="Arial" w:hAnsi="Arial"/>
          <w:sz w:val="17"/>
          <w:szCs w:val="17"/>
          <w:color w:val="auto"/>
        </w:rPr>
        <w:t>has served as our Senior Director of Operations since April 2014. Prior to joining Axsome, he was Director of Corporate Development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Stemline Therapeutics, Inc., where he played a critical role in advancing the company from a 3-person team in 2010 to the successful completion of an initial public offering and secondary public offering in 2013, which together raised approximately $100 million for the company. While at Stemline, Mr. Jacobson's responsibilities spanned investor relations, public relations, corporate operations,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228" w:lineRule="exact"/>
        <w:rPr>
          <w:sz w:val="20"/>
          <w:szCs w:val="20"/>
          <w:color w:val="auto"/>
        </w:rPr>
      </w:pPr>
    </w:p>
    <w:p>
      <w:pPr>
        <w:ind w:right="360" w:firstLine="341"/>
        <w:spacing w:after="0" w:line="263" w:lineRule="auto"/>
        <w:rPr>
          <w:sz w:val="20"/>
          <w:szCs w:val="20"/>
          <w:color w:val="auto"/>
        </w:rPr>
      </w:pPr>
      <w:r>
        <w:rPr>
          <w:rFonts w:ascii="Arial" w:cs="Arial" w:eastAsia="Arial" w:hAnsi="Arial"/>
          <w:sz w:val="17"/>
          <w:szCs w:val="17"/>
          <w:b w:val="1"/>
          <w:bCs w:val="1"/>
          <w:i w:val="1"/>
          <w:iCs w:val="1"/>
          <w:color w:val="auto"/>
        </w:rPr>
        <w:t xml:space="preserve">Roger Jeffs, Ph.D. </w:t>
      </w:r>
      <w:r>
        <w:rPr>
          <w:rFonts w:ascii="Arial" w:cs="Arial" w:eastAsia="Arial" w:hAnsi="Arial"/>
          <w:sz w:val="17"/>
          <w:szCs w:val="17"/>
          <w:color w:val="auto"/>
        </w:rPr>
        <w:t>has been a member of our board of directors since December 2014. Dr. Jeffs is currently the President and Co-Chief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Therapeutics Corporation, a leading biotechnology company. Dr. Jeffs oversees the company's global clinical, commercial, manufacturing, regulatory, pharmacovigilance, and business development efforts. He joined United Therapeutics as Director of Research, Development and Medical in 1998. Prior to joining United Therapeutics, Dr. Jeffs served as the worldwide clinical leader of the Infectious Disease Program at Amgen, Inc. Prior to Amgen, he was a member of the Flolan clinical research team at Burroughs Wellcome &amp;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 Dr. Jeffs holds a Ph.D. from the University of North Carolina and received his undergraduate degree from Duke University. Dr. Jeffs' scientific background and business experience, coupled with his experience as a chief executive officer of a publicly traded biotechnology company, provides him with the qualifications and skills to serve as a director.</w:t>
      </w:r>
    </w:p>
    <w:p>
      <w:pPr>
        <w:spacing w:after="0" w:line="179" w:lineRule="exact"/>
        <w:rPr>
          <w:sz w:val="20"/>
          <w:szCs w:val="20"/>
          <w:color w:val="auto"/>
        </w:rPr>
      </w:pPr>
    </w:p>
    <w:p>
      <w:pPr>
        <w:ind w:right="120" w:firstLine="341"/>
        <w:spacing w:after="0" w:line="293" w:lineRule="auto"/>
        <w:rPr>
          <w:sz w:val="20"/>
          <w:szCs w:val="20"/>
          <w:color w:val="auto"/>
        </w:rPr>
      </w:pPr>
      <w:r>
        <w:rPr>
          <w:rFonts w:ascii="Arial" w:cs="Arial" w:eastAsia="Arial" w:hAnsi="Arial"/>
          <w:sz w:val="15"/>
          <w:szCs w:val="15"/>
          <w:b w:val="1"/>
          <w:bCs w:val="1"/>
          <w:i w:val="1"/>
          <w:iCs w:val="1"/>
          <w:color w:val="auto"/>
        </w:rPr>
        <w:t xml:space="preserve">Mark Coleman, M.D. </w:t>
      </w:r>
      <w:r>
        <w:rPr>
          <w:rFonts w:ascii="Arial" w:cs="Arial" w:eastAsia="Arial" w:hAnsi="Arial"/>
          <w:sz w:val="15"/>
          <w:szCs w:val="15"/>
          <w:color w:val="auto"/>
        </w:rPr>
        <w:t>has been a member of our board of directors since December 2014. In addition, from 2012 to 2014, Dr. Coleman served as a consultant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Dr. Coleman has served as the Medical Director of the Baltimore branch of National Spine and Pain Centers, or NSPC, the nation's largest interventional pain management group, from 2005. Dr. Coleman served as Director of Novel Therapies at NSPC from 2009 to 2011. NSPC routinely evaluates emerging treatments for pain through the conduct of clinical trials. Dr. Coleman is a Diplomat of the American Board of Anesthesiology in Anesthesiology and Pain Management.</w:t>
      </w:r>
    </w:p>
    <w:p>
      <w:pPr>
        <w:spacing w:after="0" w:line="3"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Dr. Coleman holds an M.D. from Johns Hopkins University School of Medicine and received his undergraduate degree from Wesleyan University. Dr. Coleman's medical background, particularly his specialized experience in the treatment of pain, make him qualified to serve on our board.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Mark Saad </w:t>
      </w:r>
      <w:r>
        <w:rPr>
          <w:rFonts w:ascii="Arial" w:cs="Arial" w:eastAsia="Arial" w:hAnsi="Arial"/>
          <w:sz w:val="16"/>
          <w:szCs w:val="16"/>
          <w:color w:val="auto"/>
        </w:rPr>
        <w:t>has been a member of our board of directors since December 2014. Since August 2014, Mr. Saad has served as the Chief Financial Officer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RuiYi, Inc., a global therapeutic innovator which is advancing a pipeline of first in class monoclonal antibodies to validated G protein-coupled receptors (GPCRs). 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previously served as Chief Financial Officer of Cytori Therapeutics from 2004 to 2014, where he was responsible for finance and accounting, business development,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and other operating functions. Prior to Cytori, he served as Executive Director of UBS Investment Bank, where he was the Chief Operating Officer of the Global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Healthcare Group. Prior to UBS, Mr. Saad was part of the Health Care Investment Banking Group at Salomon Smith Barney. Mr. Saad holds a Bachelor of Arts from</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Villanova University. Through his years of experience as a chief financial officer, and his experience in the investment banking field, Mr. Saad provides valuable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financial and leadership experience to the board.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our Board of Directors</w:t>
      </w:r>
    </w:p>
    <w:p>
      <w:pPr>
        <w:spacing w:after="0" w:line="228" w:lineRule="exact"/>
        <w:rPr>
          <w:sz w:val="20"/>
          <w:szCs w:val="20"/>
          <w:color w:val="auto"/>
        </w:rPr>
      </w:pPr>
    </w:p>
    <w:p>
      <w:pPr>
        <w:ind w:right="160" w:firstLine="341"/>
        <w:spacing w:after="0" w:line="278" w:lineRule="auto"/>
        <w:rPr>
          <w:sz w:val="20"/>
          <w:szCs w:val="20"/>
          <w:color w:val="auto"/>
        </w:rPr>
      </w:pPr>
      <w:r>
        <w:rPr>
          <w:rFonts w:ascii="Arial" w:cs="Arial" w:eastAsia="Arial" w:hAnsi="Arial"/>
          <w:sz w:val="16"/>
          <w:szCs w:val="16"/>
          <w:color w:val="auto"/>
        </w:rPr>
        <w:t>Our board of directors currently consists of four members, each of whom are elected pursuant to the board composition provisions of our certificate of incorporation and our stockholders agreement, which agreement is described under "Certain Relationships and Related Party Transactions" in this prospectus. The stockholders agreement, and the board composition provisions contained therein, will terminate upon the closing of this offering. Upon the termination of these provisions, there will be no further contractual obligations regarding the election of our directors. Our nominating and corporate governance committee and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79"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color w:val="auto"/>
        </w:rPr>
        <w:t>Immediately prior to the closing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Table of Contents</w:t>
              </w:r>
            </w:hyperlink>
          </w:p>
        </w:tc>
        <w:tc>
          <w:tcPr>
            <w:tcW w:w="2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4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40"/>
              <w:spacing w:after="0"/>
              <w:rPr>
                <w:sz w:val="20"/>
                <w:szCs w:val="20"/>
                <w:color w:val="auto"/>
              </w:rPr>
            </w:pPr>
            <w:r>
              <w:rPr>
                <w:rFonts w:ascii="Arial" w:cs="Arial" w:eastAsia="Arial" w:hAnsi="Arial"/>
                <w:sz w:val="17"/>
                <w:szCs w:val="17"/>
                <w:color w:val="auto"/>
              </w:rPr>
              <w:t>Our Class I directors will be</w:t>
            </w:r>
          </w:p>
        </w:tc>
        <w:tc>
          <w:tcPr>
            <w:tcW w:w="8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446"/>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40"/>
              <w:spacing w:after="0"/>
              <w:rPr>
                <w:sz w:val="20"/>
                <w:szCs w:val="20"/>
                <w:color w:val="auto"/>
              </w:rPr>
            </w:pPr>
            <w:r>
              <w:rPr>
                <w:rFonts w:ascii="Arial" w:cs="Arial" w:eastAsia="Arial" w:hAnsi="Arial"/>
                <w:sz w:val="17"/>
                <w:szCs w:val="17"/>
                <w:color w:val="auto"/>
              </w:rPr>
              <w:t>Our Class II directors will be</w:t>
            </w:r>
          </w:p>
        </w:tc>
        <w:tc>
          <w:tcPr>
            <w:tcW w:w="860" w:type="dxa"/>
            <w:vAlign w:val="bottom"/>
          </w:tcPr>
          <w:p>
            <w:pPr>
              <w:jc w:val="right"/>
              <w:spacing w:after="0"/>
              <w:rPr>
                <w:sz w:val="20"/>
                <w:szCs w:val="20"/>
                <w:color w:val="auto"/>
              </w:rPr>
            </w:pPr>
            <w:r>
              <w:rPr>
                <w:rFonts w:ascii="Arial" w:cs="Arial" w:eastAsia="Arial" w:hAnsi="Arial"/>
                <w:sz w:val="17"/>
                <w:szCs w:val="17"/>
                <w:color w:val="auto"/>
              </w:rPr>
              <w:t>; and</w:t>
            </w:r>
          </w:p>
        </w:tc>
      </w:tr>
      <w:tr>
        <w:trPr>
          <w:trHeight w:val="433"/>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40"/>
              <w:spacing w:after="0"/>
              <w:rPr>
                <w:sz w:val="20"/>
                <w:szCs w:val="20"/>
                <w:color w:val="auto"/>
              </w:rPr>
            </w:pPr>
            <w:r>
              <w:rPr>
                <w:rFonts w:ascii="Arial" w:cs="Arial" w:eastAsia="Arial" w:hAnsi="Arial"/>
                <w:sz w:val="17"/>
                <w:szCs w:val="17"/>
                <w:color w:val="auto"/>
              </w:rPr>
              <w:t>Our Class III directors will be</w:t>
            </w:r>
          </w:p>
        </w:tc>
        <w:tc>
          <w:tcPr>
            <w:tcW w:w="860" w:type="dxa"/>
            <w:vAlign w:val="bottom"/>
          </w:tcPr>
          <w:p>
            <w:pPr>
              <w:jc w:val="right"/>
              <w:ind w:right="155"/>
              <w:spacing w:after="0"/>
              <w:rPr>
                <w:sz w:val="20"/>
                <w:szCs w:val="20"/>
                <w:color w:val="auto"/>
              </w:rPr>
            </w:pPr>
            <w:r>
              <w:rPr>
                <w:rFonts w:ascii="Arial" w:cs="Arial" w:eastAsia="Arial" w:hAnsi="Arial"/>
                <w:sz w:val="17"/>
                <w:szCs w:val="17"/>
                <w:color w:val="auto"/>
              </w:rPr>
              <w:t>.</w:t>
            </w:r>
          </w:p>
        </w:tc>
      </w:tr>
    </w:tbl>
    <w:p>
      <w:pPr>
        <w:spacing w:after="0" w:line="204" w:lineRule="exact"/>
        <w:rPr>
          <w:sz w:val="20"/>
          <w:szCs w:val="20"/>
          <w:color w:val="auto"/>
        </w:rPr>
      </w:pPr>
    </w:p>
    <w:p>
      <w:pPr>
        <w:ind w:right="320" w:firstLine="341"/>
        <w:spacing w:after="0" w:line="265" w:lineRule="auto"/>
        <w:rPr>
          <w:sz w:val="20"/>
          <w:szCs w:val="20"/>
          <w:color w:val="auto"/>
        </w:rPr>
      </w:pPr>
      <w:r>
        <w:rPr>
          <w:rFonts w:ascii="Arial" w:cs="Arial" w:eastAsia="Arial" w:hAnsi="Arial"/>
          <w:sz w:val="17"/>
          <w:szCs w:val="17"/>
          <w:color w:val="auto"/>
        </w:rPr>
        <w:t>Our amended and restated certificate of incorporation and amended and restated bylaws, as will be in effect upon completion of this offering,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5"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positions of Chief Executive Officer and Chairman of the Board are both currently held by Dr. Herriot Tabuteau. Our board of directors has also appointed a</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Lead Director, . The Lead Director's responsibilities include: (1) coordinating the scheduling and preparation of agendas for the executive sessions of the board and other meetings of the board in the absence of the Chairman of the Board; (2) chairing executive sessions of the board and other meetings of the board in the absence of the Chairman of the Board; (3) approving information sent to the board; (4) serving as a liaison between the Chairman of the Board and the other independent directors; (5) approving the meeting agendas for the board and approving the meeting schedules of the board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The board believes that this combined role of Chairman and Chief Executive Officer, coupled with a Lead Director, is currently the most effective leadership structure for the company and is in the best interests of its stockholders. In considering its leadership structure, the board believes that the combined roles of Chairman and Chief Executive Officer are appropriately balanced by the designation of a Lead Director with substantive responsibilities, the majority of independent directors that comprise the board and the company's strong corporate governance policies and procedures.</w:t>
      </w:r>
    </w:p>
    <w:p>
      <w:pPr>
        <w:spacing w:after="0" w:line="178" w:lineRule="exact"/>
        <w:rPr>
          <w:sz w:val="20"/>
          <w:szCs w:val="20"/>
          <w:color w:val="auto"/>
        </w:rPr>
      </w:pPr>
    </w:p>
    <w:p>
      <w:pPr>
        <w:ind w:right="140" w:firstLine="338"/>
        <w:spacing w:after="0" w:line="315" w:lineRule="auto"/>
        <w:rPr>
          <w:sz w:val="20"/>
          <w:szCs w:val="20"/>
          <w:color w:val="auto"/>
        </w:rPr>
      </w:pPr>
      <w:r>
        <w:rPr>
          <w:rFonts w:ascii="Arial" w:cs="Arial" w:eastAsia="Arial" w:hAnsi="Arial"/>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Board's Role in Risk Oversight</w:t>
      </w:r>
    </w:p>
    <w:p>
      <w:pPr>
        <w:spacing w:after="0" w:line="228" w:lineRule="exact"/>
        <w:rPr>
          <w:sz w:val="20"/>
          <w:szCs w:val="20"/>
          <w:color w:val="auto"/>
        </w:rPr>
      </w:pPr>
    </w:p>
    <w:p>
      <w:pPr>
        <w:ind w:right="20" w:firstLine="341"/>
        <w:spacing w:after="0" w:line="311" w:lineRule="auto"/>
        <w:rPr>
          <w:sz w:val="20"/>
          <w:szCs w:val="20"/>
          <w:color w:val="auto"/>
        </w:rPr>
      </w:pPr>
      <w:r>
        <w:rPr>
          <w:rFonts w:ascii="Arial" w:cs="Arial" w:eastAsia="Arial" w:hAnsi="Arial"/>
          <w:sz w:val="15"/>
          <w:szCs w:val="15"/>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the company, our board of directors addresses the principal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Under the listing requirements and rules of the NASDAQ Market, or NASDAQ, independent directors must compose a majority of a listed company's board of directors within a one year period following the completion of this offering. In addition, applicable NASDAQ rules require that, subject to specified exceptions, each member of a listed company's audit, compensation,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nominating and corporate governance committees must be independent within the meaning of applicable NASDAQ rules. Audit committee members must also satisfy the independence criteria set forth in Rule 10A-3 under the Securities Exchange Act of 1934, as amended, or the Exchange Act.</w:t>
      </w:r>
    </w:p>
    <w:p>
      <w:pPr>
        <w:spacing w:after="0" w:line="170"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2015, 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 As a result of this review, our board of directors determined that Dr. Coleman, Dr. Jeffs,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28" w:lineRule="exact"/>
        <w:rPr>
          <w:sz w:val="20"/>
          <w:szCs w:val="20"/>
          <w:color w:val="auto"/>
        </w:rPr>
      </w:pPr>
    </w:p>
    <w:p>
      <w:pPr>
        <w:ind w:right="380" w:firstLine="341"/>
        <w:spacing w:after="0" w:line="322"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each of which operates pursuant to a charter adopted by our board of directors. Upon the closing of this offering, the composition and functioning of all of our committees will comply with all applicable requirements of the Sarbanes-Oxley Act of 2002, the NASDAQ listing standards and the SEC rules and regulations.</w:t>
      </w:r>
    </w:p>
    <w:p>
      <w:pPr>
        <w:spacing w:after="0" w:line="145" w:lineRule="exact"/>
        <w:rPr>
          <w:sz w:val="20"/>
          <w:szCs w:val="20"/>
          <w:color w:val="auto"/>
        </w:rPr>
      </w:pPr>
    </w:p>
    <w:p>
      <w:pPr>
        <w:ind w:right="200" w:firstLine="338"/>
        <w:spacing w:after="0" w:line="287"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our audit committee are Dr. Coleman, Dr. Jeffs and Mr. Saad. Mr. Saad serves as the chair. Our board of directors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In making this determination, our board has considered the formal education and nature and scope of his previous experience.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audit committee's responsibilities include, among other things:</w:t>
      </w:r>
    </w:p>
    <w:p>
      <w:pPr>
        <w:spacing w:after="0" w:line="237"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50"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182"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the overall audit plan with the independent registered public accounting firm and members of management responsible for preparing our financial statements;</w:t>
      </w:r>
    </w:p>
    <w:p>
      <w:pPr>
        <w:spacing w:after="0" w:line="182"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resolving any disagreements between management and the auditors regarding financial reporting;</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all related person transactions for potential conflict of interest situations and approving all such transactions;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quarterly earnings releases.</w:t>
      </w:r>
    </w:p>
    <w:p>
      <w:pPr>
        <w:spacing w:after="0" w:line="224"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members of our compensation committee are Dr. Jeffs and Mr. Saad. serves as the chair. Our board of directors has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that each of the members of our compensation committee satisfies NASDAQ and SEC independence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compensation committee's responsibilities include, among other things:</w:t>
      </w:r>
    </w:p>
    <w:p>
      <w:pPr>
        <w:spacing w:after="0" w:line="237" w:lineRule="exact"/>
        <w:rPr>
          <w:sz w:val="20"/>
          <w:szCs w:val="20"/>
          <w:color w:val="auto"/>
        </w:rPr>
      </w:pPr>
    </w:p>
    <w:p>
      <w:pPr>
        <w:ind w:left="1060" w:right="10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annually reviewing and making recommendations to the board of directors with respect to corporate goals and objectives relevant to the compensation of our Chief Executive Officer;</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237"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to be included in our annual proxy statement or Annual Report on Form 10-K;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the Chief Executive Officer and other key officers.</w:t>
      </w:r>
    </w:p>
    <w:p>
      <w:pPr>
        <w:spacing w:after="0" w:line="224"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The members of our nominating and corporate governance committee are Dr. Coleman, Dr. Jeffs, and</w:t>
      </w:r>
      <w:r>
        <w:rPr>
          <w:rFonts w:ascii="Arial" w:cs="Arial" w:eastAsia="Arial" w:hAnsi="Arial"/>
          <w:sz w:val="17"/>
          <w:szCs w:val="17"/>
          <w:i w:val="1"/>
          <w:iCs w:val="1"/>
          <w:color w:val="auto"/>
        </w:rPr>
        <w:t xml:space="preserve"> </w:t>
      </w:r>
      <w:r>
        <w:rPr>
          <w:rFonts w:ascii="Arial" w:cs="Arial" w:eastAsia="Arial" w:hAnsi="Arial"/>
          <w:sz w:val="17"/>
          <w:szCs w:val="17"/>
          <w:color w:val="auto"/>
        </w:rPr>
        <w:t>Mr. Saad. Dr. Jeffs serves as the chair. Our board of directors has determined that each of the members of the nominating and corporate governance committee are independent as independence is currently defined in applicable NASDAQ listing standards.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nominating and corporate governance committee's responsibilities include:</w:t>
      </w:r>
    </w:p>
    <w:p>
      <w:pPr>
        <w:spacing w:after="0" w:line="237"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237"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the size and composition of the board of directors to ensure that it is composed of members containing the appropriate skills and expertise to advise us;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developing a mechanism by which violations of the code of business conduct and ethics can be reported in a confidential manner;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Upon the closing of this offering, our code of business conduct and ethics will be available on our website at www.axsome.com. We intend to disclose any amendments to the code, or any waivers of its requirements,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Arrangements</w:t>
      </w:r>
    </w:p>
    <w:p>
      <w:pPr>
        <w:spacing w:after="0" w:line="228" w:lineRule="exact"/>
        <w:rPr>
          <w:sz w:val="20"/>
          <w:szCs w:val="20"/>
          <w:color w:val="auto"/>
        </w:rPr>
      </w:pPr>
    </w:p>
    <w:p>
      <w:pPr>
        <w:ind w:firstLine="332"/>
        <w:spacing w:after="0" w:line="294" w:lineRule="auto"/>
        <w:rPr>
          <w:sz w:val="20"/>
          <w:szCs w:val="20"/>
          <w:color w:val="auto"/>
        </w:rPr>
      </w:pPr>
      <w:r>
        <w:rPr>
          <w:rFonts w:ascii="Arial" w:cs="Arial" w:eastAsia="Arial" w:hAnsi="Arial"/>
          <w:sz w:val="16"/>
          <w:szCs w:val="16"/>
          <w:color w:val="auto"/>
        </w:rPr>
        <w:t>As permitted by the Delaware General Corporation Law, we have adopted provisions in our amended and restated certificate of incorporation and amended and restated bylaws, as will be in effect upon the completion of this offering, that limit or eliminate the personal liability of our directors. Consequently, a director will not be personally liable to us or our stockholders for monetary damages for breach of fiduciary duty as a director, except for liability for:</w:t>
      </w:r>
    </w:p>
    <w:p>
      <w:pPr>
        <w:spacing w:after="0" w:line="189"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our amended and restated bylaws, as will be in effect upon completion of this offering, provide that:</w:t>
      </w:r>
    </w:p>
    <w:p>
      <w:pPr>
        <w:spacing w:after="0" w:line="237" w:lineRule="exact"/>
        <w:rPr>
          <w:sz w:val="20"/>
          <w:szCs w:val="20"/>
          <w:color w:val="auto"/>
        </w:rPr>
      </w:pPr>
    </w:p>
    <w:p>
      <w:pPr>
        <w:ind w:left="1060" w:right="44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Delaware General Corporation Law; and</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advance expenses, including attorneys' fees, to our directors and, in the discretion of our board of directors, to our officers and certain employees, in connection with legal proceedings, subject to limited exceptions.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Prior to the completion of this offering, we also expect to enter into indemnification agreements with each of our executive officers and directors. These agreements will provide that we will indemnify each of our directors to the fullest extent permitted by the Delaware General Corporation Law and advance expenses to each indemnitee in connection with any proceeding in which indemnification is available.</w:t>
      </w:r>
    </w:p>
    <w:p>
      <w:pPr>
        <w:spacing w:after="0" w:line="179"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and is therefore unenforceable.</w:t>
      </w:r>
    </w:p>
    <w:p>
      <w:pPr>
        <w:spacing w:after="0" w:line="187" w:lineRule="exact"/>
        <w:rPr>
          <w:sz w:val="20"/>
          <w:szCs w:val="20"/>
          <w:color w:val="auto"/>
        </w:rPr>
      </w:pPr>
    </w:p>
    <w:p>
      <w:pPr>
        <w:ind w:right="140" w:firstLine="338"/>
        <w:spacing w:after="0" w:line="283"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74" w:lineRule="exact"/>
        <w:rPr>
          <w:sz w:val="20"/>
          <w:szCs w:val="20"/>
          <w:color w:val="auto"/>
        </w:rPr>
      </w:pPr>
    </w:p>
    <w:p>
      <w:pPr>
        <w:ind w:right="600" w:firstLine="332"/>
        <w:spacing w:after="0" w:line="282" w:lineRule="auto"/>
        <w:rPr>
          <w:sz w:val="20"/>
          <w:szCs w:val="20"/>
          <w:color w:val="auto"/>
        </w:rPr>
      </w:pPr>
      <w:r>
        <w:rPr>
          <w:rFonts w:ascii="Arial" w:cs="Arial" w:eastAsia="Arial" w:hAnsi="Arial"/>
          <w:sz w:val="17"/>
          <w:szCs w:val="17"/>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 following table sets forth the compensation earned by our Chief Executive Officer, our sole executive officer during the fiscal year ended December 31, 2014. We refer to the foregoing as our named executive officer.</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7"/>
        </w:trPr>
        <w:tc>
          <w:tcPr>
            <w:tcW w:w="178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4220" w:type="dxa"/>
            <w:vAlign w:val="bottom"/>
            <w:gridSpan w:val="2"/>
          </w:tcPr>
          <w:p>
            <w:pPr>
              <w:jc w:val="right"/>
              <w:ind w:right="254"/>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254"/>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center"/>
              <w:ind w:left="85"/>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Herriot Tabuteau, M.D.</w:t>
            </w:r>
          </w:p>
        </w:tc>
        <w:tc>
          <w:tcPr>
            <w:tcW w:w="4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250,000</w:t>
            </w: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125,000</w:t>
            </w:r>
          </w:p>
        </w:tc>
        <w:tc>
          <w:tcPr>
            <w:tcW w:w="900" w:type="dxa"/>
            <w:vAlign w:val="bottom"/>
            <w:gridSpan w:val="2"/>
            <w:shd w:val="clear" w:color="auto" w:fill="CCEEFF"/>
          </w:tcPr>
          <w:p>
            <w:pPr>
              <w:jc w:val="center"/>
              <w:ind w:left="65"/>
              <w:spacing w:after="0" w:line="194" w:lineRule="exact"/>
              <w:rPr>
                <w:sz w:val="20"/>
                <w:szCs w:val="20"/>
                <w:color w:val="auto"/>
              </w:rPr>
            </w:pPr>
            <w:r>
              <w:rPr>
                <w:rFonts w:ascii="Arial" w:cs="Arial" w:eastAsia="Arial" w:hAnsi="Arial"/>
                <w:sz w:val="17"/>
                <w:szCs w:val="17"/>
                <w:color w:val="auto"/>
                <w:w w:val="94"/>
              </w:rPr>
              <w:t>$  375,000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Chief Executive Officer</w:t>
            </w:r>
          </w:p>
        </w:tc>
        <w:tc>
          <w:tcPr>
            <w:tcW w:w="3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338"/>
        <w:spacing w:after="0" w:line="294" w:lineRule="auto"/>
        <w:rPr>
          <w:sz w:val="20"/>
          <w:szCs w:val="20"/>
          <w:color w:val="auto"/>
        </w:rPr>
      </w:pPr>
      <w:r>
        <w:rPr>
          <w:rFonts w:ascii="Arial" w:cs="Arial" w:eastAsia="Arial" w:hAnsi="Arial"/>
          <w:sz w:val="16"/>
          <w:szCs w:val="16"/>
          <w:color w:val="auto"/>
        </w:rPr>
        <w:t>We have not entered into an employment agreement with Dr. Tabuteau. Prior to December 2014, Dr. Tabuteau, as the sole member of our board of directors, approved his own compensation for his service as our Chief Executive Officer, after taking into consideration our financial resources and projected financial needs. Effective upon the closing of this offering, our compensation committee will approve the compensation and benefits of our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equity awards have been granted to Dr. Tabuteau as of December 31,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During our fiscal year ended December 31, 2014, we granted options to purchase shares of our common stock under our 2013 Equity Compensation Plan to our non-employee directors. We did not pay any cash compensation to our non-employee directors for their service as board members. A non-employee director is a director who is not employed by us and who does not receive compensation from us (other than for services as a director) or have a business relationship with us that would require disclosure under certain SEC rules. Dr. Tabuteau, our Chief Executive Officer and a member of our board of directors, did not receive any compensation from us during our fiscal year ended December 31, 2014, for his service as a director and is not included in the table below.</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Option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500"/>
              <w:spacing w:after="0" w:line="188" w:lineRule="exact"/>
              <w:rPr>
                <w:sz w:val="20"/>
                <w:szCs w:val="20"/>
                <w:color w:val="auto"/>
              </w:rPr>
            </w:pPr>
            <w:r>
              <w:rPr>
                <w:rFonts w:ascii="Arial" w:cs="Arial" w:eastAsia="Arial" w:hAnsi="Arial"/>
                <w:sz w:val="13"/>
                <w:szCs w:val="13"/>
                <w:b w:val="1"/>
                <w:bCs w:val="1"/>
                <w:color w:val="auto"/>
                <w:w w:val="84"/>
              </w:rPr>
              <w:t>Awards</w:t>
            </w:r>
            <w:r>
              <w:rPr>
                <w:rFonts w:ascii="Arial" w:cs="Arial" w:eastAsia="Arial" w:hAnsi="Arial"/>
                <w:sz w:val="21"/>
                <w:szCs w:val="21"/>
                <w:b w:val="1"/>
                <w:bCs w:val="1"/>
                <w:color w:val="auto"/>
                <w:w w:val="84"/>
                <w:vertAlign w:val="superscript"/>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Roger Jeffs, Ph.D.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26,873</w:t>
            </w:r>
            <w:r>
              <w:rPr>
                <w:rFonts w:ascii="Arial" w:cs="Arial" w:eastAsia="Arial" w:hAnsi="Arial"/>
                <w:sz w:val="14"/>
                <w:szCs w:val="14"/>
                <w:color w:val="auto"/>
              </w:rPr>
              <w:t>(2)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26,873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Mark Coleman, M.D.</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26,873</w:t>
            </w:r>
            <w:r>
              <w:rPr>
                <w:rFonts w:ascii="Arial" w:cs="Arial" w:eastAsia="Arial" w:hAnsi="Arial"/>
                <w:sz w:val="14"/>
                <w:szCs w:val="14"/>
                <w:color w:val="auto"/>
              </w:rPr>
              <w:t>(3)</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26,873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Saad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26,873</w:t>
            </w:r>
            <w:r>
              <w:rPr>
                <w:rFonts w:ascii="Arial" w:cs="Arial" w:eastAsia="Arial" w:hAnsi="Arial"/>
                <w:sz w:val="14"/>
                <w:szCs w:val="14"/>
                <w:color w:val="auto"/>
              </w:rPr>
              <w:t>(2)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26,873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410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12" w:lineRule="exact"/>
        <w:rPr>
          <w:sz w:val="20"/>
          <w:szCs w:val="20"/>
          <w:color w:val="auto"/>
        </w:rPr>
      </w:pPr>
    </w:p>
    <w:p>
      <w:pPr>
        <w:ind w:left="520" w:right="60" w:hanging="515"/>
        <w:spacing w:after="0" w:line="293" w:lineRule="auto"/>
        <w:tabs>
          <w:tab w:leader="none" w:pos="5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accordance with SEC rules, this column reflects the aggregate grant date fair value of the option awards granted computed in accordance with Financial Accounting Standard Board Accounting Codification Topic 718 for stock-based compensation transactions (ASC 718). Assumptions used in the calculation of these amounts are included in Note 9 to our consolidated financial statements. These amounts do not reflect the actual economic value that will be realized by the director upon the vesting of the stock options, the exercise of the stock options, or the sale of the common stock underlying such stock options.</w:t>
      </w:r>
    </w:p>
    <w:p>
      <w:pPr>
        <w:spacing w:after="0" w:line="22" w:lineRule="exact"/>
        <w:rPr>
          <w:rFonts w:ascii="Arial" w:cs="Arial" w:eastAsia="Arial" w:hAnsi="Arial"/>
          <w:sz w:val="15"/>
          <w:szCs w:val="15"/>
          <w:color w:val="auto"/>
        </w:rPr>
      </w:pPr>
    </w:p>
    <w:p>
      <w:pPr>
        <w:ind w:left="520" w:hanging="515"/>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December 31, 2014, each of Dr. Jeffs and Mr. Saad held outstanding options to purchase 1,500 shares of our common stock.</w:t>
      </w:r>
    </w:p>
    <w:p>
      <w:pPr>
        <w:spacing w:after="0" w:line="27" w:lineRule="exact"/>
        <w:rPr>
          <w:rFonts w:ascii="Arial" w:cs="Arial" w:eastAsia="Arial" w:hAnsi="Arial"/>
          <w:sz w:val="17"/>
          <w:szCs w:val="17"/>
          <w:color w:val="auto"/>
        </w:rPr>
      </w:pPr>
    </w:p>
    <w:p>
      <w:pPr>
        <w:ind w:left="520" w:right="100" w:hanging="515"/>
        <w:spacing w:after="0" w:line="265"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December 31, 2014, Dr. Coleman held outstanding options to purchase 14,830 shares of our common stock, of which options to purchase 13,330 shares of our common stock were granted pursuant to a consulting agreement between us and Dr. Coleman for services rendered to us separate from his service to us as a board member. See "Certain Relationships and Related Party Transactions—Related Party Transactions—Consulting Agreement with Mark Coleman, M.D."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September 2014, our board of directors approved the following non-employee 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Annual Retainer and Meeting Fees</w:t>
      </w:r>
    </w:p>
    <w:p>
      <w:pPr>
        <w:spacing w:after="0" w:line="224"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Effective immediately prior to the completion of our IPO, each non-employee director shall receive an annual cash retainer of $25,000. In addition, the non-employee director serving as the Chair of the Audit Committee shall receive an additional annual cash retainer of $5,000. All retainers are prorated for any portion of a year to which they apply for each non-employee director.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Awards</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In September 2014, each non-employee director serving on the board of directors was granted the option to purchase 1,500 shares of common stock. The options vest annually in equal installments over three years.</w:t>
      </w:r>
    </w:p>
    <w:p>
      <w:pPr>
        <w:spacing w:after="0" w:line="170"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Contingent and effective immediately prior to the effectiveness of the registration statement of which this prospectus is a part, each non-employee director serving on the board of directors shall be granted $50,000 of nonqualified stock options or restricted stock (with the form to be determined on the date of grant) on an annual basis, with each grant to occur following each year of service to us for each non-employee director. The shares will vest on the one-year anniversary of each grant, subject to the non-employee director's continued board service through each vesting date and provided that the director attends at least 75% of the board of directors meetings held during each respective year of board service.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intended that options under the director compensation policy will be granted under our 2013 Equity Compensation Plan, as described below.</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Equity Compensation Plan</w:t>
      </w:r>
    </w:p>
    <w:p>
      <w:pPr>
        <w:spacing w:after="0" w:line="22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Our board of directors previously adopted our 2013 Equity Compensation Plan as of March 22, 2013, which was approved by stockholders on the same date. Our board of directors subsequently approved a resolution amending the 2013 Plan in June 2015 to increase the number of shares available for issuance under the 2013 Plan. We refer to our 2013 Equity Compensation Plan in this section, as the 2013 Plan. The purpose of the 2013 Plan is to provide for the grant of incentive stock options, nonqualified stock options, stock awards, stock units, stock appreciation rights and other equity-based awards to employees, certain consultants and advisors and non-employee members of the Board of Directors.</w:t>
      </w:r>
    </w:p>
    <w:p>
      <w:pPr>
        <w:spacing w:after="0" w:line="187"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We have reserved an aggregate of 135,000 shares of our common stock for the issuance of options and stock awards under the 2013 Plan. The foregoing number is subject to adjustment in the event of a stock split, stock dividend, or other change in our capitalization. The shares we issue under the 2013 Plan are authorized but unissued shares or shares we reacquire. The shares of common stock underlying any options that are forfeited, canceled, repurchased, expire, or are otherwise terminated (other than by exercise) under the 2013 Plan are currently added back to the shares of common stock available for issuance under the 2013 Plan. Our 2013 Plan does not provide for payment of cash bonus awards.</w:t>
      </w:r>
    </w:p>
    <w:p>
      <w:pPr>
        <w:spacing w:after="0" w:line="187"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The 2013 Plan permits us to grant incentive stock options and non-qualified stock options and allows us to issue shares of common stock to officers, employees, directors, and consultants. Our 2013 Plan is administered by our board of directors. Our board of directors has the authority to select the individuals to whom awards will be granted, to make any combination of awards to participants, to accelerate the exercisability or vesting of any award, and to determine the specific terms and conditions of each award.</w:t>
      </w:r>
    </w:p>
    <w:p>
      <w:pPr>
        <w:spacing w:after="0" w:line="185"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exercise price of each option will be determined by our board of directors but may not be less than the fair market value of the common stock on the date of grant. The term of each option will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fixed by the board of directors and may not exceed ten years from the date of grant. All stock option awards that are granted to employees are subject to the terms and conditions of a stock option agreement. Shares of common stock may be issued under the plan subject to such terms and conditions as may be determined by the board.</w:t>
      </w:r>
    </w:p>
    <w:p>
      <w:pPr>
        <w:spacing w:after="0" w:line="179"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In the event of a change in control of the company, the board of directors may take any of the following actions with respect to any or all outstanding awards under the 2013 Plan: (1) determine that outstanding options and stock appreciation rights shall accelerate and become fully exercisable; (2) determine that the restrictions and conditions on outstanding stock awards, stock units, and other equity-based awards shall lapse in full and shall become payable upon terms determined by the board of directors; (3) require that grantees surrender their outstanding options or stock appreciation rights in exchange for a payment by the company, in cash or stock as determined by the board of directors, in an amount equal to the amount by which the then fair market value of the shares of common stock subject to the grantee's unexercised options exceeds the exercise price of the options; (4) after giving grantees an opportunity to exercise their outstanding options and stock appreciation rights, terminate any or all unexercised options at such time as the board of directors deems appropriate; or (5) provide that the awards will be assumed or otherwise continued in effect in connection with the change in control transaction.</w:t>
      </w:r>
    </w:p>
    <w:p>
      <w:pPr>
        <w:spacing w:after="0" w:line="17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Under our 2013 Plan, a change of control occurs if: (1) a person, entity, or affiliated group (with certain exceptions) acquires more than 50% of our then-outstanding voting securities; (2) a transaction in which we merge into another entity is consummated unless the holders of our voting shares immediately prior to the merger have at least 50% of the combined voting power of the securities in the merged entity or its parent; (3) we sell or dispose of all or substantially all of our assets; or (4) we are liquidated or dissolved.</w:t>
      </w:r>
    </w:p>
    <w:p>
      <w:pPr>
        <w:spacing w:after="0" w:line="18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board of directors may amend, suspend, or terminate the 2013 Plan at any time, subject to stockholder approval where such approval is required by applicable law. The board of directors may also amend, modify, or terminate any outstanding award, provided that no amendment to an award may materially impair any of the rights of a participant under any awards previously granted without his or her written consent.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is a description of transactions since our incorporation on January 12, 2012,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March 2013 Convertible Note Financing</w:t>
      </w:r>
    </w:p>
    <w:p>
      <w:pPr>
        <w:spacing w:after="0" w:line="224"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In March 2013, we entered into Note Purchase Agreements pursuant to which we issued and sold to investors an aggregate principal amount of $211,000 of convertible notes (the "March 2013 Notes"). The aggregate principal amount of the March 2013 Notes together with accrued interest thereon was converted to shares of our common stock in March 2014 and none of the March 2013 Notes remain outstanding.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participants in this convertible note financing included the following director:</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Shares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Received 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Conversion</w:t>
            </w: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b w:val="1"/>
                <w:bCs w:val="1"/>
                <w:color w:val="auto"/>
              </w:rPr>
              <w:t>Participants</w:t>
            </w:r>
          </w:p>
        </w:tc>
        <w:tc>
          <w:tcPr>
            <w:tcW w:w="23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Mark Coleman</w:t>
            </w:r>
          </w:p>
        </w:tc>
        <w:tc>
          <w:tcPr>
            <w:tcW w:w="3020" w:type="dxa"/>
            <w:vAlign w:val="bottom"/>
            <w:gridSpan w:val="2"/>
            <w:shd w:val="clear" w:color="auto" w:fill="CCEEFF"/>
          </w:tcPr>
          <w:p>
            <w:pPr>
              <w:jc w:val="center"/>
              <w:ind w:left="2255"/>
              <w:spacing w:after="0"/>
              <w:rPr>
                <w:sz w:val="20"/>
                <w:szCs w:val="20"/>
                <w:color w:val="auto"/>
              </w:rPr>
            </w:pPr>
            <w:r>
              <w:rPr>
                <w:rFonts w:ascii="Arial" w:cs="Arial" w:eastAsia="Arial" w:hAnsi="Arial"/>
                <w:sz w:val="17"/>
                <w:szCs w:val="17"/>
                <w:color w:val="auto"/>
                <w:w w:val="95"/>
              </w:rPr>
              <w:t>$  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Dr. Coleman's participation as a purchaser of March 2013 Notes under the Note Purchase Agreement was on the same terms as the other purchasers that are unaffiliated with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June—October 2013 Convertible Note Financing</w:t>
      </w:r>
    </w:p>
    <w:p>
      <w:pPr>
        <w:spacing w:after="0" w:line="224"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From June through October 2013, we entered into Note Purchase Agreements pursuant to which we issued and sold to investors an aggregate principal amount of $3,904,000 of convertible notes (the "June 2013 Notes"). The aggregate principal amount of the June 2013 Notes together with accrued interest thereon was converted to shares of our common stock between June 2014 and October 2014 and none of the June 2013 Notes remain outstanding.</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participants in this convertible note financing included the following director:</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Shares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Received 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Conversion</w:t>
            </w: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b w:val="1"/>
                <w:bCs w:val="1"/>
                <w:color w:val="auto"/>
              </w:rPr>
              <w:t>Participants</w:t>
            </w:r>
          </w:p>
        </w:tc>
        <w:tc>
          <w:tcPr>
            <w:tcW w:w="23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Mark Coleman</w:t>
            </w:r>
          </w:p>
        </w:tc>
        <w:tc>
          <w:tcPr>
            <w:tcW w:w="3020" w:type="dxa"/>
            <w:vAlign w:val="bottom"/>
            <w:gridSpan w:val="2"/>
            <w:shd w:val="clear" w:color="auto" w:fill="CCEEFF"/>
          </w:tcPr>
          <w:p>
            <w:pPr>
              <w:jc w:val="center"/>
              <w:ind w:left="2255"/>
              <w:spacing w:after="0"/>
              <w:rPr>
                <w:sz w:val="20"/>
                <w:szCs w:val="20"/>
                <w:color w:val="auto"/>
              </w:rPr>
            </w:pPr>
            <w:r>
              <w:rPr>
                <w:rFonts w:ascii="Arial" w:cs="Arial" w:eastAsia="Arial" w:hAnsi="Arial"/>
                <w:sz w:val="17"/>
                <w:szCs w:val="17"/>
                <w:color w:val="auto"/>
                <w:w w:val="95"/>
              </w:rPr>
              <w:t>$  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Dr. Coleman's participation as a purchaser of June 2013 Notes under the Note Purchase Agreement was on the same terms as the other purchasers that are unaffiliated with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September—November 2014 Convertible Note Financing</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From September through November 2014, we entered into Note Purchase Agreements pursuant to which we issued and sold to investors an aggregate principal amount of $4,140,000 of convertible notes (the "September 2014 Notes"). All of the September 2014 Notes remain outstanding. The September 2014 Notes accrue interest at a rate of 8% per annum and will automatically convert, upon closing 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this offering, into shares of our common stock at a conversion price equal to the lesser of (i) $39.67 per share and (ii) 75% of the initial public offering price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participants in this convertible note financing included the following director:</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57"/>
        </w:trPr>
        <w:tc>
          <w:tcPr>
            <w:tcW w:w="4120" w:type="dxa"/>
            <w:vAlign w:val="bottom"/>
            <w:gridSpan w:val="3"/>
          </w:tcPr>
          <w:p>
            <w:pPr>
              <w:spacing w:after="0"/>
              <w:rPr>
                <w:sz w:val="20"/>
                <w:szCs w:val="20"/>
                <w:color w:val="auto"/>
              </w:rPr>
            </w:pPr>
            <w:r>
              <w:rPr>
                <w:rFonts w:ascii="Arial" w:cs="Arial" w:eastAsia="Arial" w:hAnsi="Arial"/>
                <w:sz w:val="13"/>
                <w:szCs w:val="13"/>
                <w:b w:val="1"/>
                <w:bCs w:val="1"/>
                <w:color w:val="auto"/>
              </w:rPr>
              <w:t>Participants</w:t>
            </w:r>
          </w:p>
        </w:tc>
        <w:tc>
          <w:tcPr>
            <w:tcW w:w="28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Mark Coleman</w:t>
            </w:r>
          </w:p>
        </w:tc>
        <w:tc>
          <w:tcPr>
            <w:tcW w:w="3700" w:type="dxa"/>
            <w:vAlign w:val="bottom"/>
            <w:gridSpan w:val="2"/>
            <w:shd w:val="clear" w:color="auto" w:fill="CCEEFF"/>
          </w:tcPr>
          <w:p>
            <w:pPr>
              <w:jc w:val="center"/>
              <w:ind w:left="2735"/>
              <w:spacing w:after="0"/>
              <w:rPr>
                <w:sz w:val="20"/>
                <w:szCs w:val="20"/>
                <w:color w:val="auto"/>
              </w:rPr>
            </w:pPr>
            <w:r>
              <w:rPr>
                <w:rFonts w:ascii="Arial" w:cs="Arial" w:eastAsia="Arial" w:hAnsi="Arial"/>
                <w:sz w:val="17"/>
                <w:szCs w:val="17"/>
                <w:color w:val="auto"/>
                <w:w w:val="93"/>
              </w:rPr>
              <w:t>$  1,200,000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Dr. Coleman's participation as a purchaser of September 2014 Notes under the Note Purchase Agreement was on the same terms as the other purchasers that are unaffiliated with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December 2014—January 2015 Convertible Note Financing</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From December 2014 through January 2015, we entered into Note Purchase Agreements pursuant to which we issued and sold to investors an aggregate principal amount of $1,570,000 of convertible notes (the "December 2014 Notes"). All of the December 2014 Notes remain outstanding. The December 2014 Notes accrue interest at a rate of 8% per annum and will automatically convert, upon closing of this offering, into shares of our common stock at a conversion price equal to the lesser of (i) $43.63 per share and (ii) 75% of the initial public offering price per share.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participants in this convertible note financing included the following director:</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57"/>
        </w:trPr>
        <w:tc>
          <w:tcPr>
            <w:tcW w:w="4120" w:type="dxa"/>
            <w:vAlign w:val="bottom"/>
            <w:gridSpan w:val="3"/>
          </w:tcPr>
          <w:p>
            <w:pPr>
              <w:spacing w:after="0"/>
              <w:rPr>
                <w:sz w:val="20"/>
                <w:szCs w:val="20"/>
                <w:color w:val="auto"/>
              </w:rPr>
            </w:pPr>
            <w:r>
              <w:rPr>
                <w:rFonts w:ascii="Arial" w:cs="Arial" w:eastAsia="Arial" w:hAnsi="Arial"/>
                <w:sz w:val="13"/>
                <w:szCs w:val="13"/>
                <w:b w:val="1"/>
                <w:bCs w:val="1"/>
                <w:color w:val="auto"/>
              </w:rPr>
              <w:t>Participants</w:t>
            </w:r>
          </w:p>
        </w:tc>
        <w:tc>
          <w:tcPr>
            <w:tcW w:w="28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Mark Coleman</w:t>
            </w:r>
          </w:p>
        </w:tc>
        <w:tc>
          <w:tcPr>
            <w:tcW w:w="3700" w:type="dxa"/>
            <w:vAlign w:val="bottom"/>
            <w:gridSpan w:val="2"/>
            <w:shd w:val="clear" w:color="auto" w:fill="CCEEFF"/>
          </w:tcPr>
          <w:p>
            <w:pPr>
              <w:jc w:val="center"/>
              <w:ind w:left="2735"/>
              <w:spacing w:after="0"/>
              <w:rPr>
                <w:sz w:val="20"/>
                <w:szCs w:val="20"/>
                <w:color w:val="auto"/>
              </w:rPr>
            </w:pPr>
            <w:r>
              <w:rPr>
                <w:rFonts w:ascii="Arial" w:cs="Arial" w:eastAsia="Arial" w:hAnsi="Arial"/>
                <w:sz w:val="17"/>
                <w:szCs w:val="17"/>
                <w:color w:val="auto"/>
                <w:w w:val="93"/>
              </w:rPr>
              <w:t>$  1,000,000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Dr. Coleman's participation as a purchaser of December 2014 Notes under the Note Purchase Agreement was on the same terms as the other purchasers that are unaffiliated with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May—July 2015 Convertible Note Financing</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From May 2015 through July 2015, we entered into Note Purchase Agreements pursuant to which we issued and sold to investors an aggregate principal amount of $7,166,469 of convertible notes (the "2015 Notes"). All of the 2015 Notes remain outstanding. The 2015 Notes accrue interest at a rate of 8% per annum and will automatically convert, upon closing of this offering, into shares of our common stock at a conversion price equal to the lesser of (i) $43.63 per share and (ii) 75% of the initial public offering price per share.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participants in this convertible note financing included the following director and family member:</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57"/>
        </w:trPr>
        <w:tc>
          <w:tcPr>
            <w:tcW w:w="4360" w:type="dxa"/>
            <w:vAlign w:val="bottom"/>
            <w:gridSpan w:val="3"/>
          </w:tcPr>
          <w:p>
            <w:pPr>
              <w:spacing w:after="0"/>
              <w:rPr>
                <w:sz w:val="20"/>
                <w:szCs w:val="20"/>
                <w:color w:val="auto"/>
              </w:rPr>
            </w:pPr>
            <w:r>
              <w:rPr>
                <w:rFonts w:ascii="Arial" w:cs="Arial" w:eastAsia="Arial" w:hAnsi="Arial"/>
                <w:sz w:val="13"/>
                <w:szCs w:val="13"/>
                <w:b w:val="1"/>
                <w:bCs w:val="1"/>
                <w:color w:val="auto"/>
              </w:rPr>
              <w:t>Participants</w:t>
            </w: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 Mark Coleman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7"/>
                <w:szCs w:val="17"/>
                <w:color w:val="auto"/>
              </w:rPr>
              <w:t>Christopher T. Coleman</w:t>
            </w:r>
          </w:p>
        </w:tc>
        <w:tc>
          <w:tcPr>
            <w:tcW w:w="2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These individuals participated as purchasers of 2015 Notes under the Note Purchase Agreement on the same terms as the other purchasers that are unaffiliated with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Agreement</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are party to a stockholders agreement under which certain holders of our capital stock, including all holders of more than 5% of our capital stock, certain of our directors and executive officers, and entities affiliated with certain of our directors and executive officers, have agreed to, among other things, vote in a certain way on certain matters, including with respect to the election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directors. Upon the closing of this offering, the stockholders agreement will terminate and none of our stockholders will have any special rights regarding the election or designation of members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224"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We are party to three exclusive license agreements under which an entity affiliated with our Chief Executive Officer and Chairman of the Board, Herriot Tabuteau, M.D., has licensed to us certain patents and applications invented by Dr. Tabuteau. For a more detailed description of these agreements, please see "Business —Material License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Agreement with Mark Coleman, M.D.</w:t>
      </w:r>
    </w:p>
    <w:p>
      <w:pPr>
        <w:spacing w:after="0" w:line="224"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We entered into a three-year consulting agreement with Mark Coleman, M.D., a member of our board of directors, in April 2012, which was subsequently amended in June 2014, to engage Dr. Coleman to provide certain consulting services in connection with our development of pharmaceutical and other therapeutic product candidates. The consulting agreement provided us with the ability to compensate Dr. Coleman in cash or options. In March 2013, we issued to Dr. Coleman an option grant to purchase 2,859 shares of our common stock with an exercise price of $9.55 per share that vested immediately; in June 2014, we issued to Dr. Coleman an option grant to purchase 10,471 shares of our common stock with an exercise price of $9.55 per share which are subject to certain performance-based vesting restrictions; and in June 2015, we issued to Dr. Coleman an option grant to purchase 4,549 shares of our common stock with an exercise price of $43.63 per share that vested immediately.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Prior to the completion of this offering, we expect to enter into indemnification agreements with each of our executive officers and directors. These agreements will provide that we will indemnify each of these individuals to the fullest extent permitted by the Delaware General Corporation Law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Participation in this Offering</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Certain of our officers and directors may purchase shares of common stock in this offering at the initial public offering price pursuant to the directed share program. These prospective purchasers have the right to purchase these shares, but are under no obligation to purchase any shares in this offering and their interest in purchasing shares in this offering is not a commitment to do so. The underwriters will receive the same discount from shares of our common stock purchased by such officers and directors as they will from other shares of our common stock sold to the public in this offering. The shares sold in the directed share program will be subject to the 180-day lock-up restriction in the lock-up agreements described under "Underwriting."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our Founder</w:t>
      </w:r>
    </w:p>
    <w:p>
      <w:pPr>
        <w:spacing w:after="0" w:line="228"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From our inception, our founder, Herriot Tabuteau, M.D. has been our Chief Executive Officer, Chairman of our board of directors, and the beneficial owner of more than 5% of the outstanding shares of our common stock. In connection with the formation of our company, in January 2012, we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issued to Antecip Capital LLC, an entity controlled by Dr. Tabuteau, an aggregate of 1,000,000 shares of our common stock for nominal consideration.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and Approval of Related Party Transactions</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a related person. The policy and procedures cover any transaction involving a related person, also referred to herein as a related person transaction, in which the related person has a material interest and which does not fall under an explicitly stated exception set forth in the applicable disclosure rules of the SEC.</w:t>
      </w:r>
    </w:p>
    <w:p>
      <w:pPr>
        <w:spacing w:after="0" w:line="185"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 related person transaction will be considered approved or ratified if it is authorized by the Audit Committee after full disclosure of the related person's interest in the transaction. In considering related person transactions, the Audit Committee will consider any information considered material to investors and the following factors:</w:t>
      </w:r>
    </w:p>
    <w:p>
      <w:pPr>
        <w:spacing w:after="0" w:line="192"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related person's interest in the transaction;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approximate dollar value of the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our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we could have reached with an unrelated third party;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purpose and potential benefit to us of the transaction.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August 25, 2015, and on an as adjusted basis to reflect the sale of the common stock offered in this offering by:</w:t>
      </w:r>
    </w:p>
    <w:p>
      <w:pPr>
        <w:spacing w:after="0" w:line="18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persons known by us to beneficially own more than 5%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24" w:lineRule="exact"/>
        <w:rPr>
          <w:sz w:val="20"/>
          <w:szCs w:val="20"/>
          <w:color w:val="auto"/>
        </w:rPr>
      </w:pPr>
    </w:p>
    <w:p>
      <w:pPr>
        <w:ind w:right="80" w:firstLine="338"/>
        <w:spacing w:after="0" w:line="281"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Securities and Exchange Commission and includes voting or investment power with respect to securities. Under these rules, beneficial ownership includes any shares as to which the individual or entity has sole or shared voting power or investment power and includes any shares that an individual or entity has the right to acquire beneficial ownership of within 60 days of August 25, 2015, through the exercise of any warrant, stock option, or other right. Unless otherwise indicated, the address of all listed stockholders is c/o Axsome Therapeutics, Inc., 25 Broadway, New York, NY 10004. Each of the stockholders listed has sole voting and investment power with respect to the shares beneficially owned by the stockholder unless noted otherwise, subject to community property laws where applicable.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shares</w:t>
            </w:r>
          </w:p>
        </w:tc>
        <w:tc>
          <w:tcPr>
            <w:tcW w:w="1900" w:type="dxa"/>
            <w:vAlign w:val="bottom"/>
            <w:gridSpan w:val="4"/>
            <w:vMerge w:val="restart"/>
          </w:tcPr>
          <w:p>
            <w:pPr>
              <w:ind w:left="440"/>
              <w:spacing w:after="0"/>
              <w:rPr>
                <w:sz w:val="20"/>
                <w:szCs w:val="20"/>
                <w:color w:val="auto"/>
              </w:rPr>
            </w:pPr>
            <w:r>
              <w:rPr>
                <w:rFonts w:ascii="Arial" w:cs="Arial" w:eastAsia="Arial" w:hAnsi="Arial"/>
                <w:sz w:val="13"/>
                <w:szCs w:val="13"/>
                <w:b w:val="1"/>
                <w:bCs w:val="1"/>
                <w:color w:val="auto"/>
              </w:rPr>
              <w:t>Percent of class</w:t>
            </w:r>
          </w:p>
        </w:tc>
        <w:tc>
          <w:tcPr>
            <w:tcW w:w="0" w:type="dxa"/>
            <w:vAlign w:val="bottom"/>
          </w:tcPr>
          <w:p>
            <w:pPr>
              <w:spacing w:after="0"/>
              <w:rPr>
                <w:sz w:val="1"/>
                <w:szCs w:val="1"/>
                <w:color w:val="auto"/>
              </w:rPr>
            </w:pPr>
          </w:p>
        </w:tc>
      </w:tr>
      <w:tr>
        <w:trPr>
          <w:trHeight w:val="91"/>
        </w:trPr>
        <w:tc>
          <w:tcPr>
            <w:tcW w:w="9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9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beneficially</w:t>
            </w:r>
          </w:p>
        </w:tc>
        <w:tc>
          <w:tcPr>
            <w:tcW w:w="1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Prior to</w:t>
            </w: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owned</w:t>
            </w:r>
          </w:p>
        </w:tc>
        <w:tc>
          <w:tcPr>
            <w:tcW w:w="96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prior to the</w:t>
            </w:r>
          </w:p>
        </w:tc>
        <w:tc>
          <w:tcPr>
            <w:tcW w:w="9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this</w:t>
            </w:r>
          </w:p>
        </w:tc>
        <w:tc>
          <w:tcPr>
            <w:tcW w:w="94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After this</w:t>
            </w:r>
          </w:p>
        </w:tc>
        <w:tc>
          <w:tcPr>
            <w:tcW w:w="0" w:type="dxa"/>
            <w:vAlign w:val="bottom"/>
          </w:tcPr>
          <w:p>
            <w:pPr>
              <w:spacing w:after="0"/>
              <w:rPr>
                <w:sz w:val="1"/>
                <w:szCs w:val="1"/>
                <w:color w:val="auto"/>
              </w:rPr>
            </w:pPr>
          </w:p>
        </w:tc>
      </w:tr>
      <w:tr>
        <w:trPr>
          <w:trHeight w:val="177"/>
        </w:trPr>
        <w:tc>
          <w:tcPr>
            <w:tcW w:w="624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offering</w:t>
            </w:r>
          </w:p>
        </w:tc>
        <w:tc>
          <w:tcPr>
            <w:tcW w:w="960" w:type="dxa"/>
            <w:vAlign w:val="bottom"/>
            <w:gridSpan w:val="2"/>
          </w:tcPr>
          <w:p>
            <w:pPr>
              <w:jc w:val="center"/>
              <w:ind w:right="160"/>
              <w:spacing w:after="0" w:line="171" w:lineRule="exact"/>
              <w:rPr>
                <w:sz w:val="20"/>
                <w:szCs w:val="20"/>
                <w:color w:val="auto"/>
              </w:rPr>
            </w:pPr>
            <w:r>
              <w:rPr>
                <w:rFonts w:ascii="Arial" w:cs="Arial" w:eastAsia="Arial" w:hAnsi="Arial"/>
                <w:sz w:val="12"/>
                <w:szCs w:val="12"/>
                <w:b w:val="1"/>
                <w:bCs w:val="1"/>
                <w:color w:val="auto"/>
                <w:w w:val="93"/>
              </w:rPr>
              <w:t>offering</w:t>
            </w:r>
            <w:r>
              <w:rPr>
                <w:rFonts w:ascii="Arial" w:cs="Arial" w:eastAsia="Arial" w:hAnsi="Arial"/>
                <w:sz w:val="19"/>
                <w:szCs w:val="19"/>
                <w:b w:val="1"/>
                <w:bCs w:val="1"/>
                <w:color w:val="auto"/>
                <w:w w:val="93"/>
                <w:vertAlign w:val="superscript"/>
              </w:rPr>
              <w:t>(1)</w:t>
            </w:r>
          </w:p>
        </w:tc>
        <w:tc>
          <w:tcPr>
            <w:tcW w:w="940" w:type="dxa"/>
            <w:vAlign w:val="bottom"/>
            <w:gridSpan w:val="2"/>
          </w:tcPr>
          <w:p>
            <w:pPr>
              <w:ind w:left="120"/>
              <w:spacing w:after="0" w:line="171" w:lineRule="exact"/>
              <w:rPr>
                <w:sz w:val="20"/>
                <w:szCs w:val="20"/>
                <w:color w:val="auto"/>
              </w:rPr>
            </w:pPr>
            <w:r>
              <w:rPr>
                <w:rFonts w:ascii="Arial" w:cs="Arial" w:eastAsia="Arial" w:hAnsi="Arial"/>
                <w:sz w:val="12"/>
                <w:szCs w:val="12"/>
                <w:b w:val="1"/>
                <w:bCs w:val="1"/>
                <w:color w:val="auto"/>
              </w:rPr>
              <w:t>offering</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97"/>
        </w:trPr>
        <w:tc>
          <w:tcPr>
            <w:tcW w:w="2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5% Beneficial Owners:</w:t>
            </w:r>
          </w:p>
        </w:tc>
        <w:tc>
          <w:tcPr>
            <w:tcW w:w="38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4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Antecip Capital LLC</w:t>
            </w:r>
            <w:r>
              <w:rPr>
                <w:rFonts w:ascii="Arial" w:cs="Arial" w:eastAsia="Arial" w:hAnsi="Arial"/>
                <w:sz w:val="28"/>
                <w:szCs w:val="28"/>
                <w:color w:val="auto"/>
                <w:vertAlign w:val="superscript"/>
              </w:rPr>
              <w:t>(3)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1,000,000</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54.7%</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Directors and Named Executive Officers: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4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Herriot Tabuteau, M.D.</w:t>
            </w:r>
            <w:r>
              <w:rPr>
                <w:rFonts w:ascii="Arial" w:cs="Arial" w:eastAsia="Arial" w:hAnsi="Arial"/>
                <w:sz w:val="28"/>
                <w:szCs w:val="28"/>
                <w:color w:val="auto"/>
                <w:vertAlign w:val="superscript"/>
              </w:rPr>
              <w:t>(4)</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1,000,964</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54.7%</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4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Roger Jeffs, Ph.D.</w:t>
            </w:r>
            <w:r>
              <w:rPr>
                <w:rFonts w:ascii="Arial" w:cs="Arial" w:eastAsia="Arial" w:hAnsi="Arial"/>
                <w:sz w:val="28"/>
                <w:szCs w:val="28"/>
                <w:color w:val="auto"/>
                <w:vertAlign w:val="superscript"/>
              </w:rPr>
              <w:t>(5)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4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Mark Coleman, M.D.</w:t>
            </w:r>
            <w:r>
              <w:rPr>
                <w:rFonts w:ascii="Arial" w:cs="Arial" w:eastAsia="Arial" w:hAnsi="Arial"/>
                <w:sz w:val="28"/>
                <w:szCs w:val="28"/>
                <w:color w:val="auto"/>
                <w:vertAlign w:val="superscript"/>
              </w:rPr>
              <w:t>(6)</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94,667</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4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Mark Saad</w:t>
            </w:r>
            <w:r>
              <w:rPr>
                <w:rFonts w:ascii="Arial" w:cs="Arial" w:eastAsia="Arial" w:hAnsi="Arial"/>
                <w:sz w:val="28"/>
                <w:szCs w:val="28"/>
                <w:color w:val="auto"/>
                <w:vertAlign w:val="superscript"/>
              </w:rPr>
              <w:t>(7)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Arial" w:cs="Arial" w:eastAsia="Arial" w:hAnsi="Arial"/>
                <w:sz w:val="17"/>
                <w:szCs w:val="17"/>
                <w:color w:val="auto"/>
              </w:rPr>
              <w:t>All Directors and executive officers as a group (6 persons)</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1,102,232</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59.8%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680" w:hanging="533"/>
        <w:spacing w:after="0"/>
        <w:tabs>
          <w:tab w:leader="none" w:pos="1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7" w:lineRule="exact"/>
        <w:rPr>
          <w:sz w:val="20"/>
          <w:szCs w:val="20"/>
          <w:color w:val="auto"/>
        </w:rPr>
      </w:pPr>
    </w:p>
    <w:p>
      <w:pPr>
        <w:ind w:left="1680" w:hanging="533"/>
        <w:spacing w:after="0" w:line="278"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calculation of the percentage of shares beneficially owned before this offering is based on the number of shares of our common stock and common stock equivalents outstanding as of August 25, 2015, after giving effect to the automatic conversion upon the closing of the offering of (a) the aggregate principal amount of approximately $4.1 million and interest accrued as of August 25, 2015, under our outstanding convertible notes at an assumed conversion price of $39.67 per share into 111,737 shares of common stock, and (b) the aggregate principal amount of approximately $8.7 million and interest accrued as of August 25, 2015, under our outstanding convertible notes at an assumed conversion price of $43.63 per share into 205,433 shares of common stock. The number of shares of our common stock to be issued upon conversion of the convertible notes depends on the initial public offering price of our common stock. The convertible notes will convert at a conversion price equal to the lesser of (i) 75% of the initial public offering price and (ii) the respective assumed conversion price listed above, as adjusted for any capitalization changes. For a description of the convertible notes, see Note 7 to our consolidated financial statements included elsewhere in this prospectus.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66" w:lineRule="exact"/>
        <w:rPr>
          <w:sz w:val="20"/>
          <w:szCs w:val="20"/>
          <w:color w:val="auto"/>
        </w:rPr>
      </w:pPr>
    </w:p>
    <w:p>
      <w:pPr>
        <w:ind w:left="1680" w:hanging="533"/>
        <w:spacing w:after="0"/>
        <w:tabs>
          <w:tab w:leader="none" w:pos="16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For purposes of calculating the percentage of shares beneficially owned after this offering, the number of shares of common stock deemed</w:t>
      </w:r>
    </w:p>
    <w:p>
      <w:pPr>
        <w:spacing w:after="0" w:line="209" w:lineRule="exact"/>
        <w:rPr>
          <w:sz w:val="20"/>
          <w:szCs w:val="20"/>
          <w:color w:val="auto"/>
        </w:rPr>
      </w:pPr>
    </w:p>
    <w:p>
      <w:pPr>
        <w:ind w:left="1680" w:right="320"/>
        <w:spacing w:after="0" w:line="261" w:lineRule="auto"/>
        <w:rPr>
          <w:sz w:val="20"/>
          <w:szCs w:val="20"/>
          <w:color w:val="auto"/>
        </w:rPr>
      </w:pPr>
      <w:r>
        <w:rPr>
          <w:rFonts w:ascii="Arial" w:cs="Arial" w:eastAsia="Arial" w:hAnsi="Arial"/>
          <w:sz w:val="17"/>
          <w:szCs w:val="17"/>
          <w:color w:val="auto"/>
        </w:rPr>
        <w:t>outstanding after this offering assumes our issuance of shares of common stock in this offering and no exercise of the underwriters' over-allotment option.</w:t>
      </w:r>
    </w:p>
    <w:p>
      <w:pPr>
        <w:spacing w:after="0" w:line="21" w:lineRule="exact"/>
        <w:rPr>
          <w:sz w:val="20"/>
          <w:szCs w:val="20"/>
          <w:color w:val="auto"/>
        </w:rPr>
      </w:pPr>
    </w:p>
    <w:p>
      <w:pPr>
        <w:ind w:left="1680" w:right="80" w:hanging="533"/>
        <w:spacing w:after="0" w:line="261"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principal address of Antecip Capital LLC is 630 5th Avenue, Suite 2000, New York, NY 10111. Dr. Tabuteau is the managing member of Antecip Capital LLC and exercises sole dispositive and voting power over these shares.</w:t>
      </w:r>
    </w:p>
    <w:p>
      <w:pPr>
        <w:spacing w:after="0" w:line="7" w:lineRule="exact"/>
        <w:rPr>
          <w:rFonts w:ascii="Arial" w:cs="Arial" w:eastAsia="Arial" w:hAnsi="Arial"/>
          <w:sz w:val="17"/>
          <w:szCs w:val="17"/>
          <w:color w:val="auto"/>
        </w:rPr>
      </w:pPr>
    </w:p>
    <w:p>
      <w:pPr>
        <w:ind w:left="1680" w:hanging="533"/>
        <w:spacing w:after="0"/>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Includes 1,000,000 shares of common stock held by an affiliate, Antecip Capital LLC.</w:t>
      </w:r>
    </w:p>
    <w:p>
      <w:pPr>
        <w:spacing w:after="0" w:line="27" w:lineRule="exact"/>
        <w:rPr>
          <w:rFonts w:ascii="Arial" w:cs="Arial" w:eastAsia="Arial" w:hAnsi="Arial"/>
          <w:sz w:val="17"/>
          <w:szCs w:val="17"/>
          <w:color w:val="auto"/>
        </w:rPr>
      </w:pPr>
    </w:p>
    <w:p>
      <w:pPr>
        <w:ind w:left="1680" w:right="20" w:hanging="533"/>
        <w:spacing w:after="0" w:line="261"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(a) 583 shares of common stock owned by Dr. Jeffs and (b) 500 shares of common stock that Dr. Jeffs has the right to acquire from us within 60 days of August 25, 2015.</w:t>
      </w:r>
    </w:p>
    <w:p>
      <w:pPr>
        <w:spacing w:after="0" w:line="20" w:lineRule="exact"/>
        <w:rPr>
          <w:rFonts w:ascii="Arial" w:cs="Arial" w:eastAsia="Arial" w:hAnsi="Arial"/>
          <w:sz w:val="17"/>
          <w:szCs w:val="17"/>
          <w:color w:val="auto"/>
        </w:rPr>
      </w:pPr>
    </w:p>
    <w:p>
      <w:pPr>
        <w:ind w:left="1680" w:hanging="533"/>
        <w:spacing w:after="0" w:line="261"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(a) 86,759 shares of common stock owned by Dr. Coleman and (b) 7,908 shares of common stock that Dr. Coleman has the right to acquire from us within 60 days of August 25, 2015.</w:t>
      </w:r>
    </w:p>
    <w:p>
      <w:pPr>
        <w:spacing w:after="0" w:line="7" w:lineRule="exact"/>
        <w:rPr>
          <w:rFonts w:ascii="Arial" w:cs="Arial" w:eastAsia="Arial" w:hAnsi="Arial"/>
          <w:sz w:val="17"/>
          <w:szCs w:val="17"/>
          <w:color w:val="auto"/>
        </w:rPr>
      </w:pPr>
    </w:p>
    <w:p>
      <w:pPr>
        <w:ind w:left="1680" w:right="300" w:hanging="533"/>
        <w:spacing w:after="0" w:line="282"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(a) 467 shares of common stock owned by Mr. Saad and (b) 500 shares of common stock that Mr. Saad has the right to acquire from within 60 days of August 25,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228"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following description of our capital stock and provisions of our certificate of incorporation and bylaws are summaries and are qualified by reference to the amended and restated certificate of incorporation and the amended and restated bylaws that will be in effect upon the completion of this offering. We have filed copies of these documents with the Securities and Exchange Commission as exhibits to our registration statement, of which this prospectus forms a part. The descriptions of our common stock and preferred stock reflect changes to our capital structure that will occur upon the completion of this offering. We refer in this section to our amended and restated certificate of incorporation and amended and restated bylaws that we intend to adopt in connection with this offering as our certificate of incorporation and bylaws, respectively.</w:t>
      </w:r>
    </w:p>
    <w:p>
      <w:pPr>
        <w:spacing w:after="0" w:line="18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Upon consummation of this offering, our authorized capital stock will consist of shares of common stock, par value $0.0001 per share, and shares of preferred stock, par value $0.0001 per share, all of which preferred stock will remain undesignated.</w:t>
      </w:r>
    </w:p>
    <w:p>
      <w:pPr>
        <w:spacing w:after="0" w:line="170" w:lineRule="exact"/>
        <w:rPr>
          <w:sz w:val="20"/>
          <w:szCs w:val="20"/>
          <w:color w:val="auto"/>
        </w:rPr>
      </w:pPr>
    </w:p>
    <w:p>
      <w:pPr>
        <w:ind w:right="680" w:firstLine="332"/>
        <w:spacing w:after="0" w:line="315" w:lineRule="auto"/>
        <w:rPr>
          <w:sz w:val="20"/>
          <w:szCs w:val="20"/>
          <w:color w:val="auto"/>
        </w:rPr>
      </w:pPr>
      <w:r>
        <w:rPr>
          <w:rFonts w:ascii="Arial" w:cs="Arial" w:eastAsia="Arial" w:hAnsi="Arial"/>
          <w:sz w:val="16"/>
          <w:szCs w:val="16"/>
          <w:color w:val="auto"/>
        </w:rPr>
        <w:t>As of June 30, 2015, we had outstanding 1,512,449 shares of common stock, held by 46 stockholders of record. In addition, as of June 30, 2015, we had outstanding options to purchase 122,430 shares of common stock and warrants to purchase 37,099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proportionately any dividends as may be declared by our board of directors, subject to any preferential dividend rights of outstanding preferred stock.</w:t>
      </w:r>
    </w:p>
    <w:p>
      <w:pPr>
        <w:spacing w:after="0" w:line="185"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Under the terms of our certificate of incorporation, our board of directors will be authorized to issue shares of preferred stock in one or more series without stockholder approval. Our board of directors will have the discretion to determine the rights, preferences, privileges, and restrictions, including voting rights, dividend rights, conversion rights, redemption privileges, and liquidation preferences of each series of preferred stock.</w:t>
      </w:r>
    </w:p>
    <w:p>
      <w:pPr>
        <w:spacing w:after="0" w:line="17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completion of this offering, there will be no shares of preferred stock outstanding and we have no present plans to issue any shares of preferred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28"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As of June 30, 2015, options to purchase an aggregate of 121,556 shares were outstanding under our 2013 Equity Compensation Plan, and options to purchase an aggregate of 874 shares were outstanding outside of our 2013 Equity Compensation Plan, at a weighted average exercise price of $20.91 per share, of which options to purchase 50,260 shares were exercisable. As of that date, an additional 13,444 shares were available for issuance under our 2013 Equity Compensation Plan. For additional information regarding the terms of our 2013 Equity Compensation Plan, please see "Executive and Director Compensation—2013 Equity Compensation Plan."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ind w:right="220" w:firstLine="332"/>
        <w:spacing w:after="0" w:line="294" w:lineRule="auto"/>
        <w:rPr>
          <w:sz w:val="20"/>
          <w:szCs w:val="20"/>
          <w:color w:val="auto"/>
        </w:rPr>
      </w:pPr>
      <w:r>
        <w:rPr>
          <w:rFonts w:ascii="Arial" w:cs="Arial" w:eastAsia="Arial" w:hAnsi="Arial"/>
          <w:sz w:val="16"/>
          <w:szCs w:val="16"/>
          <w:color w:val="auto"/>
        </w:rPr>
        <w:t>As of June 30, 2015, warrants to purchase an aggregate of 31,372 shares of our common stock at an exercise price of $9.55 per share were outstanding. The warrants expire in October 2018. 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163" w:lineRule="exact"/>
        <w:rPr>
          <w:sz w:val="20"/>
          <w:szCs w:val="20"/>
          <w:color w:val="auto"/>
        </w:rPr>
      </w:pPr>
    </w:p>
    <w:p>
      <w:pPr>
        <w:ind w:right="20" w:firstLine="332"/>
        <w:spacing w:after="0" w:line="303" w:lineRule="auto"/>
        <w:rPr>
          <w:sz w:val="20"/>
          <w:szCs w:val="20"/>
          <w:color w:val="auto"/>
        </w:rPr>
      </w:pPr>
      <w:r>
        <w:rPr>
          <w:rFonts w:ascii="Arial" w:cs="Arial" w:eastAsia="Arial" w:hAnsi="Arial"/>
          <w:sz w:val="15"/>
          <w:szCs w:val="15"/>
          <w:color w:val="auto"/>
        </w:rPr>
        <w:t>As of June 30, 2015, warrants to purchase an aggregate of 5,727 shares of our common stock at a current exercise price of $43.64 per share were outstanding. The warrants expire in November 2019. The warrant price will automatically adjust to a 10% premium to the conversion price of the convertible notes we issued from September 2014 through November 2014 during a mandatory conversion, defined in the notes as the occurrence of an equity financing of at least $2,000,000 in gross aggregate cash proceeds, in which the conversion price would be equal to the lesser of (i) 75% of the lowest price per share at which shares of our equity securities are sold or (ii) $39.67, as adjusted for capitalization change. 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 Law and Certain Certificate of Incorporation and Bylaw Provisions</w:t>
      </w:r>
    </w:p>
    <w:p>
      <w:pPr>
        <w:spacing w:after="0" w:line="228" w:lineRule="exact"/>
        <w:rPr>
          <w:sz w:val="20"/>
          <w:szCs w:val="20"/>
          <w:color w:val="auto"/>
        </w:rPr>
      </w:pPr>
    </w:p>
    <w:p>
      <w:pPr>
        <w:ind w:right="280" w:firstLine="338"/>
        <w:spacing w:after="0" w:line="265" w:lineRule="auto"/>
        <w:rPr>
          <w:sz w:val="20"/>
          <w:szCs w:val="20"/>
          <w:color w:val="auto"/>
        </w:rPr>
      </w:pPr>
      <w:r>
        <w:rPr>
          <w:rFonts w:ascii="Arial" w:cs="Arial" w:eastAsia="Arial" w:hAnsi="Arial"/>
          <w:sz w:val="17"/>
          <w:szCs w:val="17"/>
          <w:color w:val="auto"/>
        </w:rPr>
        <w:t>The provisions of Delaware law and of our certificate of incorporation and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the best interests of the company.</w:t>
      </w:r>
    </w:p>
    <w:p>
      <w:pPr>
        <w:spacing w:after="0" w:line="199" w:lineRule="exact"/>
        <w:rPr>
          <w:sz w:val="20"/>
          <w:szCs w:val="20"/>
          <w:color w:val="auto"/>
        </w:rPr>
      </w:pPr>
    </w:p>
    <w:p>
      <w:pPr>
        <w:ind w:left="1060" w:right="20" w:hanging="531"/>
        <w:spacing w:after="0" w:line="26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are subject to the provisions of Section 203 of the General Corporation Law of Delaware. Section 203 prohibits a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specified exceptions, an "interested stockholder" is a person who, together with affiliates and associates, owns, or within three years did own, 15% or more of the corporation's voting stock.</w:t>
      </w:r>
    </w:p>
    <w:p>
      <w:pPr>
        <w:spacing w:after="0" w:line="214" w:lineRule="exact"/>
        <w:rPr>
          <w:rFonts w:ascii="Arial" w:cs="Arial" w:eastAsia="Arial" w:hAnsi="Arial"/>
          <w:sz w:val="17"/>
          <w:szCs w:val="17"/>
          <w:color w:val="auto"/>
        </w:rPr>
      </w:pPr>
    </w:p>
    <w:p>
      <w:pPr>
        <w:ind w:left="1060" w:hanging="531"/>
        <w:spacing w:after="0" w:line="28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Limitation of Liability; Indemnification. </w:t>
      </w:r>
      <w:r>
        <w:rPr>
          <w:rFonts w:ascii="Arial" w:cs="Arial" w:eastAsia="Arial" w:hAnsi="Arial"/>
          <w:sz w:val="16"/>
          <w:szCs w:val="16"/>
          <w:color w:val="auto"/>
        </w:rPr>
        <w:t>Our certificate of incorporation contains provisions permitted under the General Corporation Law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
        <w:spacing w:after="0" w:line="287" w:lineRule="auto"/>
        <w:rPr>
          <w:sz w:val="20"/>
          <w:szCs w:val="20"/>
          <w:color w:val="auto"/>
        </w:rPr>
      </w:pPr>
      <w:r>
        <w:rPr>
          <w:rFonts w:ascii="Arial" w:cs="Arial" w:eastAsia="Arial" w:hAnsi="Arial"/>
          <w:sz w:val="16"/>
          <w:szCs w:val="16"/>
          <w:color w:val="auto"/>
        </w:rPr>
        <w:t>liability of our directors and officers under federal securities laws. Furthermore, our certificate of incorporation contains provisions to indemnify our directors and officers to the fullest extent permitted by the General Corporation Law of Delaware.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82" w:lineRule="exact"/>
        <w:rPr>
          <w:sz w:val="20"/>
          <w:szCs w:val="20"/>
          <w:color w:val="auto"/>
        </w:rPr>
      </w:pPr>
    </w:p>
    <w:p>
      <w:pPr>
        <w:ind w:left="1060" w:hanging="531"/>
        <w:spacing w:after="0" w:line="281"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Forum. </w:t>
      </w:r>
      <w:r>
        <w:rPr>
          <w:rFonts w:ascii="Arial" w:cs="Arial" w:eastAsia="Arial" w:hAnsi="Arial"/>
          <w:sz w:val="16"/>
          <w:szCs w:val="16"/>
          <w:color w:val="auto"/>
        </w:rPr>
        <w:t>Our certificate of incorporation provides that, unless we consent in writing to the selection of an alternative forum, the Court of Chancery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of Delaware will be the sole and exclusive forum for any derivative action or proceeding brought on our behalf, any action asserting a claim of breach of a fiduciary duty owed by any director, officer, or other employee of the company to us or our stockholders, any action asserting a claim arising pursuant to any provision of the Delaware General Corporation Law, or any action asserting a claim governed by the internal affairs doctrine. Our certificate of incorporation further provides that any person or entity purchasing or otherwise acquiring any interest in shares of our capital stock is deemed to have notice of and consented to the foregoing provision.</w:t>
      </w:r>
    </w:p>
    <w:p>
      <w:pPr>
        <w:spacing w:after="0" w:line="176" w:lineRule="exact"/>
        <w:rPr>
          <w:sz w:val="20"/>
          <w:szCs w:val="20"/>
          <w:color w:val="auto"/>
        </w:rPr>
      </w:pPr>
    </w:p>
    <w:p>
      <w:pPr>
        <w:ind w:right="360" w:firstLine="341"/>
        <w:spacing w:after="0" w:line="352" w:lineRule="auto"/>
        <w:rPr>
          <w:sz w:val="20"/>
          <w:szCs w:val="20"/>
          <w:color w:val="auto"/>
        </w:rPr>
      </w:pPr>
      <w:r>
        <w:rPr>
          <w:rFonts w:ascii="Arial" w:cs="Arial" w:eastAsia="Arial" w:hAnsi="Arial"/>
          <w:sz w:val="15"/>
          <w:szCs w:val="15"/>
          <w:color w:val="auto"/>
        </w:rPr>
        <w:t>In addition to the foregoing, our certificate of incorporation and bylaws to be in effect upon completion of this offering contain provisions that could delay or prevent a change of control of our company or changes in our board of directors that our stockholders might consider favorable. Some of these provisions:</w:t>
      </w:r>
    </w:p>
    <w:p>
      <w:pPr>
        <w:spacing w:after="0" w:line="150" w:lineRule="exact"/>
        <w:rPr>
          <w:sz w:val="20"/>
          <w:szCs w:val="20"/>
          <w:color w:val="auto"/>
        </w:rPr>
      </w:pPr>
    </w:p>
    <w:p>
      <w:pPr>
        <w:ind w:left="1060" w:right="420" w:hanging="531"/>
        <w:spacing w:after="0" w:line="28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authorize the issuance of preferred stock which can be created and issued by the board of directors without prior stockholder approval, with rights senior to those of our common stock;</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for a classified board of directors, with each director serving a staggered three-year term;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prohibit our stockholders from filling board vacancies, calling special stockholder meetings, or taking action by written consent;</w:t>
      </w:r>
    </w:p>
    <w:p>
      <w:pPr>
        <w:spacing w:after="0" w:line="250"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by the affirmative vote of the holders of 75% or more of the shares then entitled to vote at an election of our directors;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require advance written notice of stockholder proposals and director nominations.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Market</w:t>
      </w:r>
    </w:p>
    <w:p>
      <w:pPr>
        <w:spacing w:after="0" w:line="228" w:lineRule="exact"/>
        <w:rPr>
          <w:sz w:val="20"/>
          <w:szCs w:val="20"/>
          <w:color w:val="auto"/>
        </w:rPr>
      </w:pPr>
    </w:p>
    <w:p>
      <w:pPr>
        <w:ind w:left="340"/>
        <w:spacing w:after="0"/>
        <w:tabs>
          <w:tab w:leader="none" w:pos="5080" w:val="left"/>
        </w:tabs>
        <w:rPr>
          <w:sz w:val="20"/>
          <w:szCs w:val="20"/>
          <w:color w:val="auto"/>
        </w:rPr>
      </w:pPr>
      <w:r>
        <w:rPr>
          <w:rFonts w:ascii="Arial" w:cs="Arial" w:eastAsia="Arial" w:hAnsi="Arial"/>
          <w:sz w:val="17"/>
          <w:szCs w:val="17"/>
          <w:color w:val="auto"/>
        </w:rPr>
        <w:t>We intend to apply to list our common stock on the NASDAQ</w:t>
      </w:r>
      <w:r>
        <w:rPr>
          <w:sz w:val="20"/>
          <w:szCs w:val="20"/>
          <w:color w:val="auto"/>
        </w:rPr>
        <w:tab/>
      </w:r>
      <w:r>
        <w:rPr>
          <w:rFonts w:ascii="Arial" w:cs="Arial" w:eastAsia="Arial" w:hAnsi="Arial"/>
          <w:sz w:val="16"/>
          <w:szCs w:val="16"/>
          <w:color w:val="auto"/>
        </w:rPr>
        <w:t>Market under the symbol "AXSM."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Prior to this offering, there has been no market for our common stock, and we cannot assure you that a liquid trading market for our common stock will develop or be sustained after this offering. Future sales of substantial amounts of common stock, including shares issued upon exercise of options and warrants, in the public market after this offering, or the anticipation of those sales, could adversely affect market prices prevailing from time to time and could impair our ability to raise capital through sales of our equity securities.</w:t>
      </w:r>
    </w:p>
    <w:p>
      <w:pPr>
        <w:spacing w:after="0" w:line="18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Based on shares outstanding as of June 30, 2015, upon completion of this offering, we will have outstanding shares of common stock, after giving effect to the automatic conversion of all principal and interest accrued as of the date of this prospectus under our outstanding convertible notes into shares of common stock, assuming an initial public offering price of $ per share, which is the midpoint of the price range set forth on the cover page of this prospectus, or shares of common stock if the underwriters exercise their over-allotment option in full.</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Of these shares, the shares sold in this offering will be freely tradable without restriction under the Securities Act unless purchased by our "affiliates," as that term is defined in Rule 144 under the Securities Act. The remaining shares of common stock to be outstanding after this offering are "restricted securities" under Rule 144. All of these restricted securities will be subject to the 180-day lock-up period described below. After the 180-day period, shares will be freely tradable under Rule 144(b)(1) and shares will be eligible for resale under Rule 144, subject to volume limitations. An additional shares will become freely tradable under Rule 144(b)(1) in .</w:t>
      </w:r>
    </w:p>
    <w:p>
      <w:pPr>
        <w:spacing w:after="0" w:line="187"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Restricted securities may be sold in the public market only if registered or if they qualify for an exemption from registration under Rule 144 or 701 under the Securities Act, which rules are summarized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In general, under Rule 144 as currently in effect, beginning 90 days after the date of this prospectus, any person who is not deemed an affiliate during the preceding three months and has held their shares for at least six months, including the holding period of any prior owner other than one of our affiliates, may sell shares without restriction, subject only to the availability of current public information about us.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79" w:lineRule="exact"/>
        <w:rPr>
          <w:sz w:val="20"/>
          <w:szCs w:val="20"/>
          <w:color w:val="auto"/>
        </w:rPr>
      </w:pPr>
    </w:p>
    <w:p>
      <w:pPr>
        <w:ind w:left="520"/>
        <w:spacing w:after="0"/>
        <w:tabs>
          <w:tab w:leader="none" w:pos="1040" w:val="left"/>
          <w:tab w:leader="none" w:pos="8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 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right="28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NASDAQ during the four calendar weeks preceding the filing of a Notice of Proposed Sale of Securities Pursuant to Rule 144 with respect to the sale.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Sales under Rule 144 by our affiliates or persons selling on behalf of our affiliates are also subject to manner of sale provisions and notice requirements and to the availability of current public information about us.</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Upon expiration of the 180-day lock-up period described below, approximately shares of our common stock will be eligible for sale under Rule 144. We cannot estimate the number of shares of our common stock that our existing stockholders will elect to sell under Rule 144.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general, under Rule 701 as currently in effect,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In connection with this offering, we, our directors, our executive officers and holders of substantially all of our outstanding common stock have agreed with the underwriters, subject to certain exceptions that are described in more detail in the section in this prospectus entitled "Underwriting,"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the representative of the underwriters. Each of the underwriters has advised us that they have no current intent or arrangement to release any of the shares subject to the lock-up agreements prior to the expiration of the lock-up period. The lock-up agreements permit stockholders to transfer common stock and other securities subject to the lock-up agreements in certain circumstances.</w:t>
      </w:r>
    </w:p>
    <w:p>
      <w:pPr>
        <w:spacing w:after="0" w:line="162" w:lineRule="exact"/>
        <w:rPr>
          <w:sz w:val="20"/>
          <w:szCs w:val="20"/>
          <w:color w:val="auto"/>
        </w:rPr>
      </w:pPr>
    </w:p>
    <w:p>
      <w:pPr>
        <w:ind w:right="320" w:firstLine="341"/>
        <w:spacing w:after="0" w:line="294" w:lineRule="auto"/>
        <w:rPr>
          <w:sz w:val="20"/>
          <w:szCs w:val="20"/>
          <w:color w:val="auto"/>
        </w:rPr>
      </w:pPr>
      <w:r>
        <w:rPr>
          <w:rFonts w:ascii="Arial" w:cs="Arial" w:eastAsia="Arial" w:hAnsi="Arial"/>
          <w:sz w:val="16"/>
          <w:szCs w:val="16"/>
          <w:color w:val="auto"/>
        </w:rPr>
        <w:t>Following the lock-up periods set forth in the agreements described above, and assuming that the representative of the underwriters do not release any parties from these agreements and that there is no extension of the lock-up period, all of the shares of our common stock that are restricted securities or are held by our affiliates as of the date of this prospectus will be eligible for sale in the public market in compliance with Rule 144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228"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common stock subject to outstanding stock options and common stock issuable under our equity compensation plans, including the equity compensation plans we plan to adopt in connection with this offering. Accordingly, shares registered under such registration statement will be available for sale in the open market, unless such shares are subject to vesting restrictions with us or the lock-up restrictions described above. Our equity compensation plans are described in more detail under "Executive Compensation."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U.S. FEDERAL INCOME TAX CONSEQUENCES TO NON-U.S. HOLDERS</w:t>
      </w:r>
    </w:p>
    <w:p>
      <w:pPr>
        <w:spacing w:after="0" w:line="228"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following is a general discussion of the material U.S. federal income tax consequences of the acquisition, ownership, and disposition of our common stock by "Non-U.S. Holders" (as defined below). This discussion is a summary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regulated investment companies, real estate investment trusts, controlled foreign corporations, passive foreign investment companies, corporations that accumulate earnings to avoid U.S. federal income tax, persons who use or are required to use mark-to-market accounting, persons that hold our common stock as part of a "straddle," a "hedge," a "conversion transaction" or an "integrated transaction," certain former citizens or permanent residents of the U.S., persons who received our common stock in connection with the performance of services or who own, or are deemed to own, 5% or more, by voting power or value, of our common stock, or persons subject to the alternative minimum tax. In addition, this summary does not address the effects of any applicable gift or estate tax, and this summary does not address the potential application of the Medicare contribution tax or any tax considerations that may apply to Non-U.S. Holders of our common stock under state, local, or non-U.S. tax laws and any other U.S. federal tax laws.</w:t>
      </w:r>
    </w:p>
    <w:p>
      <w:pPr>
        <w:spacing w:after="0" w:line="169"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This summary is based on the Internal Revenue Code of 1986, as amended, or the Code, and applicable Treasury Regulations, rulings, administrative pronouncements, and decisions, in each case, as in effect and available as of the date of this prospectus, all of which are subject to change or differing interpretations at any time with possible retroactive effect.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discussion assumes that a Non-U.S. Holder will hold our common stock as a capital asset within the meaning of the Code (generally, property held for investment).</w:t>
      </w:r>
    </w:p>
    <w:p>
      <w:pPr>
        <w:spacing w:after="0" w:line="188"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following discussion is for general information only and is not tax advice for any Non-U.S. Holder under its particular circumstances. Persons considering the purchase of our common stock pursuant to this offering should consult their own tax advisors concerning the U.S. federal income, estate, and gift tax consequences of acquiring, owning, and disposing of our common stock in light of their particular situations as well as any consequences arising under the laws of any other taxing jurisdiction, including any state, local, and non-U.S. tax consequences.</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For purposes of this discussion, the term "Non-U.S. Holder" means a beneficial owner of our common stock that is not a U.S. person and is not a partnership (or entity or arrangement treated as a partnership for U.S. federal income tax purposes). A U.S. person is any one of the following:</w:t>
      </w:r>
    </w:p>
    <w:p>
      <w:pPr>
        <w:spacing w:after="0" w:line="183"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250"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the U.S. or under the laws of the U.S. or of any state thereof or the District of Columbia;</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37" w:lineRule="exact"/>
        <w:rPr>
          <w:rFonts w:ascii="Arial" w:cs="Arial" w:eastAsia="Arial" w:hAnsi="Arial"/>
          <w:sz w:val="17"/>
          <w:szCs w:val="17"/>
          <w:color w:val="auto"/>
        </w:rPr>
      </w:pPr>
    </w:p>
    <w:p>
      <w:pPr>
        <w:ind w:left="1060" w:right="20" w:hanging="531"/>
        <w:spacing w:after="0" w:line="352" w:lineRule="auto"/>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23" w:lineRule="exact"/>
        <w:rPr>
          <w:sz w:val="20"/>
          <w:szCs w:val="20"/>
          <w:color w:val="auto"/>
        </w:rPr>
      </w:pPr>
    </w:p>
    <w:p>
      <w:pPr>
        <w:ind w:right="560" w:firstLine="341"/>
        <w:spacing w:after="0" w:line="315" w:lineRule="auto"/>
        <w:rPr>
          <w:sz w:val="20"/>
          <w:szCs w:val="20"/>
          <w:color w:val="auto"/>
        </w:rPr>
      </w:pPr>
      <w:r>
        <w:rPr>
          <w:rFonts w:ascii="Arial" w:cs="Arial" w:eastAsia="Arial" w:hAnsi="Arial"/>
          <w:sz w:val="16"/>
          <w:szCs w:val="16"/>
          <w:color w:val="auto"/>
        </w:rPr>
        <w:t>If a partnership (or entity or arrangement treated as a partnership for U.S. federal income tax purposes) is a beneficial owner of our common stock, the tax treatment of such partnership, and a partner in the partnership, will generally depend upon the status of the partner, the activities of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40"/>
        <w:spacing w:after="0" w:line="315" w:lineRule="auto"/>
        <w:rPr>
          <w:sz w:val="20"/>
          <w:szCs w:val="20"/>
          <w:color w:val="auto"/>
        </w:rPr>
      </w:pPr>
      <w:r>
        <w:rPr>
          <w:rFonts w:ascii="Arial" w:cs="Arial" w:eastAsia="Arial" w:hAnsi="Arial"/>
          <w:sz w:val="16"/>
          <w:szCs w:val="16"/>
          <w:color w:val="auto"/>
        </w:rPr>
        <w:t>partnership, and certain determinations made at the partner level. If you are a partnership, or a partner of a partnership, holding shares of our common stock, you should consult your tax advisor regarding the tax consequences of the purchase, ownership, and disposition of our common stock.</w:t>
      </w:r>
    </w:p>
    <w:p>
      <w:pPr>
        <w:spacing w:after="0" w:line="142" w:lineRule="exact"/>
        <w:rPr>
          <w:sz w:val="20"/>
          <w:szCs w:val="20"/>
          <w:color w:val="auto"/>
        </w:rPr>
      </w:pPr>
    </w:p>
    <w:p>
      <w:pPr>
        <w:ind w:right="280" w:firstLine="341"/>
        <w:spacing w:after="0" w:line="272" w:lineRule="auto"/>
        <w:rPr>
          <w:sz w:val="20"/>
          <w:szCs w:val="20"/>
          <w:color w:val="auto"/>
        </w:rPr>
      </w:pPr>
      <w:r>
        <w:rPr>
          <w:rFonts w:ascii="Arial" w:cs="Arial" w:eastAsia="Arial" w:hAnsi="Arial"/>
          <w:sz w:val="17"/>
          <w:szCs w:val="17"/>
          <w:b w:val="1"/>
          <w:bCs w:val="1"/>
          <w:color w:val="auto"/>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In general, subject to the discussions below under "Information Reporting and Backup Withholding" and "Foreign Accounts," distributions, if any, paid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U.S. Any distribution not constituting a dividend (because such distribution exceeds our current and accumulated earnings and profits) will be treated first as reducing the Non-U.S. Holder's basis in its shares of common stock, but not below zero, and to the extent it exceeds the Non-U.S. Holder's basis, as capital gain (see "—Gain on Sale, Exchange, or Other Disposition of Our Common Stock" below).</w:t>
      </w:r>
    </w:p>
    <w:p>
      <w:pPr>
        <w:spacing w:after="0" w:line="190"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 Non-U.S. Holder who claims the benefit of an applicable income tax treaty generally will be required to satisfy certain certification and other requirements prior to the distribution date. Non-U.S. Holders must generally provide the withholding agent with a properly executed IRS Form W-8BEN or Form W-8BEN-E claiming an exemption from or reduction in withholding under an applicable income tax treaty. This certification must be updated periodically. If a Non-U.S. Holder holds our common stock through a financial institution or other agent acting on the Non-U.S. Holder's behalf, the Non-U.S. Holder will be required to provide appropriate documentation to the agent, who then will be required to provide certification to us or our paying agent, either directly or through other intermediaries. If tax is withheld in an amount in excess of the amount applicable under an income tax treaty, a refund of the excess amount may generally be obtained by timely filing an appropriate claim for refund with the IRS. Non-U.S. Holders should consult their tax advisors regarding their entitlement to benefits under an applicable income tax treaty.</w:t>
      </w:r>
    </w:p>
    <w:p>
      <w:pPr>
        <w:spacing w:after="0" w:line="187" w:lineRule="exact"/>
        <w:rPr>
          <w:sz w:val="20"/>
          <w:szCs w:val="20"/>
          <w:color w:val="auto"/>
        </w:rPr>
      </w:pPr>
    </w:p>
    <w:p>
      <w:pPr>
        <w:ind w:right="80" w:firstLine="341"/>
        <w:spacing w:after="0" w:line="281" w:lineRule="auto"/>
        <w:rPr>
          <w:sz w:val="20"/>
          <w:szCs w:val="20"/>
          <w:color w:val="auto"/>
        </w:rPr>
      </w:pPr>
      <w:r>
        <w:rPr>
          <w:rFonts w:ascii="Arial" w:cs="Arial" w:eastAsia="Arial" w:hAnsi="Arial"/>
          <w:sz w:val="16"/>
          <w:szCs w:val="16"/>
          <w:color w:val="auto"/>
        </w:rPr>
        <w:t>Dividends that are effectively connected with a Non-U.S. Holder's conduct of a U.S. trade or business (and, if required by an applicable income tax treaty, attributable to a U.S. permanent establishment or fixed base of the Non-U.S. Holder) generally will not be subject to U.S. withholding tax if the Non-U.S. Holder provides the withholding agent with the required forms, including IRS Form W-8ECI, but instead generally will be subject to U.S. federal income tax on a net income basis at the regular graduated rates in the same manner as if the Non-U.S. Holder were a resident of the U.S. A corporate Non-U.S. Holder that receives effectively connected dividends may also be subject to an additional branch profits tax at a rate of 30% (or a lower rate prescribed by an applicable income tax treaty) of its effectively connected earnings and profits for the taxable year, as adjusted for certain items.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Disposition of Our Common Stock</w:t>
      </w:r>
    </w:p>
    <w:p>
      <w:pPr>
        <w:spacing w:after="0" w:line="228"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In general, subject to the discussions below under "Information Reporting and Backup Withholding" and "Foreign Accounts," a Non-U.S. holder will not be subject to any U.S. federal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or withholding tax on any gain realized upon such holder's sale, exchange, or other disposition of shares of our common stock unless:</w:t>
      </w:r>
    </w:p>
    <w:p>
      <w:pPr>
        <w:spacing w:after="0" w:line="237" w:lineRule="exact"/>
        <w:rPr>
          <w:sz w:val="20"/>
          <w:szCs w:val="20"/>
          <w:color w:val="auto"/>
        </w:rPr>
      </w:pPr>
    </w:p>
    <w:p>
      <w:pPr>
        <w:ind w:left="1060" w:right="18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U.S. (and, if required by an applicable income tax treaty, attributable to a U.S. permanent establishment or fixed base of the Non-U.S. Holder);</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days or more in the taxable year of disposition and certain other conditions are met; or</w:t>
      </w:r>
    </w:p>
    <w:p>
      <w:pPr>
        <w:spacing w:after="0" w:line="182" w:lineRule="exact"/>
        <w:rPr>
          <w:rFonts w:ascii="Arial" w:cs="Arial" w:eastAsia="Arial" w:hAnsi="Arial"/>
          <w:sz w:val="17"/>
          <w:szCs w:val="17"/>
          <w:color w:val="auto"/>
        </w:rPr>
      </w:pPr>
    </w:p>
    <w:p>
      <w:pPr>
        <w:ind w:left="1060" w:right="80" w:hanging="531"/>
        <w:spacing w:after="0" w:line="265"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the common stock, and, in the case where shares of our common stock are regularly traded on an established securities market, the Non-U.S. Holder owns, or is treated as owning, more than five percent of our common stock at any time during the foregoing period.</w:t>
      </w:r>
    </w:p>
    <w:p>
      <w:pPr>
        <w:spacing w:after="0" w:line="185"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Net gain realized by a Non-U.S. Holder described in clause (i) above generally will be subject to U.S. federal income tax in the same manner as if the Non-U.S. Holder were a U.S. person. Any gains of a corporate Non-U.S. Holder described in clause (i) above may also be subject to an additional branch profits tax at a 30% rate, or such lower rate as may be specified by an applicable income tax treaty.</w:t>
      </w:r>
    </w:p>
    <w:p>
      <w:pPr>
        <w:spacing w:after="0" w:line="179" w:lineRule="exact"/>
        <w:rPr>
          <w:sz w:val="20"/>
          <w:szCs w:val="20"/>
          <w:color w:val="auto"/>
        </w:rPr>
      </w:pPr>
    </w:p>
    <w:p>
      <w:pPr>
        <w:ind w:right="420" w:firstLine="341"/>
        <w:spacing w:after="0" w:line="352" w:lineRule="auto"/>
        <w:rPr>
          <w:sz w:val="20"/>
          <w:szCs w:val="20"/>
          <w:color w:val="auto"/>
        </w:rPr>
      </w:pPr>
      <w:r>
        <w:rPr>
          <w:rFonts w:ascii="Arial" w:cs="Arial" w:eastAsia="Arial" w:hAnsi="Arial"/>
          <w:sz w:val="15"/>
          <w:szCs w:val="15"/>
          <w:color w:val="auto"/>
        </w:rPr>
        <w:t>Gain realized by an individual Non-U.S. Holder described in clause (ii) above will be subject to a flat 30% tax (or such lower rate specified by an applicable income tax treaty), which gain may be offset by certain U.S. source capital losses, even though the individual is not considered a resident of the U.S.</w:t>
      </w:r>
    </w:p>
    <w:p>
      <w:pPr>
        <w:spacing w:after="0" w:line="123"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For purposes of clause (iii) above, a corporation is a "United States real property holding corporation" if the fair market value of its U.S. real property interests equals or exceeds 50% of the sum of the fair market value of its worldwide real property interests plus its other assets used or held for use in a trade or business. We believe that we are not, and we do not anticipate that we will become, a United States real property holding corporation. However, because the determination of whether we are a United States real property holding corporation depends on the fair market value of our U.S. real property interests relative to the fair market value of our other business assets, there can be no assurance that we will not become a United States real property holding corporation in the future. If we become a United States real property holding corporation, as long as our common stock is regularly traded on an established securities market, our common stock will be treated as a U.S. real property interest only with respect to a Non-U.S. Holder that actually or constructively held more than 5% of our common stock at any time during the shorter of the two periods described in clause (iii) above. If gain on the sale or other taxable disposition of our common stock were subject to taxation under clause (iii) above, the Non-U.S. Holder would be subject to regular U.S. federal income tax with respect to such gain in generally the same manner as a U.S. person.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An individual who at the time of death is not a citizen or resident of the United States and who is treated as the owner of an interest in our common stock will be required to include the value thereof in his or her taxable estate for U.S. federal estate tax purposes, and may be subject to U.S. federal estate tax unless an applicable estate tax treaty provides otherwise. The test for whether an individual is a resident of the United States for U.S. federal estate tax purposes differs from the test used for U.S. federal income tax purposes. Some individuals, therefore, may be "Non-U.S. Holders" for U.S. federal income tax purposes, but not for U.S. federal estate tax purposes, and vice versa.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2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Generally, we must report annually to the IRS and to each Non-U.S. Holder the amount of dividends paid, the name and address of the recipient, and the amount, if any, of tax withheld.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reporting requirements apply even if withholding was not required because the dividends were effectively connected with the Non-U.S. Holder's conduct of a trade or business within the U.S. or withholding was reduced by an applicable income tax treaty. Under applicable income tax treaties or other agreements, the IRS may make its reports available to the tax authorities in the Non-U.S. Holder's country of residence.</w:t>
      </w:r>
    </w:p>
    <w:p>
      <w:pPr>
        <w:spacing w:after="0" w:line="179"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Dividends paid to a Non-U.S. Holder that is not an exempt recipient generally will be subject to backup withholding, currently at a rate of 28%, unless the Non-U.S. Holder certifies to the withholding agent as to its foreign status, which certification may generally be made on IRS Form W-8BEN, Form W-8BEN-E or other appropriate version of IRS Form W-8. Notwithstanding the foregoing, backup withholding may apply if either we or our paying agent has actual knowledge, or reason to know, that the holder is a U.S. person that is not an exempt recipient.</w:t>
      </w:r>
    </w:p>
    <w:p>
      <w:pPr>
        <w:spacing w:after="0" w:line="185"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Proceeds from the sale or other disposition of common stock by a Non-U.S. Holder effected by or through a U.S. office of a broker will generally be subject to information reporting and backup withholding, currently at a rate of 28%, unless the Non-U.S. Holder certifies to the withholding agent under penalties of perjury as to, among other things, its name, address, and status as a Non-U.S. Holder or otherwise establishes an exemption. Payment of disposition proceeds effected outside the U.S. by or through a non-U.S. office of a non-U.S. broker generally will not be subject to information reporting or backup withholding if the payment is not received in the U.S. Information reporting, but generally not backup withholding (provided the broker does not have actual knowledge or reason to know that the holder is a U.S. person that is not an exempt recipient),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64"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28"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 U.S. federal withholding tax of 30% may apply to dividends and the gross proceeds of a disposition of our common stock paid to a "foreign financial institution" (as specially defined under applicable rules) unless such institution enters into an agreement with the U.S. government to withhold on certain payments and to collect and provide to the U.S. tax authorities substantial information regarding certain U.S. account holders of such institution (which includes certain equity holders of such institution, as well as certain account holders that are foreign entities with U.S. owners). This U.S. federal withholding tax of 30% will also apply to payments of dividends and the gross proceeds of a disposition of our common stock paid to a "non-financial foreign entity" (as specially defined under applicable rules) unless such entity either certifies it does not have any substantial U.S. owners or provides the withholding agent with a certification identifying substantial direct and indirect U.S. owners of the entity. The withholding tax described above will not apply if the foreign financial institution or non-financial foreign entity otherwise qualifies for an exemption from the rules. Under certain circumstances, a Non-U.S. Holder might be eligible for refunds or credits of such taxes. The U.S. has entered into agreements with certain countries that modify these general rules for entities located in those countries. Prospective investors are encouraged to consult with their own tax advisors regarding the possible implications of this legislation on their investment in our common stock.</w:t>
      </w:r>
    </w:p>
    <w:p>
      <w:pPr>
        <w:spacing w:after="0" w:line="176"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withholding provisions described above generally will apply to payments of dividends, to payments of gross proceeds from a sale or other disposition of our common stock on or after January 1, 2017, and to certain "pass-thru payments" made after the later of January 1, 2017, and the date final Treasury Regulations are issued defining such pass-thru payments. Because we may not know the extent to which a distribution is a dividend for U.S. federal income tax purposes at the time it is made, for purposes of these withholding rules we may treat the entire distribution as a dividend. Prospective investors should consult their tax advisors regarding these withholding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Ladenburg Thalmann &amp; Co. Inc. is acting as the sole book-running manager of this offering and as the representative of the underwriters named below. Subject to the terms and conditions set forth in an underwriting agreement dated the date of this prospectus among us and the representative of the underwriters named below, we have agreed to sell to the underwriters, and each underwriter has severally agreed to purchase from us, the number of shares of common stock set forth opposite its name below.</w:t>
      </w:r>
    </w:p>
    <w:p>
      <w:pPr>
        <w:spacing w:after="0" w:line="181" w:lineRule="exact"/>
        <w:rPr>
          <w:sz w:val="20"/>
          <w:szCs w:val="20"/>
          <w:color w:val="auto"/>
        </w:rPr>
      </w:pPr>
    </w:p>
    <w:p>
      <w:pPr>
        <w:ind w:left="1720"/>
        <w:spacing w:after="0"/>
        <w:tabs>
          <w:tab w:leader="none" w:pos="8420" w:val="left"/>
        </w:tabs>
        <w:rPr>
          <w:sz w:val="20"/>
          <w:szCs w:val="20"/>
          <w:color w:val="auto"/>
        </w:rPr>
      </w:pPr>
      <w:r>
        <w:rPr>
          <w:rFonts w:ascii="Arial" w:cs="Arial" w:eastAsia="Arial" w:hAnsi="Arial"/>
          <w:sz w:val="13"/>
          <w:szCs w:val="13"/>
          <w:b w:val="1"/>
          <w:bCs w:val="1"/>
          <w:u w:val="single" w:color="auto"/>
          <w:color w:val="auto"/>
        </w:rPr>
        <w:t>Underwriters</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5080</wp:posOffset>
            </wp:positionV>
            <wp:extent cx="7740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10795</wp:posOffset>
            </wp:positionV>
            <wp:extent cx="7740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27305</wp:posOffset>
            </wp:positionV>
            <wp:extent cx="7740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37" w:lineRule="exact"/>
        <w:rPr>
          <w:sz w:val="20"/>
          <w:szCs w:val="20"/>
          <w:color w:val="auto"/>
        </w:rPr>
      </w:pPr>
    </w:p>
    <w:p>
      <w:pPr>
        <w:ind w:right="80" w:firstLine="338"/>
        <w:spacing w:after="0" w:line="306"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and other conditions contained in the underwriting agreement. 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However, the underwriters are not obligated to purchase the shares of common stock covered by the over-allotment option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and Commissions</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underwriters initially propose to offer part of the shares to the public at the public offering price set forth on the cover page of this prospectus and part to</w:t>
      </w:r>
    </w:p>
    <w:p>
      <w:pPr>
        <w:spacing w:after="0" w:line="3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certain dealers at that price less a concession not in excess of $ per share. After the initial offering of the shares, the public offering price and other selling terms may be changed by the representative.</w:t>
      </w:r>
    </w:p>
    <w:p>
      <w:pPr>
        <w:spacing w:after="0" w:line="175"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 information assumes either no exercise or full exercise of the option we granted to the underwriters to purchase additional shares.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6"/>
              </w:rPr>
              <w:t>No Exercise</w:t>
            </w: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7"/>
              </w:rPr>
              <w:t>Full Exercise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84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1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84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32"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approximately $ . We have agreed to reimburse the underwriters for expenses relating to clearance of this offering with the Financial Industry Regulatory Authority, Inc. up to $ .</w:t>
      </w:r>
    </w:p>
    <w:p>
      <w:pPr>
        <w:spacing w:after="0" w:line="175"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underwriters have informed us that they do not expect to sell more than 5% of the shares in the aggregate to accounts over which they exercise discretionary authority.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from us at the public offering price set forth on the cover page of this prospectus, less underwriting discounts and commissions. The underwriters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exercise this option solely for the purpose of covering over-allotments, if any, made in connection with the offering of the shares offered by this prospectus. If the underwriters exercise this option, each underwriter will be obligated, subject to conditions contained in the underwriting agreement, to purchase a number of additional shares proportionate to that underwriter's initial purchase commitment as indicated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all of our officers and directors, and holders of substantially all of our outstanding shares of common stock have agreed that, for a period of 180 days after the date of this prospectus, or the restricted period, subject to certain limited exceptions described below, we and they will not directly or indirectly, without the prior written consent of the representative:</w:t>
      </w:r>
    </w:p>
    <w:p>
      <w:pPr>
        <w:spacing w:after="0" w:line="192" w:lineRule="exact"/>
        <w:rPr>
          <w:sz w:val="20"/>
          <w:szCs w:val="20"/>
          <w:color w:val="auto"/>
        </w:rPr>
      </w:pPr>
    </w:p>
    <w:p>
      <w:pPr>
        <w:ind w:left="1060" w:right="300" w:hanging="531"/>
        <w:spacing w:after="0" w:line="270"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offer, pledge, assign, encumber, announce the intention to sell,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w:t>
      </w:r>
    </w:p>
    <w:p>
      <w:pPr>
        <w:spacing w:after="0" w:line="205" w:lineRule="exact"/>
        <w:rPr>
          <w:rFonts w:ascii="Arial" w:cs="Arial" w:eastAsia="Arial" w:hAnsi="Arial"/>
          <w:sz w:val="17"/>
          <w:szCs w:val="17"/>
          <w:color w:val="auto"/>
        </w:rPr>
      </w:pPr>
    </w:p>
    <w:p>
      <w:pPr>
        <w:jc w:val="both"/>
        <w:ind w:left="1060" w:right="500" w:hanging="531"/>
        <w:spacing w:after="0" w:line="270"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any of the economic consequences of ownership of our common stock; whether any such transaction described in clause (1) or (2) above is to be settled by delivery of common stock or such other securities, in cash or otherwise;</w:t>
      </w:r>
    </w:p>
    <w:p>
      <w:pPr>
        <w:spacing w:after="0" w:line="192"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shares of our common stock or any security convertible into or exercisable or exchangeable for our common stock;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above do not apply to:</w:t>
      </w:r>
    </w:p>
    <w:p>
      <w:pPr>
        <w:spacing w:after="0" w:line="250"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sale of shares of our common stock to the underwriters pursuant to the terms of the underwriting agreement;</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issuance by us of shares of our common stock upon the exercise or conversion of a security outstanding on the date of this prospectus and described herein or of which the underwriters have been advised in writing;</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issuance by us of shares of our common stock, options to purchase shares of our common stock, or other equity awards pursuant to our equity compensation plans disclosed herein;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filing by us of a registration statement on Form S-8 or a successor form thereto;</w:t>
      </w:r>
    </w:p>
    <w:p>
      <w:pPr>
        <w:spacing w:after="0" w:line="237" w:lineRule="exact"/>
        <w:rPr>
          <w:rFonts w:ascii="Arial" w:cs="Arial" w:eastAsia="Arial" w:hAnsi="Arial"/>
          <w:sz w:val="17"/>
          <w:szCs w:val="17"/>
          <w:color w:val="auto"/>
        </w:rPr>
      </w:pPr>
    </w:p>
    <w:p>
      <w:pPr>
        <w:ind w:left="1060" w:right="160" w:hanging="531"/>
        <w:spacing w:after="0" w:line="322"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transactions by any person other than us relating to shares of our common stock or other securities acquired in open market transactions after the completion of this offering; provided that no filing or public announcement under Section 16(a) of the Exchange Act or otherwise shall be required or shall be voluntarily made in connection with subsequent sales of common stock or other securities acquired in such open market transactions;</w:t>
      </w:r>
    </w:p>
    <w:p>
      <w:pPr>
        <w:spacing w:after="0" w:line="157" w:lineRule="exact"/>
        <w:rPr>
          <w:rFonts w:ascii="Arial" w:cs="Arial" w:eastAsia="Arial" w:hAnsi="Arial"/>
          <w:sz w:val="15"/>
          <w:szCs w:val="15"/>
          <w:color w:val="auto"/>
        </w:rPr>
      </w:pPr>
    </w:p>
    <w:p>
      <w:pPr>
        <w:ind w:left="1060" w:right="220" w:hanging="531"/>
        <w:spacing w:after="0" w:line="306"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transfers of shares of common stock or any security convertible into or exercisable or exchangeable for common stock: (i) to the spouse, domestic partner, parent, sibling, child, or grandchild (each, an immediate family member) of the holder or to a trust, partnership, limited liability company, or other entity formed for the benefit of the holder or of an immediate family member of the holder; (ii) by a bona fide gift, will, or intestacy; (iii) if the holder is a corporation, partnership, limited liability company, or other business entity (A) to another corporation, partnership, limited liability company, or other business entity that controls, is controlled by or is under common control with the holder or (B) as part of 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60"/>
        <w:spacing w:after="0" w:line="306" w:lineRule="auto"/>
        <w:rPr>
          <w:sz w:val="20"/>
          <w:szCs w:val="20"/>
          <w:color w:val="auto"/>
        </w:rPr>
      </w:pPr>
      <w:r>
        <w:rPr>
          <w:rFonts w:ascii="Arial" w:cs="Arial" w:eastAsia="Arial" w:hAnsi="Arial"/>
          <w:sz w:val="15"/>
          <w:szCs w:val="15"/>
          <w:color w:val="auto"/>
        </w:rPr>
        <w:t>disposition, transfer or distribution by the holder to its limited partners, members, or equity holders; (iv) if the holder is a trust, to a trustor or beneficiary of the trust; or (v) to a nominee or custodian of a person or entity to whom a disposition or transfer would be permissible under clauses (i) through (iv) above; provided that in the case of any transfer or distribution pursuant to this exception, (A) each donee, transferee, or distributee shall sign and deliver a lock-up agreement substantially in the form entered into by the holder and (B) no filing under Section 16(a) of the Exchange Act, reporting a reduction in beneficial ownership of shares of common stock, shall be required or shall be voluntarily made during the restricted period;</w:t>
      </w:r>
    </w:p>
    <w:p>
      <w:pPr>
        <w:spacing w:after="0" w:line="172" w:lineRule="exact"/>
        <w:rPr>
          <w:sz w:val="20"/>
          <w:szCs w:val="20"/>
          <w:color w:val="auto"/>
        </w:rPr>
      </w:pPr>
    </w:p>
    <w:p>
      <w:pPr>
        <w:ind w:left="1060" w:right="60" w:hanging="531"/>
        <w:spacing w:after="0" w:line="26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receipt by the holder from us of shares of common stock upon the vesting of restricted stock awards or other securities convertible into common stock or upon the exercise of options or warrants, or the transfer of shares of common stock or any securities convertible into common stock to us upon a vesting event of our securities or upon the exercise of options or warrants to purchase our securities, in each case on a "cashless" or "net exercise" basis or to cover tax withholding obligations of the holder in connection with such vesting or exercise; provided that no filing under Section 16(a) of the Exchange Act, reporting a reduction in beneficial ownership of shares of common stock, shall be required or shall be voluntarily made during the restricted period;</w:t>
      </w:r>
    </w:p>
    <w:p>
      <w:pPr>
        <w:spacing w:after="0" w:line="214"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establishment of a trading plan that complies with Rule 10b5-1 under the Exchange Act for the transfer of shares of common stock; provided that</w:t>
      </w:r>
    </w:p>
    <w:p>
      <w:pPr>
        <w:spacing w:after="0" w:line="43" w:lineRule="exact"/>
        <w:rPr>
          <w:rFonts w:ascii="Arial" w:cs="Arial" w:eastAsia="Arial" w:hAnsi="Arial"/>
          <w:sz w:val="15"/>
          <w:szCs w:val="15"/>
          <w:color w:val="auto"/>
        </w:rPr>
      </w:pPr>
    </w:p>
    <w:p>
      <w:pPr>
        <w:ind w:left="1060" w:right="80"/>
        <w:spacing w:after="0" w:line="290" w:lineRule="auto"/>
        <w:rPr>
          <w:rFonts w:ascii="Arial" w:cs="Arial" w:eastAsia="Arial" w:hAnsi="Arial"/>
          <w:sz w:val="15"/>
          <w:szCs w:val="15"/>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or otherwise, if any, is required or voluntarily made regarding the establishment of such plan, such announcement or filing shall include a statement to the effect that no transfer of common stock may be made under such plan during the restricted period;</w:t>
      </w:r>
    </w:p>
    <w:p>
      <w:pPr>
        <w:spacing w:after="0" w:line="179" w:lineRule="exact"/>
        <w:rPr>
          <w:rFonts w:ascii="Arial" w:cs="Arial" w:eastAsia="Arial" w:hAnsi="Arial"/>
          <w:sz w:val="15"/>
          <w:szCs w:val="15"/>
          <w:color w:val="auto"/>
        </w:rPr>
      </w:pPr>
    </w:p>
    <w:p>
      <w:pPr>
        <w:ind w:left="1060" w:hanging="531"/>
        <w:spacing w:after="0" w:line="270"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pursuant to an order of a court or regulatory agency; provided that (i) each transferee shall sign and deliver a lock-up agreement and (ii) any filings under Section 16(a) of the Exchange Act shall state that the transfer is by order of such court or regulatory agency, as the case may be; or</w:t>
      </w:r>
    </w:p>
    <w:p>
      <w:pPr>
        <w:spacing w:after="0" w:line="192" w:lineRule="exact"/>
        <w:rPr>
          <w:rFonts w:ascii="Arial" w:cs="Arial" w:eastAsia="Arial" w:hAnsi="Arial"/>
          <w:sz w:val="17"/>
          <w:szCs w:val="17"/>
          <w:color w:val="auto"/>
        </w:rPr>
      </w:pPr>
    </w:p>
    <w:p>
      <w:pPr>
        <w:ind w:left="1060" w:right="40" w:hanging="531"/>
        <w:spacing w:after="0" w:line="287" w:lineRule="auto"/>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transfer of shares of common stock or any security convertible into or exercisable or exchangeable for common stock occurring after the completion of this offering pursuant to a bona fide third-party tender offer, merger, consolidation or other similar transaction made to all holders of our common stock and other securities, involving a change of control of us, provided that until such tender offer, merger, consolidation, or other such transaction is completed, the common stock shall remain subject to the restrictions contained in the applicable lock-up agreement.</w:t>
      </w:r>
    </w:p>
    <w:p>
      <w:pPr>
        <w:spacing w:after="0" w:line="169"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The representative of the underwriters, in its sole discretion, may release our common stock and other securities subject to the lock-up agreements described above in whole or in part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Price Determination</w:t>
      </w:r>
    </w:p>
    <w:p>
      <w:pPr>
        <w:spacing w:after="0" w:line="228"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Prior to the completion of this offering, there has been no public market for our common stock. The initial public offering price will be determined by negotiations between us and the representative. Among the factors considered in determining the initial public offering price will be the history and prospects of other companies in the industry in which we compete; our financial information; an assessment of our management and their experience; an assessment of our business potential and earning prospects; the prevailing securities markets at the time of this offering; the recent market prices of, and the demand for, publicly traded shares of generally comparable companies; and other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deemed relevant. Neither we nor any of the underwriters can assure investors that an active trading market will develop for our common shares, or that the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28"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 Short Positions, and Penalty Bids</w:t>
      </w:r>
    </w:p>
    <w:p>
      <w:pPr>
        <w:spacing w:after="0" w:line="228"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In order to facilitate this offering of our common stock, the underwriters may engage in stabilizing transactions, short sales, and purchases to cover positions created by short sales, and penalty bids or purchases for the purpose of pegging, fixing, or maintaining the price of our common stock, in accordance with Regulation M under the Exchange Act. These activities may have the effect of stabilizing or maintaining the market price of the common stock at a level above that which might otherwise prevail in the open market.</w:t>
      </w:r>
    </w:p>
    <w:p>
      <w:pPr>
        <w:spacing w:after="0" w:line="185" w:lineRule="exact"/>
        <w:rPr>
          <w:sz w:val="20"/>
          <w:szCs w:val="20"/>
          <w:color w:val="auto"/>
        </w:rPr>
      </w:pPr>
    </w:p>
    <w:p>
      <w:pPr>
        <w:ind w:firstLine="332"/>
        <w:spacing w:after="0" w:line="260" w:lineRule="auto"/>
        <w:rPr>
          <w:sz w:val="20"/>
          <w:szCs w:val="20"/>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over-allotment option. In a naked short position, the number of shares involved is greater than the number of shares in their over-allotment option. The underwriters may close out any short position by either exercising their over-allotment option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over-allotment option.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92" w:lineRule="exact"/>
        <w:rPr>
          <w:sz w:val="20"/>
          <w:szCs w:val="20"/>
          <w:color w:val="auto"/>
        </w:rPr>
      </w:pPr>
    </w:p>
    <w:p>
      <w:pPr>
        <w:ind w:right="100" w:firstLine="332"/>
        <w:spacing w:after="0" w:line="301" w:lineRule="auto"/>
        <w:rPr>
          <w:sz w:val="20"/>
          <w:szCs w:val="20"/>
          <w:color w:val="auto"/>
        </w:rPr>
      </w:pPr>
      <w:r>
        <w:rPr>
          <w:rFonts w:ascii="Arial" w:cs="Arial" w:eastAsia="Arial" w:hAnsi="Arial"/>
          <w:sz w:val="15"/>
          <w:szCs w:val="15"/>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6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without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Table of Contents</w:t>
              </w:r>
            </w:hyperlink>
          </w:p>
        </w:tc>
        <w:tc>
          <w:tcPr>
            <w:tcW w:w="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36"/>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Listing on the NASDAQ</w:t>
            </w:r>
          </w:p>
        </w:tc>
        <w:tc>
          <w:tcPr>
            <w:tcW w:w="3080" w:type="dxa"/>
            <w:vAlign w:val="bottom"/>
          </w:tcPr>
          <w:p>
            <w:pPr>
              <w:ind w:left="280"/>
              <w:spacing w:after="0"/>
              <w:rPr>
                <w:sz w:val="20"/>
                <w:szCs w:val="20"/>
                <w:color w:val="auto"/>
              </w:rPr>
            </w:pPr>
            <w:r>
              <w:rPr>
                <w:rFonts w:ascii="Arial" w:cs="Arial" w:eastAsia="Arial" w:hAnsi="Arial"/>
                <w:sz w:val="17"/>
                <w:szCs w:val="17"/>
                <w:b w:val="1"/>
                <w:bCs w:val="1"/>
                <w:color w:val="auto"/>
              </w:rPr>
              <w:t>Market</w:t>
            </w:r>
          </w:p>
        </w:tc>
        <w:tc>
          <w:tcPr>
            <w:tcW w:w="2960" w:type="dxa"/>
            <w:vAlign w:val="bottom"/>
          </w:tcPr>
          <w:p>
            <w:pPr>
              <w:spacing w:after="0"/>
              <w:rPr>
                <w:sz w:val="24"/>
                <w:szCs w:val="24"/>
                <w:color w:val="auto"/>
              </w:rPr>
            </w:pPr>
          </w:p>
        </w:tc>
      </w:tr>
      <w:tr>
        <w:trPr>
          <w:trHeight w:val="419"/>
        </w:trPr>
        <w:tc>
          <w:tcPr>
            <w:tcW w:w="5120" w:type="dxa"/>
            <w:vAlign w:val="bottom"/>
            <w:gridSpan w:val="3"/>
          </w:tcPr>
          <w:p>
            <w:pPr>
              <w:ind w:left="340"/>
              <w:spacing w:after="0"/>
              <w:rPr>
                <w:sz w:val="20"/>
                <w:szCs w:val="20"/>
                <w:color w:val="auto"/>
              </w:rPr>
            </w:pPr>
            <w:r>
              <w:rPr>
                <w:rFonts w:ascii="Arial" w:cs="Arial" w:eastAsia="Arial" w:hAnsi="Arial"/>
                <w:sz w:val="17"/>
                <w:szCs w:val="17"/>
                <w:color w:val="auto"/>
              </w:rPr>
              <w:t>We intend to apply to list our common stock on the NASDAQ</w:t>
            </w:r>
          </w:p>
        </w:tc>
        <w:tc>
          <w:tcPr>
            <w:tcW w:w="2960" w:type="dxa"/>
            <w:vAlign w:val="bottom"/>
          </w:tcPr>
          <w:p>
            <w:pPr>
              <w:ind w:left="520"/>
              <w:spacing w:after="0"/>
              <w:rPr>
                <w:sz w:val="20"/>
                <w:szCs w:val="20"/>
                <w:color w:val="auto"/>
              </w:rPr>
            </w:pPr>
            <w:r>
              <w:rPr>
                <w:rFonts w:ascii="Arial" w:cs="Arial" w:eastAsia="Arial" w:hAnsi="Arial"/>
                <w:sz w:val="17"/>
                <w:szCs w:val="17"/>
                <w:color w:val="auto"/>
                <w:w w:val="94"/>
              </w:rPr>
              <w:t>Market under the symbol "AXSM."</w:t>
            </w:r>
          </w:p>
        </w:tc>
      </w:tr>
      <w:tr>
        <w:trPr>
          <w:trHeight w:val="419"/>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Electronic Distribution</w:t>
            </w: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our common stock to underwriters for sale to their online brokerage account holders. Internet distributions will be allocated by the representative to underwriters that may make internet distributions on the same basis as other allocations.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228"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investment banking, and other services for us, for which they have received and may continue to receive customary fees and commissions. In addition, in the ordinary course of their various business activities, the underwriters and their respective affiliates may effect transactions for their own account or the accounts of customers, and hold on behalf of themselves or their customers, long or short positions in our debt or equity securities or loans, and may do so in the future. The underwriters and their respective affiliates may also make investment recommendations or publish or express independent research views in respect of such securities or instruments and may at any time hold, or recommend to their customers that they acquire, long or short positions in such securities and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28"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At our request, the underwriters have reserved up to % of the shares of our common stock being offered by this prospectus for sale at the initial public offering price to our directors, officers and employees and their friends and family members.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The shares sold in our directed share program will be subject to the 180-day lock-up restriction in the lock-up agreements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60"/>
        <w:spacing w:after="0" w:line="282" w:lineRule="auto"/>
        <w:rPr>
          <w:sz w:val="20"/>
          <w:szCs w:val="20"/>
          <w:color w:val="auto"/>
        </w:rPr>
      </w:pPr>
      <w:r>
        <w:rPr>
          <w:rFonts w:ascii="Arial" w:cs="Arial" w:eastAsia="Arial" w:hAnsi="Arial"/>
          <w:sz w:val="17"/>
          <w:szCs w:val="17"/>
          <w:color w:val="auto"/>
        </w:rPr>
        <w:t>defined in the Prospectus Directive), as permitted under the Prospectus Directive, subject to obtaining the prior consent of the representatives for any such offer; or</w:t>
      </w:r>
    </w:p>
    <w:p>
      <w:pPr>
        <w:spacing w:after="0" w:line="183" w:lineRule="exact"/>
        <w:rPr>
          <w:sz w:val="20"/>
          <w:szCs w:val="20"/>
          <w:color w:val="auto"/>
        </w:rPr>
      </w:pPr>
    </w:p>
    <w:p>
      <w:pPr>
        <w:ind w:left="1060" w:right="360" w:hanging="531"/>
        <w:spacing w:after="0" w:line="31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For the purposes of this provision, (1)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(2) the expression "Prospectus Directive" means Directive 2003/71/EC (and amendments thereto, including the 2010 PD Amending Directive, to the extent implemented in the Relevant Member State), and includes any relevant implementing measure in the Relevant Member State, and (3) the expression "2010 PD Amending Directive" means Directive 2010/73/EU.</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50" w:lineRule="exact"/>
        <w:rPr>
          <w:sz w:val="20"/>
          <w:szCs w:val="20"/>
          <w:color w:val="auto"/>
        </w:rPr>
      </w:pPr>
    </w:p>
    <w:p>
      <w:pPr>
        <w:ind w:left="1060" w:right="60" w:hanging="531"/>
        <w:spacing w:after="0" w:line="322" w:lineRule="auto"/>
        <w:tabs>
          <w:tab w:leader="none" w:pos="10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57"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Certain legal matters with respect to the validity of the shares of common stock offered hereby will be passed upon for us by Morgan, Lewis &amp; Bockius LLP, New York, New York. Certain legal matters related to this offering will be passed upon for the underwriters by Orrick, Herrington &amp; Sutcliffe LLP, New York, New York.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consolidated financial statements of Axsome Therapeutics, Inc. at December 31, 2014 and 2013, and for each of the two years in the period ended December 31, 2014,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in this prospectus. This prospectus does not contain all of the information set forth in the registration statement and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as to the contents of any contract, agreement, or any other document are summaries of the material terms of that contract, agreement, or other document. With respect to each of these contracts, agreements or other documents filed as an exhibit to the registration statement, reference is made to such exhibit for a more complete description of the matter involved. A copy of the registration statement, and the accompanying exhibits and schedules, may be inspected without charge and copied at the SEC's public reference room at 100 F Street, N.E., Washington, D.C. 20549. Please call the SEC at 1-800-SEC-0330 for further information on the operation of the public reference room. The SEC maintains a web site that contains reports, proxy and information statements and other information regarding registrants that file electronically with the SEC. The address of the SEC's website is www.sec.gov.</w:t>
      </w:r>
    </w:p>
    <w:p>
      <w:pPr>
        <w:spacing w:after="0" w:line="176"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www.axsome.com.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7"/>
            <w:vMerge w:val="restart"/>
          </w:tcPr>
          <w:p>
            <w:pPr>
              <w:spacing w:after="0"/>
              <w:rPr>
                <w:rFonts w:ascii="Arial" w:cs="Arial" w:eastAsia="Arial" w:hAnsi="Arial"/>
                <w:sz w:val="17"/>
                <w:szCs w:val="17"/>
                <w:color w:val="0000EE"/>
                <w:w w:val="96"/>
              </w:rPr>
            </w:pPr>
            <w:hyperlink w:anchor="page168">
              <w:r>
                <w:rPr>
                  <w:rFonts w:ascii="Arial" w:cs="Arial" w:eastAsia="Arial" w:hAnsi="Arial"/>
                  <w:sz w:val="17"/>
                  <w:szCs w:val="17"/>
                  <w:color w:val="0000EE"/>
                  <w:w w:val="96"/>
                </w:rPr>
                <w:t>Report of Independent Registered Public Accounting Firm</w:t>
              </w:r>
            </w:hyperlink>
          </w:p>
        </w:tc>
        <w:tc>
          <w:tcPr>
            <w:tcW w:w="456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top w:val="single" w:sz="8" w:color="auto"/>
            </w:tcBorders>
            <w:gridSpan w:val="2"/>
          </w:tcPr>
          <w:p>
            <w:pPr>
              <w:ind w:left="100"/>
              <w:spacing w:after="0" w:line="163" w:lineRule="exact"/>
              <w:rPr>
                <w:rFonts w:ascii="Arial" w:cs="Arial" w:eastAsia="Arial" w:hAnsi="Arial"/>
                <w:sz w:val="17"/>
                <w:szCs w:val="17"/>
                <w:color w:val="0000EE"/>
                <w:w w:val="78"/>
              </w:rPr>
            </w:pPr>
            <w:hyperlink w:anchor="page168">
              <w:r>
                <w:rPr>
                  <w:rFonts w:ascii="Arial" w:cs="Arial" w:eastAsia="Arial" w:hAnsi="Arial"/>
                  <w:sz w:val="17"/>
                  <w:szCs w:val="17"/>
                  <w:color w:val="0000EE"/>
                  <w:w w:val="78"/>
                </w:rPr>
                <w:t>F-2</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980" w:type="dxa"/>
            <w:vAlign w:val="bottom"/>
          </w:tcPr>
          <w:p>
            <w:pPr>
              <w:spacing w:after="0" w:line="189" w:lineRule="exact"/>
              <w:rPr>
                <w:rFonts w:ascii="Arial" w:cs="Arial" w:eastAsia="Arial" w:hAnsi="Arial"/>
                <w:sz w:val="17"/>
                <w:szCs w:val="17"/>
                <w:color w:val="0000EE"/>
                <w:w w:val="87"/>
              </w:rPr>
            </w:pPr>
            <w:hyperlink w:anchor="page169">
              <w:r>
                <w:rPr>
                  <w:rFonts w:ascii="Arial" w:cs="Arial" w:eastAsia="Arial" w:hAnsi="Arial"/>
                  <w:sz w:val="17"/>
                  <w:szCs w:val="17"/>
                  <w:color w:val="0000EE"/>
                  <w:w w:val="87"/>
                </w:rPr>
                <w:t>Consolidated Balance Sheets</w:t>
              </w:r>
            </w:hyperlink>
          </w:p>
        </w:tc>
        <w:tc>
          <w:tcPr>
            <w:tcW w:w="200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gridSpan w:val="4"/>
          </w:tcPr>
          <w:p>
            <w:pPr>
              <w:ind w:left="100"/>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660" w:type="dxa"/>
            <w:vAlign w:val="bottom"/>
            <w:gridSpan w:val="2"/>
          </w:tcPr>
          <w:p>
            <w:pPr>
              <w:spacing w:after="0" w:line="189" w:lineRule="exact"/>
              <w:rPr>
                <w:rFonts w:ascii="Arial" w:cs="Arial" w:eastAsia="Arial" w:hAnsi="Arial"/>
                <w:sz w:val="17"/>
                <w:szCs w:val="17"/>
                <w:color w:val="0000EE"/>
                <w:w w:val="88"/>
              </w:rPr>
            </w:pPr>
            <w:hyperlink w:anchor="page170">
              <w:r>
                <w:rPr>
                  <w:rFonts w:ascii="Arial" w:cs="Arial" w:eastAsia="Arial" w:hAnsi="Arial"/>
                  <w:sz w:val="17"/>
                  <w:szCs w:val="17"/>
                  <w:color w:val="0000EE"/>
                  <w:w w:val="88"/>
                </w:rPr>
                <w:t>Consolidated Statements of Operations</w:t>
              </w:r>
            </w:hyperlink>
          </w:p>
        </w:tc>
        <w:tc>
          <w:tcPr>
            <w:tcW w:w="1560" w:type="dxa"/>
            <w:vAlign w:val="bottom"/>
            <w:gridSpan w:val="5"/>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gridSpan w:val="4"/>
          </w:tcPr>
          <w:p>
            <w:pPr>
              <w:ind w:left="100"/>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7"/>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Consolidated Statements of Stockholders' Deficit</w:t>
              </w:r>
            </w:hyperlink>
          </w:p>
        </w:tc>
        <w:tc>
          <w:tcPr>
            <w:tcW w:w="4560" w:type="dxa"/>
            <w:vAlign w:val="bottom"/>
          </w:tcPr>
          <w:p>
            <w:pPr>
              <w:spacing w:after="0"/>
              <w:rPr>
                <w:sz w:val="16"/>
                <w:szCs w:val="16"/>
                <w:color w:val="auto"/>
              </w:rPr>
            </w:pPr>
          </w:p>
        </w:tc>
        <w:tc>
          <w:tcPr>
            <w:tcW w:w="1480" w:type="dxa"/>
            <w:vAlign w:val="bottom"/>
            <w:gridSpan w:val="4"/>
          </w:tcPr>
          <w:p>
            <w:pPr>
              <w:ind w:left="100"/>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340" w:type="dxa"/>
            <w:vAlign w:val="bottom"/>
            <w:gridSpan w:val="5"/>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Consolidated Statements of Cash Flows</w:t>
              </w:r>
            </w:hyperlink>
          </w:p>
        </w:tc>
        <w:tc>
          <w:tcPr>
            <w:tcW w:w="880" w:type="dxa"/>
            <w:vAlign w:val="bottom"/>
            <w:gridSpan w:val="2"/>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gridSpan w:val="4"/>
          </w:tcPr>
          <w:p>
            <w:pPr>
              <w:ind w:left="100"/>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980" w:type="dxa"/>
            <w:vAlign w:val="bottom"/>
            <w:gridSpan w:val="4"/>
          </w:tcPr>
          <w:p>
            <w:pPr>
              <w:spacing w:after="0" w:line="189" w:lineRule="exact"/>
              <w:rPr>
                <w:rFonts w:ascii="Arial" w:cs="Arial" w:eastAsia="Arial" w:hAnsi="Arial"/>
                <w:sz w:val="17"/>
                <w:szCs w:val="17"/>
                <w:color w:val="0000EE"/>
                <w:w w:val="89"/>
              </w:rPr>
            </w:pPr>
            <w:hyperlink w:anchor="page173">
              <w:r>
                <w:rPr>
                  <w:rFonts w:ascii="Arial" w:cs="Arial" w:eastAsia="Arial" w:hAnsi="Arial"/>
                  <w:sz w:val="17"/>
                  <w:szCs w:val="17"/>
                  <w:color w:val="0000EE"/>
                  <w:w w:val="89"/>
                </w:rPr>
                <w:t>Notes to Consolidated Financial Statements</w:t>
              </w:r>
            </w:hyperlink>
          </w:p>
        </w:tc>
        <w:tc>
          <w:tcPr>
            <w:tcW w:w="1240" w:type="dxa"/>
            <w:vAlign w:val="bottom"/>
            <w:gridSpan w:val="3"/>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gridSpan w:val="4"/>
          </w:tcPr>
          <w:p>
            <w:pPr>
              <w:ind w:left="100"/>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ind w:left="220"/>
              <w:spacing w:after="0"/>
              <w:rPr>
                <w:sz w:val="20"/>
                <w:szCs w:val="20"/>
                <w:color w:val="auto"/>
              </w:rPr>
            </w:pPr>
            <w:r>
              <w:rPr>
                <w:rFonts w:ascii="Arial" w:cs="Arial" w:eastAsia="Arial" w:hAnsi="Arial"/>
                <w:sz w:val="17"/>
                <w:szCs w:val="17"/>
                <w:color w:val="auto"/>
              </w:rPr>
              <w:t>F-1</w:t>
            </w:r>
          </w:p>
        </w:tc>
        <w:tc>
          <w:tcPr>
            <w:tcW w:w="240" w:type="dxa"/>
            <w:vAlign w:val="bottom"/>
            <w:tcBorders>
              <w:top w:val="single" w:sz="8" w:color="0000EE"/>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Axsome Therapeutics, Inc.</w:t>
      </w:r>
    </w:p>
    <w:p>
      <w:pPr>
        <w:spacing w:after="0" w:line="200" w:lineRule="exact"/>
        <w:rPr>
          <w:sz w:val="20"/>
          <w:szCs w:val="20"/>
          <w:color w:val="auto"/>
        </w:rPr>
      </w:pPr>
    </w:p>
    <w:p>
      <w:pPr>
        <w:spacing w:after="0" w:line="228" w:lineRule="exact"/>
        <w:rPr>
          <w:sz w:val="20"/>
          <w:szCs w:val="20"/>
          <w:color w:val="auto"/>
        </w:rPr>
      </w:pPr>
    </w:p>
    <w:p>
      <w:pPr>
        <w:ind w:right="240" w:firstLine="338"/>
        <w:spacing w:after="0" w:line="322" w:lineRule="auto"/>
        <w:rPr>
          <w:sz w:val="20"/>
          <w:szCs w:val="20"/>
          <w:color w:val="auto"/>
        </w:rPr>
      </w:pPr>
      <w:r>
        <w:rPr>
          <w:rFonts w:ascii="Arial" w:cs="Arial" w:eastAsia="Arial" w:hAnsi="Arial"/>
          <w:sz w:val="15"/>
          <w:szCs w:val="15"/>
          <w:color w:val="auto"/>
        </w:rPr>
        <w:t>We have audited the accompanying consolidated balance sheets of Axsome Therapeutics, Inc. (the "Company") as of December 31, 2013 and 2014, and the related consolidated statements of operations, stockholders' deficit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4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Axsome Therapeutics, Inc. at December 31, 2013 and 2014, and the consolidated results of its operations and its cash flows for each of the two years in the period ended December 31, 2014,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25, 2015</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Axsome Therapeutics, Inc.</w:t>
      </w:r>
    </w:p>
    <w:p>
      <w:pPr>
        <w:spacing w:after="0" w:line="24"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June 30, 2015</w:t>
            </w:r>
          </w:p>
        </w:tc>
      </w:tr>
      <w:tr>
        <w:trPr>
          <w:trHeight w:val="137"/>
        </w:trPr>
        <w:tc>
          <w:tcPr>
            <w:tcW w:w="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9"/>
              </w:rPr>
              <w:t>June 30, 2015</w:t>
            </w:r>
          </w:p>
        </w:tc>
        <w:tc>
          <w:tcPr>
            <w:tcW w:w="140" w:type="dxa"/>
            <w:vAlign w:val="bottom"/>
          </w:tcPr>
          <w:p>
            <w:pPr>
              <w:spacing w:after="0"/>
              <w:rPr>
                <w:sz w:val="11"/>
                <w:szCs w:val="11"/>
                <w:color w:val="auto"/>
              </w:rPr>
            </w:pPr>
          </w:p>
        </w:tc>
        <w:tc>
          <w:tcPr>
            <w:tcW w:w="100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4"/>
              </w:rPr>
              <w:t>Pro forma</w:t>
            </w:r>
          </w:p>
        </w:tc>
        <w:tc>
          <w:tcPr>
            <w:tcW w:w="140" w:type="dxa"/>
            <w:vAlign w:val="bottom"/>
          </w:tcPr>
          <w:p>
            <w:pPr>
              <w:spacing w:after="0"/>
              <w:rPr>
                <w:sz w:val="11"/>
                <w:szCs w:val="11"/>
                <w:color w:val="auto"/>
              </w:rPr>
            </w:pPr>
          </w:p>
        </w:tc>
      </w:tr>
      <w:tr>
        <w:trPr>
          <w:trHeight w:val="137"/>
        </w:trPr>
        <w:tc>
          <w:tcPr>
            <w:tcW w:w="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ind w:left="640"/>
              <w:spacing w:after="0" w:line="138"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1"/>
                <w:szCs w:val="11"/>
                <w:color w:val="auto"/>
              </w:rPr>
            </w:pPr>
          </w:p>
        </w:tc>
      </w:tr>
      <w:tr>
        <w:trPr>
          <w:trHeight w:val="210"/>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9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418"/>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9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2,087,843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2,617,815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6,414,273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840" w:type="dxa"/>
            <w:vAlign w:val="bottom"/>
            <w:gridSpan w:val="2"/>
          </w:tcPr>
          <w:p>
            <w:pPr>
              <w:ind w:left="340"/>
              <w:spacing w:after="0"/>
              <w:rPr>
                <w:sz w:val="20"/>
                <w:szCs w:val="20"/>
                <w:color w:val="auto"/>
              </w:rPr>
            </w:pPr>
            <w:r>
              <w:rPr>
                <w:rFonts w:ascii="Arial" w:cs="Arial" w:eastAsia="Arial" w:hAnsi="Arial"/>
                <w:sz w:val="17"/>
                <w:szCs w:val="17"/>
                <w:color w:val="auto"/>
              </w:rPr>
              <w:t>Prepaid and other current assets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9,532</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125,945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253,003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2,097,375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2,743,760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6,667,276</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Deferred financing fees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42,620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197,324</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Equipment, net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7"/>
                <w:szCs w:val="17"/>
                <w:color w:val="auto"/>
                <w:w w:val="91"/>
              </w:rPr>
              <w:t>Total assets</w:t>
            </w:r>
          </w:p>
        </w:tc>
        <w:tc>
          <w:tcPr>
            <w:tcW w:w="1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2,097,375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2,786,380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6,875,107</w:t>
            </w: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9"/>
              </w:rPr>
              <w:t>Liabilities and stockholders' deficit</w:t>
            </w:r>
          </w:p>
        </w:tc>
        <w:tc>
          <w:tcPr>
            <w:tcW w:w="1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418"/>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159,323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1,074,441</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840" w:type="dxa"/>
            <w:vAlign w:val="bottom"/>
            <w:gridSpan w:val="2"/>
          </w:tcPr>
          <w:p>
            <w:pPr>
              <w:ind w:left="340"/>
              <w:spacing w:after="0"/>
              <w:rPr>
                <w:sz w:val="20"/>
                <w:szCs w:val="20"/>
                <w:color w:val="auto"/>
              </w:rPr>
            </w:pPr>
            <w:r>
              <w:rPr>
                <w:rFonts w:ascii="Arial" w:cs="Arial" w:eastAsia="Arial" w:hAnsi="Arial"/>
                <w:sz w:val="17"/>
                <w:szCs w:val="17"/>
                <w:color w:val="auto"/>
              </w:rPr>
              <w:t>Accrued expenses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140,170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36,753</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336,409</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Loan from related party</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62,469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41,469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840" w:type="dxa"/>
            <w:vAlign w:val="bottom"/>
            <w:gridSpan w:val="2"/>
          </w:tcPr>
          <w:p>
            <w:pPr>
              <w:ind w:left="340"/>
              <w:spacing w:after="0"/>
              <w:rPr>
                <w:sz w:val="20"/>
                <w:szCs w:val="20"/>
                <w:color w:val="auto"/>
              </w:rPr>
            </w:pPr>
            <w:r>
              <w:rPr>
                <w:rFonts w:ascii="Arial" w:cs="Arial" w:eastAsia="Arial" w:hAnsi="Arial"/>
                <w:sz w:val="17"/>
                <w:szCs w:val="17"/>
                <w:color w:val="auto"/>
              </w:rPr>
              <w:t>Warrant liability</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136,235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118,793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Convertible notes, net of discounts, current portion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3,763,224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Total current liabilities</w:t>
            </w:r>
          </w:p>
        </w:tc>
        <w:tc>
          <w:tcPr>
            <w:tcW w:w="1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4,125,186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972,616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1,529,643</w:t>
            </w: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Convertible notes, net of discounts, non-current portion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4,441,415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10,908,831</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Interest payable, non-current portion</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78,524</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362,963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Embedded derivative liabilities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496,400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1,285,600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Total liabilities</w:t>
            </w:r>
          </w:p>
        </w:tc>
        <w:tc>
          <w:tcPr>
            <w:tcW w:w="1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4,125,186</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5,988,955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14,087,037</w:t>
            </w: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660" w:type="dxa"/>
            <w:vAlign w:val="bottom"/>
            <w:gridSpan w:val="3"/>
          </w:tcPr>
          <w:p>
            <w:pPr>
              <w:ind w:left="20"/>
              <w:spacing w:after="0"/>
              <w:rPr>
                <w:sz w:val="20"/>
                <w:szCs w:val="20"/>
                <w:color w:val="auto"/>
              </w:rPr>
            </w:pPr>
            <w:r>
              <w:rPr>
                <w:rFonts w:ascii="Arial" w:cs="Arial" w:eastAsia="Arial" w:hAnsi="Arial"/>
                <w:sz w:val="17"/>
                <w:szCs w:val="17"/>
                <w:color w:val="auto"/>
                <w:w w:val="95"/>
              </w:rPr>
              <w:t>Common stock, $0.0001 par value per share—2,000,000 shares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660" w:type="dxa"/>
            <w:vAlign w:val="bottom"/>
            <w:gridSpan w:val="3"/>
          </w:tcPr>
          <w:p>
            <w:pPr>
              <w:ind w:left="160"/>
              <w:spacing w:after="0"/>
              <w:rPr>
                <w:sz w:val="20"/>
                <w:szCs w:val="20"/>
                <w:color w:val="auto"/>
              </w:rPr>
            </w:pPr>
            <w:r>
              <w:rPr>
                <w:rFonts w:ascii="Arial" w:cs="Arial" w:eastAsia="Arial" w:hAnsi="Arial"/>
                <w:sz w:val="17"/>
                <w:szCs w:val="17"/>
                <w:color w:val="auto"/>
                <w:w w:val="95"/>
              </w:rPr>
              <w:t>authorized at December 31, 2013 and 2014, 3,000,000 shares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tcPr>
          <w:p>
            <w:pPr>
              <w:ind w:left="160"/>
              <w:spacing w:after="0"/>
              <w:rPr>
                <w:sz w:val="20"/>
                <w:szCs w:val="20"/>
                <w:color w:val="auto"/>
              </w:rPr>
            </w:pPr>
            <w:r>
              <w:rPr>
                <w:rFonts w:ascii="Arial" w:cs="Arial" w:eastAsia="Arial" w:hAnsi="Arial"/>
                <w:sz w:val="17"/>
                <w:szCs w:val="17"/>
                <w:color w:val="auto"/>
              </w:rPr>
              <w:t>authorized at June 30, 2015, and</w:t>
            </w:r>
          </w:p>
        </w:tc>
        <w:tc>
          <w:tcPr>
            <w:tcW w:w="1820" w:type="dxa"/>
            <w:vAlign w:val="bottom"/>
          </w:tcPr>
          <w:p>
            <w:pPr>
              <w:ind w:left="480"/>
              <w:spacing w:after="0"/>
              <w:rPr>
                <w:sz w:val="20"/>
                <w:szCs w:val="20"/>
                <w:color w:val="auto"/>
              </w:rPr>
            </w:pPr>
            <w:r>
              <w:rPr>
                <w:rFonts w:ascii="Arial" w:cs="Arial" w:eastAsia="Arial" w:hAnsi="Arial"/>
                <w:sz w:val="17"/>
                <w:szCs w:val="17"/>
                <w:color w:val="auto"/>
                <w:w w:val="97"/>
              </w:rPr>
              <w:t>shares authorized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tcPr>
          <w:p>
            <w:pPr>
              <w:ind w:left="160"/>
              <w:spacing w:after="0"/>
              <w:rPr>
                <w:sz w:val="20"/>
                <w:szCs w:val="20"/>
                <w:color w:val="auto"/>
              </w:rPr>
            </w:pPr>
            <w:r>
              <w:rPr>
                <w:rFonts w:ascii="Arial" w:cs="Arial" w:eastAsia="Arial" w:hAnsi="Arial"/>
                <w:sz w:val="17"/>
                <w:szCs w:val="17"/>
                <w:color w:val="auto"/>
              </w:rPr>
              <w:t>at June 30, 2015 pro forma</w:t>
            </w:r>
          </w:p>
        </w:tc>
        <w:tc>
          <w:tcPr>
            <w:tcW w:w="1820" w:type="dxa"/>
            <w:vAlign w:val="bottom"/>
          </w:tcPr>
          <w:p>
            <w:pPr>
              <w:ind w:left="100"/>
              <w:spacing w:after="0"/>
              <w:rPr>
                <w:sz w:val="20"/>
                <w:szCs w:val="20"/>
                <w:color w:val="auto"/>
              </w:rPr>
            </w:pPr>
            <w:r>
              <w:rPr>
                <w:rFonts w:ascii="Arial" w:cs="Arial" w:eastAsia="Arial" w:hAnsi="Arial"/>
                <w:sz w:val="17"/>
                <w:szCs w:val="17"/>
                <w:color w:val="auto"/>
              </w:rPr>
              <w:t>shares issued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60" w:type="dxa"/>
            <w:vAlign w:val="bottom"/>
            <w:gridSpan w:val="3"/>
          </w:tcPr>
          <w:p>
            <w:pPr>
              <w:ind w:left="160"/>
              <w:spacing w:after="0"/>
              <w:rPr>
                <w:sz w:val="20"/>
                <w:szCs w:val="20"/>
                <w:color w:val="auto"/>
              </w:rPr>
            </w:pPr>
            <w:r>
              <w:rPr>
                <w:rFonts w:ascii="Arial" w:cs="Arial" w:eastAsia="Arial" w:hAnsi="Arial"/>
                <w:sz w:val="17"/>
                <w:szCs w:val="17"/>
                <w:color w:val="auto"/>
                <w:w w:val="92"/>
              </w:rPr>
              <w:t>outstanding at December 31, 2013 and 1,512,449 shares issued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60" w:type="dxa"/>
            <w:vAlign w:val="bottom"/>
            <w:gridSpan w:val="3"/>
          </w:tcPr>
          <w:p>
            <w:pPr>
              <w:ind w:left="160"/>
              <w:spacing w:after="0"/>
              <w:rPr>
                <w:sz w:val="20"/>
                <w:szCs w:val="20"/>
                <w:color w:val="auto"/>
              </w:rPr>
            </w:pPr>
            <w:r>
              <w:rPr>
                <w:rFonts w:ascii="Arial" w:cs="Arial" w:eastAsia="Arial" w:hAnsi="Arial"/>
                <w:sz w:val="17"/>
                <w:szCs w:val="17"/>
                <w:color w:val="auto"/>
              </w:rPr>
              <w:t>and outstanding at December 31, 2014 and June 30, 2015;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880" w:type="dxa"/>
            <w:vAlign w:val="bottom"/>
          </w:tcPr>
          <w:p>
            <w:pPr>
              <w:ind w:left="160"/>
              <w:spacing w:after="0"/>
              <w:rPr>
                <w:sz w:val="20"/>
                <w:szCs w:val="20"/>
                <w:color w:val="auto"/>
              </w:rPr>
            </w:pPr>
            <w:r>
              <w:rPr>
                <w:rFonts w:ascii="Arial" w:cs="Arial" w:eastAsia="Arial" w:hAnsi="Arial"/>
                <w:sz w:val="17"/>
                <w:szCs w:val="17"/>
                <w:color w:val="auto"/>
              </w:rPr>
              <w:t>and</w:t>
            </w:r>
          </w:p>
        </w:tc>
        <w:tc>
          <w:tcPr>
            <w:tcW w:w="3780" w:type="dxa"/>
            <w:vAlign w:val="bottom"/>
            <w:gridSpan w:val="2"/>
          </w:tcPr>
          <w:p>
            <w:pPr>
              <w:ind w:left="80"/>
              <w:spacing w:after="0"/>
              <w:rPr>
                <w:sz w:val="20"/>
                <w:szCs w:val="20"/>
                <w:color w:val="auto"/>
              </w:rPr>
            </w:pPr>
            <w:r>
              <w:rPr>
                <w:rFonts w:ascii="Arial" w:cs="Arial" w:eastAsia="Arial" w:hAnsi="Arial"/>
                <w:sz w:val="17"/>
                <w:szCs w:val="17"/>
                <w:color w:val="auto"/>
                <w:w w:val="92"/>
              </w:rPr>
              <w:t>shares issued and outstanding at June 30, 2015, pro</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0" w:type="dxa"/>
            <w:vAlign w:val="bottom"/>
          </w:tcPr>
          <w:p>
            <w:pPr>
              <w:ind w:left="160"/>
              <w:spacing w:after="0"/>
              <w:rPr>
                <w:sz w:val="20"/>
                <w:szCs w:val="20"/>
                <w:color w:val="auto"/>
              </w:rPr>
            </w:pPr>
            <w:r>
              <w:rPr>
                <w:rFonts w:ascii="Arial" w:cs="Arial" w:eastAsia="Arial" w:hAnsi="Arial"/>
                <w:sz w:val="17"/>
                <w:szCs w:val="17"/>
                <w:color w:val="auto"/>
              </w:rPr>
              <w:t>forma</w:t>
            </w: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205,841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5,026,493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5,286,666</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Subscription receivable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(5,100)</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(2,228,657)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(8,229,219)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(12,498,747)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Total stockholders' deficit</w:t>
            </w:r>
          </w:p>
        </w:tc>
        <w:tc>
          <w:tcPr>
            <w:tcW w:w="1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(2,027,811)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(3,202,575)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(7,211,930)</w:t>
            </w: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Total liabilities and stockholders' deficit</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2,097,375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2,786,380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6,875,107</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Axsome Therapeutics, Inc.</w:t>
      </w:r>
    </w:p>
    <w:p>
      <w:pPr>
        <w:spacing w:after="0" w:line="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8"/>
              </w:rPr>
              <w:t>Year ended December 31,</w:t>
            </w:r>
          </w:p>
        </w:tc>
        <w:tc>
          <w:tcPr>
            <w:tcW w:w="160" w:type="dxa"/>
            <w:vAlign w:val="bottom"/>
          </w:tcPr>
          <w:p>
            <w:pPr>
              <w:spacing w:after="0"/>
              <w:rPr>
                <w:sz w:val="13"/>
                <w:szCs w:val="13"/>
                <w:color w:val="auto"/>
              </w:rPr>
            </w:pPr>
          </w:p>
        </w:tc>
        <w:tc>
          <w:tcPr>
            <w:tcW w:w="20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5"/>
              </w:rPr>
              <w:t>Six months ended June 30,</w:t>
            </w:r>
          </w:p>
        </w:tc>
      </w:tr>
      <w:tr>
        <w:trPr>
          <w:trHeight w:val="137"/>
        </w:trPr>
        <w:tc>
          <w:tcPr>
            <w:tcW w:w="4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9"/>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r>
      <w:tr>
        <w:trPr>
          <w:trHeight w:val="137"/>
        </w:trPr>
        <w:tc>
          <w:tcPr>
            <w:tcW w:w="4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5"/>
          </w:tcPr>
          <w:p>
            <w:pPr>
              <w:ind w:left="540"/>
              <w:spacing w:after="0" w:line="138" w:lineRule="exact"/>
              <w:rPr>
                <w:sz w:val="20"/>
                <w:szCs w:val="20"/>
                <w:color w:val="auto"/>
              </w:rPr>
            </w:pPr>
            <w:r>
              <w:rPr>
                <w:rFonts w:ascii="Arial" w:cs="Arial" w:eastAsia="Arial" w:hAnsi="Arial"/>
                <w:sz w:val="13"/>
                <w:szCs w:val="13"/>
                <w:b w:val="1"/>
                <w:bCs w:val="1"/>
                <w:color w:val="auto"/>
              </w:rPr>
              <w:t>(unaudited)</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1,535,255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4,279,200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1,630,149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3,044,677</w:t>
            </w: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304,183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1,392,830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396,784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973,250</w:t>
            </w: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1,839,438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5,672,030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2,026,933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4,017,927</w:t>
            </w:r>
          </w:p>
        </w:tc>
        <w:tc>
          <w:tcPr>
            <w:tcW w:w="140" w:type="dxa"/>
            <w:vAlign w:val="bottom"/>
          </w:tcPr>
          <w:p>
            <w:pPr>
              <w:spacing w:after="0"/>
              <w:rPr>
                <w:sz w:val="17"/>
                <w:szCs w:val="17"/>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(1,839,438)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(5,672,030)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(2,026,933)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(4,017,927)</w:t>
            </w:r>
          </w:p>
        </w:tc>
      </w:tr>
      <w:tr>
        <w:trPr>
          <w:trHeight w:val="359"/>
        </w:trPr>
        <w:tc>
          <w:tcPr>
            <w:tcW w:w="4720" w:type="dxa"/>
            <w:vAlign w:val="bottom"/>
          </w:tcPr>
          <w:p>
            <w:pPr>
              <w:ind w:left="20"/>
              <w:spacing w:after="0"/>
              <w:rPr>
                <w:sz w:val="20"/>
                <w:szCs w:val="20"/>
                <w:color w:val="auto"/>
              </w:rPr>
            </w:pPr>
            <w:r>
              <w:rPr>
                <w:rFonts w:ascii="Arial" w:cs="Arial" w:eastAsia="Arial" w:hAnsi="Arial"/>
                <w:sz w:val="17"/>
                <w:szCs w:val="17"/>
                <w:color w:val="auto"/>
              </w:rPr>
              <w:t>Interest and amortization of debt discount/premium (expense)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7"/>
                <w:szCs w:val="17"/>
                <w:color w:val="auto"/>
              </w:rPr>
              <w:t>income</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(327,192)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2,233,338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455,525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(339,843)</w:t>
            </w: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184,139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184,139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(57,106)</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17,442</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embedded derivative liabilities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70,800</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(2,870,903)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(2,870,903)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
        </w:trPr>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(2,166,630)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(6,000,562)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(4,258,172)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(4,269,528)</w:t>
            </w: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4720" w:type="dxa"/>
            <w:vAlign w:val="bottom"/>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(2.07)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(4.84)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(2.82)</w:t>
            </w: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Weighted average common shares outstanding, basic and diluted</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1,047,120</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1,238,915</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1,065,027</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1,512,449</w:t>
            </w: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4720" w:type="dxa"/>
            <w:vAlign w:val="bottom"/>
          </w:tcPr>
          <w:p>
            <w:pPr>
              <w:ind w:left="20"/>
              <w:spacing w:after="0"/>
              <w:rPr>
                <w:sz w:val="20"/>
                <w:szCs w:val="20"/>
                <w:color w:val="auto"/>
              </w:rPr>
            </w:pPr>
            <w:r>
              <w:rPr>
                <w:rFonts w:ascii="Arial" w:cs="Arial" w:eastAsia="Arial" w:hAnsi="Arial"/>
                <w:sz w:val="17"/>
                <w:szCs w:val="17"/>
                <w:color w:val="auto"/>
              </w:rPr>
              <w:t>Pro forma net loss per share, basic and diluted (unaudited)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(4.77)</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(2.38)</w:t>
            </w: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9"/>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Pro forma weighted average common shares outstanding, basic</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8"/>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diluted (unaudited)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1,263,637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1,688,218</w:t>
            </w: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Axsome Therapeutics, Inc.</w:t>
      </w:r>
    </w:p>
    <w:p>
      <w:pPr>
        <w:spacing w:after="0" w:line="24"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Consolidated Statements of Stockholders' Deficit</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780" w:type="dxa"/>
            <w:vAlign w:val="bottom"/>
          </w:tcPr>
          <w:p>
            <w:pPr>
              <w:spacing w:after="0"/>
              <w:rPr>
                <w:sz w:val="13"/>
                <w:szCs w:val="13"/>
                <w:color w:val="auto"/>
              </w:rPr>
            </w:pPr>
          </w:p>
        </w:tc>
        <w:tc>
          <w:tcPr>
            <w:tcW w:w="122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1"/>
              </w:rPr>
              <w:t>Common stock</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Additional</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8"/>
              </w:rPr>
              <w:t>Subscription</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Total</w:t>
            </w:r>
          </w:p>
        </w:tc>
      </w:tr>
      <w:tr>
        <w:trPr>
          <w:trHeight w:val="137"/>
        </w:trPr>
        <w:tc>
          <w:tcPr>
            <w:tcW w:w="2780" w:type="dxa"/>
            <w:vAlign w:val="bottom"/>
          </w:tcPr>
          <w:p>
            <w:pPr>
              <w:spacing w:after="0"/>
              <w:rPr>
                <w:sz w:val="11"/>
                <w:szCs w:val="11"/>
                <w:color w:val="auto"/>
              </w:rPr>
            </w:pPr>
          </w:p>
        </w:tc>
        <w:tc>
          <w:tcPr>
            <w:tcW w:w="760" w:type="dxa"/>
            <w:vAlign w:val="bottom"/>
            <w:tcBorders>
              <w:bottom w:val="single" w:sz="8" w:color="auto"/>
            </w:tcBorders>
          </w:tcPr>
          <w:p>
            <w:pPr>
              <w:ind w:left="180"/>
              <w:spacing w:after="0" w:line="138"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62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1"/>
              </w:rPr>
              <w:t>paid-in capital</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w w:val="91"/>
              </w:rPr>
              <w:t>receivable</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17"/>
              <w:spacing w:after="0" w:line="138"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7"/>
              <w:spacing w:after="0" w:line="138" w:lineRule="exact"/>
              <w:rPr>
                <w:sz w:val="20"/>
                <w:szCs w:val="20"/>
                <w:color w:val="auto"/>
              </w:rPr>
            </w:pPr>
            <w:r>
              <w:rPr>
                <w:rFonts w:ascii="Arial" w:cs="Arial" w:eastAsia="Arial" w:hAnsi="Arial"/>
                <w:sz w:val="13"/>
                <w:szCs w:val="13"/>
                <w:b w:val="1"/>
                <w:bCs w:val="1"/>
                <w:color w:val="auto"/>
                <w:w w:val="88"/>
              </w:rPr>
              <w:t>stockholders' deficit</w:t>
            </w:r>
          </w:p>
        </w:tc>
        <w:tc>
          <w:tcPr>
            <w:tcW w:w="140" w:type="dxa"/>
            <w:vAlign w:val="bottom"/>
          </w:tcPr>
          <w:p>
            <w:pPr>
              <w:spacing w:after="0"/>
              <w:rPr>
                <w:sz w:val="11"/>
                <w:szCs w:val="1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1,047,120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(62,027)</w:t>
            </w:r>
          </w:p>
        </w:tc>
      </w:t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9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55,281</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55,281</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warrants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145,565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145,565</w:t>
            </w:r>
          </w:p>
        </w:tc>
      </w:t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Net loss</w:t>
            </w: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(2,166,630)</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(2,166,630)</w:t>
            </w:r>
          </w:p>
        </w:tc>
      </w:tr>
      <w:tr>
        <w:trPr>
          <w:trHeight w:val="20"/>
        </w:trPr>
        <w:tc>
          <w:tcPr>
            <w:tcW w:w="2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1,047,120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105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205,841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(2,228,657)</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(2,027,811)</w:t>
            </w:r>
          </w:p>
        </w:tc>
      </w:t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9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376,806</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376,806</w:t>
            </w: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 for</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conversion of convertible notes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465,329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4,443,846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4,443,892</w:t>
            </w:r>
          </w:p>
        </w:tc>
      </w:t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Collection of subscription receivable</w:t>
            </w:r>
          </w:p>
        </w:tc>
        <w:tc>
          <w:tcPr>
            <w:tcW w:w="9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5,100</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5,100</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(6,000,562)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(6,000,562)</w:t>
            </w:r>
          </w:p>
        </w:tc>
      </w:tr>
      <w:tr>
        <w:trPr>
          <w:trHeight w:val="203"/>
        </w:trPr>
        <w:tc>
          <w:tcPr>
            <w:tcW w:w="2780" w:type="dxa"/>
            <w:vAlign w:val="bottom"/>
          </w:tcPr>
          <w:p>
            <w:pPr>
              <w:spacing w:after="0"/>
              <w:rPr>
                <w:sz w:val="20"/>
                <w:szCs w:val="20"/>
                <w:color w:val="auto"/>
              </w:rPr>
            </w:pPr>
            <w:r>
              <w:rPr>
                <w:rFonts w:ascii="Arial" w:cs="Arial" w:eastAsia="Arial" w:hAnsi="Arial"/>
                <w:sz w:val="17"/>
                <w:szCs w:val="17"/>
                <w:color w:val="auto"/>
              </w:rPr>
              <w:t>Balance at December 31, 2014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1,512,449</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84"/>
              </w:rPr>
              <w:t>151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5,026,493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(8,229,219)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(3,202,575)</w:t>
            </w:r>
          </w:p>
        </w:tc>
        <w:tc>
          <w:tcPr>
            <w:tcW w:w="140" w:type="dxa"/>
            <w:vAlign w:val="bottom"/>
          </w:tcPr>
          <w:p>
            <w:pPr>
              <w:spacing w:after="0"/>
              <w:rPr>
                <w:sz w:val="17"/>
                <w:szCs w:val="17"/>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(unaudited)</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260,173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260,173</w:t>
            </w:r>
          </w:p>
        </w:tc>
      </w:t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Net loss (unaudited)</w:t>
            </w: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(4,269,528)</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(4,269,528)</w:t>
            </w:r>
          </w:p>
        </w:tc>
      </w:tr>
      <w:tr>
        <w:trPr>
          <w:trHeight w:val="20"/>
        </w:trPr>
        <w:tc>
          <w:tcPr>
            <w:tcW w:w="2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w w:val="97"/>
              </w:rPr>
              <w:t>Balance at June 30, 2015 (unaudited)</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1,512,449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151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5,286,666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(12,498,747)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(7,211,930)</w:t>
            </w:r>
          </w:p>
        </w:tc>
      </w:tr>
      <w:tr>
        <w:trPr>
          <w:trHeight w:val="20"/>
        </w:trPr>
        <w:tc>
          <w:tcPr>
            <w:tcW w:w="2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039"/>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Axsome Therapeutics, Inc.</w:t>
      </w:r>
    </w:p>
    <w:p>
      <w:pPr>
        <w:spacing w:after="0" w:line="22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8"/>
              </w:rPr>
              <w:t>Year ended December 31,</w:t>
            </w:r>
          </w:p>
        </w:tc>
        <w:tc>
          <w:tcPr>
            <w:tcW w:w="160" w:type="dxa"/>
            <w:vAlign w:val="bottom"/>
          </w:tcPr>
          <w:p>
            <w:pPr>
              <w:spacing w:after="0"/>
              <w:rPr>
                <w:sz w:val="13"/>
                <w:szCs w:val="13"/>
                <w:color w:val="auto"/>
              </w:rPr>
            </w:pPr>
          </w:p>
        </w:tc>
        <w:tc>
          <w:tcPr>
            <w:tcW w:w="2040" w:type="dxa"/>
            <w:vAlign w:val="bottom"/>
            <w:gridSpan w:val="5"/>
          </w:tcPr>
          <w:p>
            <w:pPr>
              <w:ind w:left="14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4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r>
      <w:tr>
        <w:trPr>
          <w:trHeight w:val="137"/>
        </w:trPr>
        <w:tc>
          <w:tcPr>
            <w:tcW w:w="4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5"/>
          </w:tcPr>
          <w:p>
            <w:pPr>
              <w:ind w:left="540"/>
              <w:spacing w:after="0" w:line="138" w:lineRule="exact"/>
              <w:rPr>
                <w:sz w:val="20"/>
                <w:szCs w:val="20"/>
                <w:color w:val="auto"/>
              </w:rPr>
            </w:pPr>
            <w:r>
              <w:rPr>
                <w:rFonts w:ascii="Arial" w:cs="Arial" w:eastAsia="Arial" w:hAnsi="Arial"/>
                <w:sz w:val="13"/>
                <w:szCs w:val="13"/>
                <w:b w:val="1"/>
                <w:bCs w:val="1"/>
                <w:color w:val="auto"/>
              </w:rPr>
              <w:t>(unaudited)</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(2,166,630)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(6,000,562)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(4,258,172)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(4,269,528)</w:t>
            </w:r>
          </w:p>
        </w:tc>
      </w:tr>
      <w:tr>
        <w:trPr>
          <w:trHeight w:val="201"/>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Adjustments to reconcile net loss to net cash used in operating</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55,281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376,806</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260,961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260,173</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discount (premium)</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130,546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(2,649,190)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(710,833)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51,913</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60,961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143,813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98,343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5,522</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 cash interest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135,685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272,039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156,965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284,439</w:t>
            </w:r>
          </w:p>
        </w:tc>
      </w:tr>
      <w:tr>
        <w:trPr>
          <w:trHeight w:val="201"/>
        </w:trPr>
        <w:tc>
          <w:tcPr>
            <w:tcW w:w="4720" w:type="dxa"/>
            <w:vAlign w:val="bottom"/>
          </w:tcPr>
          <w:p>
            <w:pPr>
              <w:ind w:left="20"/>
              <w:spacing w:after="0"/>
              <w:rPr>
                <w:sz w:val="20"/>
                <w:szCs w:val="20"/>
                <w:color w:val="auto"/>
              </w:rPr>
            </w:pPr>
            <w:r>
              <w:rPr>
                <w:rFonts w:ascii="Arial" w:cs="Arial" w:eastAsia="Arial" w:hAnsi="Arial"/>
                <w:sz w:val="17"/>
                <w:szCs w:val="17"/>
                <w:color w:val="auto"/>
              </w:rPr>
              <w:t>Change in fair value of warrant and embedded derivative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7"/>
                <w:szCs w:val="17"/>
                <w:color w:val="auto"/>
              </w:rPr>
              <w:t>liabilities</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(124,894)</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(88,242)</w:t>
            </w: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2,870,903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2,870,903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1,169</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(9,532)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(116,413)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(7,823)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(127,058)</w:t>
            </w: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158,139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598,836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131,924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316,282</w:t>
            </w: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4,485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32,268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65,815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299,656</w:t>
            </w:r>
          </w:p>
        </w:tc>
      </w:tr>
      <w:tr>
        <w:trPr>
          <w:trHeight w:val="20"/>
        </w:trPr>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(1,631,065)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(4,596,394)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(1,391,917)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(3,265,674)</w:t>
            </w:r>
          </w:p>
        </w:tc>
      </w:tr>
      <w:tr>
        <w:trPr>
          <w:trHeight w:val="202"/>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equipment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(11,676)</w:t>
            </w: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(11,676)</w:t>
            </w:r>
          </w:p>
        </w:tc>
        <w:tc>
          <w:tcPr>
            <w:tcW w:w="140" w:type="dxa"/>
            <w:vAlign w:val="bottom"/>
          </w:tcPr>
          <w:p>
            <w:pPr>
              <w:spacing w:after="0"/>
              <w:rPr>
                <w:sz w:val="17"/>
                <w:szCs w:val="17"/>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Proceeds from issuance of convertible notes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3,775,265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5,209,886</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7,282,470</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(12,489)</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Deferred financing fees</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(42,620)</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(154,704)</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Receipt of subscription receivable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Payment of loan from related party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(21,000)</w:t>
            </w: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(41,469)</w:t>
            </w:r>
          </w:p>
        </w:tc>
      </w:tr>
      <w:tr>
        <w:trPr>
          <w:trHeight w:val="20"/>
        </w:trPr>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3,717,282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5,126,366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7,073,808</w:t>
            </w: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Net increase (decrease) in cash</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2,086,217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529,972</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(1,391,917)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3,796,458</w:t>
            </w:r>
          </w:p>
        </w:tc>
        <w:tc>
          <w:tcPr>
            <w:tcW w:w="140" w:type="dxa"/>
            <w:vAlign w:val="bottom"/>
          </w:tcPr>
          <w:p>
            <w:pPr>
              <w:spacing w:after="0"/>
              <w:rPr>
                <w:sz w:val="17"/>
                <w:szCs w:val="17"/>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at beginning of period</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2,087,843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2,087,843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2,617,815</w:t>
            </w: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2,087,843</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2,617,815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695,926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6,414,273</w:t>
            </w:r>
          </w:p>
        </w:tc>
        <w:tc>
          <w:tcPr>
            <w:tcW w:w="14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7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Supplemental disclosures of non-cash financing activity:</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Warrants issued to placement agent for offering costs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145,565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79,129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of convertible notes to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4,443,892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1,507,611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2015 and for the six months ended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June 30, 2014 and 2015 is unaudited)</w:t>
      </w:r>
    </w:p>
    <w:p>
      <w:pPr>
        <w:spacing w:after="0" w:line="214" w:lineRule="exact"/>
        <w:rPr>
          <w:sz w:val="20"/>
          <w:szCs w:val="20"/>
          <w:color w:val="auto"/>
        </w:rPr>
      </w:pPr>
    </w:p>
    <w:p>
      <w:pPr>
        <w:ind w:left="340" w:hanging="335"/>
        <w:spacing w:after="0"/>
        <w:tabs>
          <w:tab w:leader="none" w:pos="3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and Basis of Presentation</w:t>
      </w:r>
    </w:p>
    <w:p>
      <w:pPr>
        <w:spacing w:after="0" w:line="228" w:lineRule="exact"/>
        <w:rPr>
          <w:sz w:val="20"/>
          <w:szCs w:val="20"/>
          <w:color w:val="auto"/>
        </w:rPr>
      </w:pPr>
    </w:p>
    <w:p>
      <w:pPr>
        <w:ind w:right="120" w:firstLine="332"/>
        <w:spacing w:after="0" w:line="262" w:lineRule="auto"/>
        <w:rPr>
          <w:sz w:val="20"/>
          <w:szCs w:val="20"/>
          <w:color w:val="auto"/>
        </w:rPr>
      </w:pPr>
      <w:r>
        <w:rPr>
          <w:rFonts w:ascii="Arial" w:cs="Arial" w:eastAsia="Arial" w:hAnsi="Arial"/>
          <w:sz w:val="17"/>
          <w:szCs w:val="17"/>
          <w:color w:val="auto"/>
        </w:rPr>
        <w:t>Axsome Therapeutics, Inc. ("Axsome" or the "Company") is a clinical stage biopharmaceutical company developing novel therapies for the management of pain and other central nervous system, or CNS, disorders. By focusing on this therapeutic area, the Company is addressing significant and growing markets where current treatment options are limited or inadequate. The Company's product candidate portfolio includes two late-stage candidates, AXS-02 and AXS-05,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pain and other CNS disorders. The Company was incorporated on January 12, 2012 in the State of Delaware.</w:t>
      </w:r>
    </w:p>
    <w:p>
      <w:pPr>
        <w:spacing w:after="0" w:line="188" w:lineRule="exact"/>
        <w:rPr>
          <w:sz w:val="20"/>
          <w:szCs w:val="20"/>
          <w:color w:val="auto"/>
        </w:rPr>
      </w:pPr>
    </w:p>
    <w:p>
      <w:pPr>
        <w:ind w:right="360" w:firstLine="338"/>
        <w:spacing w:after="0" w:line="265"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Results</w:t>
      </w:r>
    </w:p>
    <w:p>
      <w:pPr>
        <w:spacing w:after="0" w:line="228"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accompanying consolidated balance sheet as of June 30, 2015, the consolidated statements of operations and consolidated cash flows for the six months ended June 30, 2014 and June 30, 2015 and the consolidated statement of stockholders' deficit for the six months ended June 30, 2015 are unaudited. The unaudited consolidated interim financial statements have been prepared on the same basis as the annual consolidated financial statements and in the opinion of management reflect all adjustments, which include only normal recurring adjustments, necessary to present fairly the Company's financial position and results of operations and cash flows for the periods presented. The financial data and other information disclosed in these notes to the consolidated financial statements related to the six months are unaudited. The results for the six months ended June 30, 2015 are not necessarily indicative of the results to be expected for the year ending December 31, 2015 or for any other interim period or for any other future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Information</w:t>
      </w:r>
    </w:p>
    <w:p>
      <w:pPr>
        <w:spacing w:after="0" w:line="22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Unaudited pro forma net loss per share is computed using the weighted average number of common shares outstanding and gives effect to the automatic conversion of all outstanding convertible notes and any accrued and unpaid interest thereon on an as-if converted basis at the later of the beginning of the period or the issuance date, into an aggregate of 134,487 and 304,269 shares of the Company's common stock as of December 31, 2014 and June 30, 2015, respectively. The pro forma net loss per share calculation excludes the following items related to the 2014 convertible notes: interest expense and accumulated amortization, change in fair value of warrant liability, and change in fair value of embedded derivative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unaudited pro forma balance sheet information as of June 30, 2015 has been prepared to give effect to (1) the automatic conversion of all the Company's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Pr>
          <w:p>
            <w:pPr>
              <w:spacing w:after="0"/>
              <w:rPr>
                <w:sz w:val="20"/>
                <w:szCs w:val="20"/>
                <w:color w:val="auto"/>
              </w:rPr>
            </w:pPr>
            <w:r>
              <w:rPr>
                <w:rFonts w:ascii="Arial" w:cs="Arial" w:eastAsia="Arial" w:hAnsi="Arial"/>
                <w:sz w:val="17"/>
                <w:szCs w:val="17"/>
                <w:color w:val="auto"/>
                <w:w w:val="93"/>
              </w:rPr>
              <w:t>outstanding convertible notes, together with any accrued and unpaid interest thereon, into an aggregate of</w:t>
            </w:r>
          </w:p>
        </w:tc>
        <w:tc>
          <w:tcPr>
            <w:tcW w:w="3960" w:type="dxa"/>
            <w:vAlign w:val="bottom"/>
            <w:gridSpan w:val="2"/>
          </w:tcPr>
          <w:p>
            <w:pPr>
              <w:ind w:left="260"/>
              <w:spacing w:after="0"/>
              <w:rPr>
                <w:sz w:val="20"/>
                <w:szCs w:val="20"/>
                <w:color w:val="auto"/>
              </w:rPr>
            </w:pPr>
            <w:r>
              <w:rPr>
                <w:rFonts w:ascii="Arial" w:cs="Arial" w:eastAsia="Arial" w:hAnsi="Arial"/>
                <w:sz w:val="17"/>
                <w:szCs w:val="17"/>
                <w:color w:val="auto"/>
                <w:w w:val="98"/>
              </w:rPr>
              <w:t>shares of the Company's common stock upon the</w:t>
            </w:r>
          </w:p>
        </w:tc>
      </w:tr>
      <w:tr>
        <w:trPr>
          <w:trHeight w:val="210"/>
        </w:trPr>
        <w:tc>
          <w:tcPr>
            <w:tcW w:w="9480" w:type="dxa"/>
            <w:vAlign w:val="bottom"/>
            <w:gridSpan w:val="2"/>
          </w:tcPr>
          <w:p>
            <w:pPr>
              <w:spacing w:after="0"/>
              <w:rPr>
                <w:sz w:val="20"/>
                <w:szCs w:val="20"/>
                <w:color w:val="auto"/>
              </w:rPr>
            </w:pPr>
            <w:r>
              <w:rPr>
                <w:rFonts w:ascii="Arial" w:cs="Arial" w:eastAsia="Arial" w:hAnsi="Arial"/>
                <w:sz w:val="17"/>
                <w:szCs w:val="17"/>
                <w:color w:val="auto"/>
                <w:w w:val="94"/>
              </w:rPr>
              <w:t>closing of this offering, (2) in conjunction with the conversion of the Company's convertible notes: (i) the accelerated amortization of $</w:t>
            </w:r>
          </w:p>
        </w:tc>
        <w:tc>
          <w:tcPr>
            <w:tcW w:w="1940" w:type="dxa"/>
            <w:vAlign w:val="bottom"/>
          </w:tcPr>
          <w:p>
            <w:pPr>
              <w:ind w:left="260"/>
              <w:spacing w:after="0"/>
              <w:rPr>
                <w:sz w:val="20"/>
                <w:szCs w:val="20"/>
                <w:color w:val="auto"/>
              </w:rPr>
            </w:pPr>
            <w:r>
              <w:rPr>
                <w:rFonts w:ascii="Arial" w:cs="Arial" w:eastAsia="Arial" w:hAnsi="Arial"/>
                <w:sz w:val="17"/>
                <w:szCs w:val="17"/>
                <w:color w:val="auto"/>
              </w:rPr>
              <w:t>of unamortized debt</w:t>
            </w:r>
          </w:p>
        </w:tc>
      </w:tr>
      <w:tr>
        <w:trPr>
          <w:trHeight w:val="216"/>
        </w:trPr>
        <w:tc>
          <w:tcPr>
            <w:tcW w:w="7460" w:type="dxa"/>
            <w:vAlign w:val="bottom"/>
          </w:tcPr>
          <w:p>
            <w:pPr>
              <w:spacing w:after="0"/>
              <w:rPr>
                <w:sz w:val="20"/>
                <w:szCs w:val="20"/>
                <w:color w:val="auto"/>
              </w:rPr>
            </w:pPr>
            <w:r>
              <w:rPr>
                <w:rFonts w:ascii="Arial" w:cs="Arial" w:eastAsia="Arial" w:hAnsi="Arial"/>
                <w:sz w:val="17"/>
                <w:szCs w:val="17"/>
                <w:color w:val="auto"/>
              </w:rPr>
              <w:t>discount and</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19"/>
        </w:trPr>
        <w:tc>
          <w:tcPr>
            <w:tcW w:w="7460" w:type="dxa"/>
            <w:vAlign w:val="bottom"/>
          </w:tcPr>
          <w:p>
            <w:pPr>
              <w:ind w:left="5600"/>
              <w:spacing w:after="0"/>
              <w:rPr>
                <w:sz w:val="20"/>
                <w:szCs w:val="20"/>
                <w:color w:val="auto"/>
              </w:rPr>
            </w:pPr>
            <w:r>
              <w:rPr>
                <w:rFonts w:ascii="Arial" w:cs="Arial" w:eastAsia="Arial" w:hAnsi="Arial"/>
                <w:sz w:val="17"/>
                <w:szCs w:val="17"/>
                <w:color w:val="auto"/>
              </w:rPr>
              <w:t>F-7</w:t>
            </w: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2"/>
        </w:trPr>
        <w:tc>
          <w:tcPr>
            <w:tcW w:w="74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5"/>
        <w:spacing w:after="0" w:line="282" w:lineRule="auto"/>
        <w:tabs>
          <w:tab w:leader="none" w:pos="597" w:val="left"/>
        </w:tabs>
        <w:numPr>
          <w:ilvl w:val="0"/>
          <w:numId w:val="87"/>
        </w:numPr>
        <w:rPr>
          <w:rFonts w:ascii="Arial" w:cs="Arial" w:eastAsia="Arial" w:hAnsi="Arial"/>
          <w:sz w:val="17"/>
          <w:szCs w:val="17"/>
          <w:color w:val="auto"/>
        </w:rPr>
      </w:pPr>
      <w:r>
        <w:rPr>
          <w:rFonts w:ascii="Arial" w:cs="Arial" w:eastAsia="Arial" w:hAnsi="Arial"/>
          <w:sz w:val="17"/>
          <w:szCs w:val="17"/>
          <w:color w:val="auto"/>
        </w:rPr>
        <w:t>of unamortized debt issuance costs and (ii) the reclassification of warrant and embedded derivative liabilities to additional paid-in capital as, upon the closing of this offering, neither is subject to remeasurement.</w:t>
      </w:r>
    </w:p>
    <w:p>
      <w:pPr>
        <w:spacing w:after="0" w:line="166" w:lineRule="exact"/>
        <w:rPr>
          <w:sz w:val="20"/>
          <w:szCs w:val="20"/>
          <w:color w:val="auto"/>
        </w:rPr>
      </w:pPr>
    </w:p>
    <w:p>
      <w:pPr>
        <w:ind w:left="340" w:hanging="335"/>
        <w:spacing w:after="0"/>
        <w:tabs>
          <w:tab w:leader="none" w:pos="34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Liquidity</w:t>
      </w:r>
    </w:p>
    <w:p>
      <w:pPr>
        <w:spacing w:after="0" w:line="228"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The Company has not generated any revenues since its inception and has never achieved profitable operations. There is no assurance that profitable operations, if ever achieved, could be sustained on a continuing basis. In addition, development activities, clinical and preclinical testing, and commercialization of the Company's product candidates, if approved, will require significant additional financing. The Company's accumulated deficit at December 31, 2014 and June 30, 2015 aggregated $8.2 million and $12.5 million, respectively, and management expects to incur substantial and increasing losses in future periods. The success of the Company is subject to certain risks and uncertainties, including among others, uncertainty of product candidate development and commercialization, competition in the Company's field of use, protection of proprietary technology, compliance with the U.S. Food and Drug Administration ("FDA") and other government regulations, ability to raise additional financing, uncertainty of the Company's ability to enter into agreements with collaborative partners, dependence on third parties, and dependence on key personnel. The Company plans to finance future operations with a combination of proceeds from the issuance of convertible notes, preferred and/or common stock, potential licensing fees, and revenues from future product sales, if any. The Company has not generated positive cash flows from operations, and there are no assurances that the Company will be successful in obtaining an adequate level of financing for the development and commercialization of its planned products. Management believes that the Company's cash as of June 30, 2015 will provide for the Company to continue operations for at least the next six months. Should the Company's proposed initial public offering ("IPO") not close as planned, management intends to reduce its future spending level to preserve cash and continue its operations on a limited basis until more funding is secured.</w:t>
      </w:r>
    </w:p>
    <w:p>
      <w:pPr>
        <w:spacing w:after="0" w:line="172" w:lineRule="exact"/>
        <w:rPr>
          <w:sz w:val="20"/>
          <w:szCs w:val="20"/>
          <w:color w:val="auto"/>
        </w:rPr>
      </w:pPr>
    </w:p>
    <w:p>
      <w:pPr>
        <w:ind w:right="7880" w:firstLine="5"/>
        <w:spacing w:after="0" w:line="517" w:lineRule="auto"/>
        <w:tabs>
          <w:tab w:leader="none" w:pos="341"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Significant Risks and Uncertainties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operations are subject to a number of factors that can affect its operating results and financial condition. Such factors include, but are not limited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 if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approved; competition from products manufactured and sold or being developed by other companies; the price of, and demand for, Company products, if approved;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Company's ability to negotiate favorable licensing or other manufacturing and marketing agreements for its products, if approved; and the Company's ability to raise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additional financing. If the Company does not successfully commercialize any of its product candidates, it will be unable to generate recurring product revenue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achieve and maintain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these financial statements, management used significant estimates in the following areas, among others: stock-based compensation expense; the determination of the fair value of stock-based awards and the warrant and embedded derivative liabilities; the accounting for research and development costs; and the recoverability of the Company's net deferred tax assets and related valuation allowance.</w:t>
      </w:r>
    </w:p>
    <w:p>
      <w:pPr>
        <w:spacing w:after="0" w:line="17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Company utilizes significant estimates and assumptions in determining the fair value of its common stock and convertible notes. The Board determined the estimated fair value of the Company's common stock based on a number of objective and subjective factors, including external market conditions affecting the biotechnology industry, the prices at which the Company issued convertible notes, and the likelihood of achieving a liquidity event, such as an IPO or sale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and Geographic Information</w:t>
      </w:r>
    </w:p>
    <w:p>
      <w:pPr>
        <w:spacing w:after="0" w:line="228"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Operating segments are defined as components of an enterprise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pain and other central nervous system disorders.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228"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 Company considers all highly-liquid investments that have maturities of three months or less when acquired to be cash equivalents. Cash equivalents are valued at cost, which approximates their fair value. There were no cash equivalents at December 31, 2013 and 2014 or June 30, 2015.</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28"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December 31, 2013 and 2014 and June 30, 2015, the Company's cash was held by one financial institution and the amount on deposit was in excess of FDIC insurance limits. The Company has not recognized any losses from credit risks on such accounts since inception. The Company believes it is not exposed to significant credit risk on cash.</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 that the Company has the ability to access at the measurement date.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other than quoted prices in active markets that are observable for the asset or liability, either directly or indirectly.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unobservable for the asset or liability.</w:t>
      </w:r>
    </w:p>
    <w:p>
      <w:pPr>
        <w:spacing w:after="0" w:line="224" w:lineRule="exact"/>
        <w:rPr>
          <w:sz w:val="20"/>
          <w:szCs w:val="20"/>
          <w:color w:val="auto"/>
        </w:rPr>
      </w:pPr>
    </w:p>
    <w:p>
      <w:pPr>
        <w:jc w:val="both"/>
        <w:ind w:right="280" w:firstLine="338"/>
        <w:spacing w:after="0" w:line="322"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carrying amounts reported in the accompanying consolidated financial statements for loan from related party, accounts payable and accrued expenses approximate their respective fair values due to their short-term maturities. The fair value of the warrant and embedded derivative liabilities are discussed in Note 4, "Fair Value Measurements." The fair value of the convertible notes as of December 31, 2014 and June 30, 2015 was $5,455,000 and $13,123,000, respectively, which were calculated using Level 3 inputs.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Financing Fees</w:t>
      </w:r>
    </w:p>
    <w:p>
      <w:pPr>
        <w:spacing w:after="0" w:line="228" w:lineRule="exact"/>
        <w:rPr>
          <w:sz w:val="20"/>
          <w:szCs w:val="20"/>
          <w:color w:val="auto"/>
        </w:rPr>
      </w:pPr>
    </w:p>
    <w:p>
      <w:pPr>
        <w:ind w:right="560" w:firstLine="338"/>
        <w:spacing w:after="0" w:line="315"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the Company's equity financing to deferred financing fees. Upon consummation of the financing, the fees are reclassified to additional paid-in capital as an offset of the proceeds.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incurred third-party costs, which include the issuance of warrants, in connection with certain issuances of convertible notes as described in Note 7.</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These costs are classified on the consolidated balance sheet as a direct deduction from the debt liability.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Equipment</w:t>
      </w:r>
    </w:p>
    <w:p>
      <w:pPr>
        <w:spacing w:after="0" w:line="228"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Equipment consists of computer equipment and is recorded at cost. Equipment is depreciated on a straight-line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Research and development expenses primarily consist of costs incurred in performing research and development activities, including preclinical studies, clinical trials, manufacturing costs, employee salaries and benefits, stock-based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85"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Research and development costs are expensed as incurred. Advance payments for goods or services for future research and development activities are deferred and expensed as the goods are delivered or the related services are performed. As part of the process of preparing its financial statements, the Company is required to estimate its accrued expenses. This process involves reviewing quotations and contracts, identifying services that have been performed on the Company's behalf and estimating the level of service performed and the associated cost incurred for the service when the Company has not yet been invoiced or otherwise notified of the actual cost. The majority of the Company's service providers invoice monthly in arrears for services performed or when contractual milestones are met. The Company makes estimates of its accrued expenses as of each balance sheet date in its financial statements based on facts and circumstances known at that time. The Company periodically confirms the accuracy of its estimates with the service providers and makes adjustments if necessary. The significant estimates in accrued research and development expenses are related to fees paid or payable to CROs and other vendors in connection with research and development activities for which the Company has not yet been invoiced.</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Company bases its expenses related to CROs on its estimates of the services received and efforts expended pursuant to quotes and contracts with CROs that conduct research and development on its behalf. The financial terms of these agreements are subject to negotiation, vary from contract to contract and may result in uneven payment flows. There may be instances in which payments made to vendors will exceed the level of services provided and result in a prepayment of the research and development expense. In accruing service fees, the Company estimates the time period over which</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services will be performed and the level of effort to be expended in each period. If the actual timing of the performance of services or the level of effort varies from its estimate, the Company adjusts the accrual or prepayment accordingly in the period in which the facts that give rise to the revision become known. Although the Company does not expect its estimates to be materially different from amounts actually incurred, the Company's understanding of the status and timing of services performed relative to the actual status and timing of services performed may vary and could result in reporting amounts that are too high or too low in any particular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8"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8"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2013 and 2014, and as of June 30, 2015,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8"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 xml:space="preserve">The Company accounts for stock-based compensation in accordance with the provisions of 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("ASC 718"), which requires the recognition of expense related to the fair value of stock-based compensation awards in the consolidated statement of operations. For stock options issued to employees and members of the Company's board of directors for their services, the Company estimates the grant date fair value of each option using the Black-Scholes option pricing model.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Forfeitures are required to be estimated at the time of grant and revised, if necessary, in subsequent periods if actual forfeitures differ from those estimates.</w:t>
      </w:r>
    </w:p>
    <w:p>
      <w:pPr>
        <w:spacing w:after="0" w:line="164"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For stock-based payments issued to non-employees,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The Company records compensation expense based on the fair value of the award at the reporting date. The awards to non-employees are then revalued, or the total compensation is recalculated based on the then current fair value, at each subsequent reporting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Net Loss per Common Share</w:t>
      </w:r>
    </w:p>
    <w:p>
      <w:pPr>
        <w:spacing w:after="0" w:line="228"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convertible notes, warrants, and stock options, which would result in the issuance of incremental shares of common stock. As the impact of these items is anti-dilutive during periods of net loss, there was no difference between basic and diluted net loss per share of common stock for the years ended December 31, 2013 and 2014 or the periods ended June 30, 2014 and 2015.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In April 2015, the Financial Accounting Standards Board ("FASB") issued Accounting Standards Updates ("ASU") 2015-03, </w:t>
      </w:r>
      <w:r>
        <w:rPr>
          <w:rFonts w:ascii="Arial" w:cs="Arial" w:eastAsia="Arial" w:hAnsi="Arial"/>
          <w:sz w:val="17"/>
          <w:szCs w:val="17"/>
          <w:i w:val="1"/>
          <w:iCs w:val="1"/>
          <w:color w:val="auto"/>
        </w:rPr>
        <w:t>Interest—Imputation of Interest</w:t>
      </w:r>
      <w:r>
        <w:rPr>
          <w:rFonts w:ascii="Arial" w:cs="Arial" w:eastAsia="Arial" w:hAnsi="Arial"/>
          <w:sz w:val="17"/>
          <w:szCs w:val="17"/>
          <w:color w:val="auto"/>
        </w:rPr>
        <w:t xml:space="preserve"> (Subtopic 835-30). The update requires debt issuance costs related to a recognized debt liability to be presented in the balance sheet as a direct deduction from the debt liability rather than as an asset. The guidance is effective for fiscal years beginning after December 15, 2015. The Company early adopted this guidance for all periods presented.</w:t>
      </w:r>
    </w:p>
    <w:p>
      <w:pPr>
        <w:spacing w:after="0" w:line="185" w:lineRule="exact"/>
        <w:rPr>
          <w:sz w:val="20"/>
          <w:szCs w:val="20"/>
          <w:color w:val="auto"/>
        </w:rPr>
      </w:pPr>
    </w:p>
    <w:p>
      <w:pPr>
        <w:ind w:right="240" w:firstLine="341"/>
        <w:spacing w:after="0" w:line="263"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w:t>
      </w:r>
      <w:r>
        <w:rPr>
          <w:rFonts w:ascii="Arial" w:cs="Arial" w:eastAsia="Arial" w:hAnsi="Arial"/>
          <w:sz w:val="17"/>
          <w:szCs w:val="17"/>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The guidance is effective for fiscal years ending after December 15, 2016. Early adoption is permitted. The Company expects to adopt this guidance when effective and is currently evaluating the effect that the updated standard will have on its financial statements and related disclosures.</w:t>
      </w:r>
    </w:p>
    <w:p>
      <w:pPr>
        <w:spacing w:after="0" w:line="187"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 xml:space="preserve">On June 10, 2014, the FASB issued ASU 2014-10, </w:t>
      </w:r>
      <w:r>
        <w:rPr>
          <w:rFonts w:ascii="Arial" w:cs="Arial" w:eastAsia="Arial" w:hAnsi="Arial"/>
          <w:sz w:val="17"/>
          <w:szCs w:val="17"/>
          <w:i w:val="1"/>
          <w:iCs w:val="1"/>
          <w:color w:val="auto"/>
        </w:rPr>
        <w:t>Development Stage Entities (Topic 915)</w:t>
      </w:r>
      <w:r>
        <w:rPr>
          <w:rFonts w:ascii="Arial" w:cs="Arial" w:eastAsia="Arial" w:hAnsi="Arial"/>
          <w:sz w:val="17"/>
          <w:szCs w:val="17"/>
          <w:color w:val="auto"/>
        </w:rPr>
        <w:t>. The update removes the definition of a development stage entity from FASB ASC 915 and eliminates the requirement for development stage entities to present inception-to-date information on the statements of operations, cash flows and stockholders' deficit. The Company early adopted this guidance in this and all subsequent reporting periods.</w:t>
      </w:r>
    </w:p>
    <w:p>
      <w:pPr>
        <w:spacing w:after="0" w:line="175" w:lineRule="exact"/>
        <w:rPr>
          <w:sz w:val="20"/>
          <w:szCs w:val="20"/>
          <w:color w:val="auto"/>
        </w:rPr>
      </w:pPr>
    </w:p>
    <w:p>
      <w:pPr>
        <w:ind w:left="340" w:hanging="335"/>
        <w:spacing w:after="0"/>
        <w:tabs>
          <w:tab w:leader="none" w:pos="34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Company considers its warrant and embedded derivative liabilities as Level 3 fair value measurements. The valuation of these liabilities therefore requires inputs that reflect the Company's own assumptions that are both significant to the fair value measurement and unobservable.</w:t>
      </w:r>
    </w:p>
    <w:p>
      <w:pPr>
        <w:spacing w:after="0" w:line="170"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On the grant date and in subsequent periods, the Company estimated the fair value of the warrant liability using the Black-Scholes option-pricing model, which requires inputs such as the expected volatility based on comparable public companies, the estimated fair value of the common stock, and the estimated time to liquidity. As of December 31, 2014 and June 30, 2015, the following inputs were used for the warrant liability:</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December 31, 2014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June 30, 2015</w:t>
            </w:r>
          </w:p>
        </w:tc>
      </w:tr>
      <w:tr>
        <w:trPr>
          <w:trHeight w:val="137"/>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98"/>
              </w:rPr>
              <w:t>(unaudited)</w:t>
            </w:r>
          </w:p>
        </w:tc>
        <w:tc>
          <w:tcPr>
            <w:tcW w:w="160" w:type="dxa"/>
            <w:vAlign w:val="bottom"/>
          </w:tcPr>
          <w:p>
            <w:pPr>
              <w:spacing w:after="0"/>
              <w:rPr>
                <w:sz w:val="11"/>
                <w:szCs w:val="1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based on comparable public companies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r>
      <w:tr>
        <w:trPr>
          <w:trHeight w:val="210"/>
        </w:trPr>
        <w:tc>
          <w:tcPr>
            <w:tcW w:w="5040" w:type="dxa"/>
            <w:vAlign w:val="bottom"/>
          </w:tcPr>
          <w:p>
            <w:pPr>
              <w:spacing w:after="0"/>
              <w:rPr>
                <w:sz w:val="20"/>
                <w:szCs w:val="20"/>
                <w:color w:val="auto"/>
              </w:rPr>
            </w:pPr>
            <w:r>
              <w:rPr>
                <w:rFonts w:ascii="Arial" w:cs="Arial" w:eastAsia="Arial" w:hAnsi="Arial"/>
                <w:sz w:val="17"/>
                <w:szCs w:val="17"/>
                <w:color w:val="auto"/>
              </w:rPr>
              <w:t>Estimated fair value of the common stock</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42.27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39.51</w:t>
            </w:r>
          </w:p>
        </w:tc>
        <w:tc>
          <w:tcPr>
            <w:tcW w:w="16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Remaining contractual term</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 years</w:t>
            </w:r>
          </w:p>
        </w:tc>
      </w:tr>
    </w:tbl>
    <w:p>
      <w:pPr>
        <w:spacing w:after="0" w:line="201"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fair value of the embedded derivative liabilities related to the Company's outstanding convertible notes was estimated on the grant date and at each reporting period using a probability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weighted estimated returns method, which incorporated the "with-and-without" method to bifurcate the embedded derivatives. The Company used three different exit scenarios in valuing the embedded derivative liabilities: an initial public offering, a private equity financing, and a liquidation. A Monte Carlo simulation was run for each exit scenario as of December 31, 2014 and June 30, 2015 with the following inputs: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8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December 31, 2014</w:t>
            </w:r>
          </w:p>
        </w:tc>
        <w:tc>
          <w:tcPr>
            <w:tcW w:w="130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2015</w:t>
            </w:r>
          </w:p>
        </w:tc>
      </w:tr>
      <w:tr>
        <w:trPr>
          <w:trHeight w:val="137"/>
        </w:trPr>
        <w:tc>
          <w:tcPr>
            <w:tcW w:w="52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tcPr>
          <w:p>
            <w:pPr>
              <w:ind w:left="240"/>
              <w:spacing w:after="0" w:line="138"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1"/>
                <w:szCs w:val="1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based on comparable public companies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6"/>
        </w:trPr>
        <w:tc>
          <w:tcPr>
            <w:tcW w:w="5280" w:type="dxa"/>
            <w:vAlign w:val="bottom"/>
          </w:tcPr>
          <w:p>
            <w:pPr>
              <w:spacing w:after="0"/>
              <w:rPr>
                <w:sz w:val="20"/>
                <w:szCs w:val="20"/>
                <w:color w:val="auto"/>
              </w:rPr>
            </w:pPr>
            <w:r>
              <w:rPr>
                <w:rFonts w:ascii="Arial" w:cs="Arial" w:eastAsia="Arial" w:hAnsi="Arial"/>
                <w:sz w:val="17"/>
                <w:szCs w:val="17"/>
                <w:color w:val="auto"/>
              </w:rPr>
              <w:t>Estimated time to liquidity</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0.3 - 0.8 years</w:t>
            </w:r>
          </w:p>
        </w:tc>
        <w:tc>
          <w:tcPr>
            <w:tcW w:w="1300" w:type="dxa"/>
            <w:vAlign w:val="bottom"/>
            <w:gridSpan w:val="2"/>
          </w:tcPr>
          <w:p>
            <w:pPr>
              <w:ind w:left="180"/>
              <w:spacing w:after="0"/>
              <w:rPr>
                <w:sz w:val="20"/>
                <w:szCs w:val="20"/>
                <w:color w:val="auto"/>
              </w:rPr>
            </w:pPr>
            <w:r>
              <w:rPr>
                <w:rFonts w:ascii="Arial" w:cs="Arial" w:eastAsia="Arial" w:hAnsi="Arial"/>
                <w:sz w:val="17"/>
                <w:szCs w:val="17"/>
                <w:color w:val="auto"/>
              </w:rPr>
              <w:t>0.4 - 0.9 years</w:t>
            </w:r>
          </w:p>
        </w:tc>
      </w:tr>
    </w:tbl>
    <w:p>
      <w:pPr>
        <w:spacing w:after="0" w:line="195"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Changes to these highly subjective Level 3 assumptions can have a significant impact on the fair value of the warrant liability and the embedded derivative liabilities.</w:t>
      </w:r>
    </w:p>
    <w:p>
      <w:pPr>
        <w:spacing w:after="0" w:line="170"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following table provides the fair value measurements of applicable financial liabilities measured at fair value on a recurring basis as of December 31, 2014 and June 30, 2015:</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2"/>
              </w:rPr>
              <w:t>Financial liabilities at fair value</w:t>
            </w:r>
          </w:p>
        </w:tc>
      </w:tr>
      <w:tr>
        <w:trPr>
          <w:trHeight w:val="157"/>
        </w:trPr>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left="405"/>
              <w:spacing w:after="0"/>
              <w:rPr>
                <w:sz w:val="20"/>
                <w:szCs w:val="20"/>
                <w:color w:val="auto"/>
              </w:rPr>
            </w:pPr>
            <w:r>
              <w:rPr>
                <w:rFonts w:ascii="Arial" w:cs="Arial" w:eastAsia="Arial" w:hAnsi="Arial"/>
                <w:sz w:val="13"/>
                <w:szCs w:val="13"/>
                <w:b w:val="1"/>
                <w:bCs w:val="1"/>
                <w:color w:val="auto"/>
                <w:w w:val="88"/>
              </w:rPr>
              <w:t>as of December 31, 2014</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60"/>
              <w:spacing w:after="0" w:line="138" w:lineRule="exact"/>
              <w:rPr>
                <w:sz w:val="20"/>
                <w:szCs w:val="20"/>
                <w:color w:val="auto"/>
              </w:rPr>
            </w:pPr>
            <w:r>
              <w:rPr>
                <w:rFonts w:ascii="Arial" w:cs="Arial" w:eastAsia="Arial" w:hAnsi="Arial"/>
                <w:sz w:val="13"/>
                <w:szCs w:val="13"/>
                <w:b w:val="1"/>
                <w:bCs w:val="1"/>
                <w:color w:val="auto"/>
                <w:w w:val="95"/>
              </w:rPr>
              <w:t>Level 2</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5"/>
              </w:rPr>
              <w:t>Level 3</w:t>
            </w:r>
          </w:p>
        </w:tc>
        <w:tc>
          <w:tcPr>
            <w:tcW w:w="160" w:type="dxa"/>
            <w:vAlign w:val="bottom"/>
          </w:tcPr>
          <w:p>
            <w:pPr>
              <w:spacing w:after="0"/>
              <w:rPr>
                <w:sz w:val="11"/>
                <w:szCs w:val="11"/>
                <w:color w:val="auto"/>
              </w:rPr>
            </w:pPr>
          </w:p>
        </w:tc>
      </w:tr>
      <w:tr>
        <w:trPr>
          <w:trHeight w:val="203"/>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136,235</w:t>
            </w:r>
          </w:p>
        </w:tc>
        <w:tc>
          <w:tcPr>
            <w:tcW w:w="160" w:type="dxa"/>
            <w:vAlign w:val="bottom"/>
            <w:shd w:val="clear" w:color="auto" w:fill="CCEEFF"/>
          </w:tcPr>
          <w:p>
            <w:pPr>
              <w:spacing w:after="0"/>
              <w:rPr>
                <w:sz w:val="17"/>
                <w:szCs w:val="17"/>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7"/>
                <w:szCs w:val="17"/>
                <w:color w:val="auto"/>
              </w:rPr>
              <w:t>Embedded derivative liabilities</w:t>
            </w:r>
          </w:p>
        </w:tc>
        <w:tc>
          <w:tcPr>
            <w:tcW w:w="1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496,400</w:t>
            </w:r>
          </w:p>
        </w:tc>
        <w:tc>
          <w:tcPr>
            <w:tcW w:w="160" w:type="dxa"/>
            <w:vAlign w:val="bottom"/>
          </w:tcPr>
          <w:p>
            <w:pPr>
              <w:spacing w:after="0"/>
              <w:rPr>
                <w:sz w:val="18"/>
                <w:szCs w:val="18"/>
                <w:color w:val="auto"/>
              </w:rPr>
            </w:pPr>
          </w:p>
        </w:tc>
      </w:tr>
      <w:tr>
        <w:trPr>
          <w:trHeight w:val="203"/>
        </w:trPr>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632,635</w:t>
            </w:r>
          </w:p>
        </w:tc>
        <w:tc>
          <w:tcPr>
            <w:tcW w:w="160" w:type="dxa"/>
            <w:vAlign w:val="bottom"/>
            <w:shd w:val="clear" w:color="auto" w:fill="CCEEFF"/>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8"/>
          </w:tcPr>
          <w:p>
            <w:pPr>
              <w:ind w:left="340"/>
              <w:spacing w:after="0"/>
              <w:rPr>
                <w:sz w:val="20"/>
                <w:szCs w:val="20"/>
                <w:color w:val="auto"/>
              </w:rPr>
            </w:pPr>
            <w:r>
              <w:rPr>
                <w:rFonts w:ascii="Arial" w:cs="Arial" w:eastAsia="Arial" w:hAnsi="Arial"/>
                <w:sz w:val="13"/>
                <w:szCs w:val="13"/>
                <w:b w:val="1"/>
                <w:bCs w:val="1"/>
                <w:color w:val="auto"/>
              </w:rPr>
              <w:t>Financial liabilities at fair value</w:t>
            </w:r>
          </w:p>
        </w:tc>
      </w:tr>
      <w:tr>
        <w:trPr>
          <w:trHeight w:val="157"/>
        </w:trPr>
        <w:tc>
          <w:tcPr>
            <w:tcW w:w="3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8"/>
          </w:tcPr>
          <w:p>
            <w:pPr>
              <w:ind w:left="360"/>
              <w:spacing w:after="0"/>
              <w:rPr>
                <w:sz w:val="20"/>
                <w:szCs w:val="20"/>
                <w:color w:val="auto"/>
              </w:rPr>
            </w:pPr>
            <w:r>
              <w:rPr>
                <w:rFonts w:ascii="Arial" w:cs="Arial" w:eastAsia="Arial" w:hAnsi="Arial"/>
                <w:sz w:val="13"/>
                <w:szCs w:val="13"/>
                <w:b w:val="1"/>
                <w:bCs w:val="1"/>
                <w:color w:val="auto"/>
              </w:rPr>
              <w:t>as of June 30, 2015 (unaudited)</w:t>
            </w:r>
          </w:p>
        </w:tc>
      </w:tr>
      <w:tr>
        <w:trPr>
          <w:trHeight w:val="137"/>
        </w:trPr>
        <w:tc>
          <w:tcPr>
            <w:tcW w:w="3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Level 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Level 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118,793</w:t>
            </w:r>
          </w:p>
        </w:tc>
        <w:tc>
          <w:tcPr>
            <w:tcW w:w="160" w:type="dxa"/>
            <w:vAlign w:val="bottom"/>
            <w:shd w:val="clear" w:color="auto" w:fill="CCEEFF"/>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7"/>
                <w:szCs w:val="17"/>
                <w:color w:val="auto"/>
              </w:rPr>
              <w:t>Embedded derivative liabilities</w:t>
            </w: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1,285,600</w:t>
            </w:r>
          </w:p>
        </w:tc>
        <w:tc>
          <w:tcPr>
            <w:tcW w:w="160" w:type="dxa"/>
            <w:vAlign w:val="bottom"/>
          </w:tcPr>
          <w:p>
            <w:pPr>
              <w:spacing w:after="0"/>
              <w:rPr>
                <w:sz w:val="18"/>
                <w:szCs w:val="18"/>
                <w:color w:val="auto"/>
              </w:rPr>
            </w:pPr>
          </w:p>
        </w:tc>
      </w:tr>
      <w:tr>
        <w:trPr>
          <w:trHeight w:val="203"/>
        </w:trPr>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1,404,393</w:t>
            </w:r>
          </w:p>
        </w:tc>
        <w:tc>
          <w:tcPr>
            <w:tcW w:w="160" w:type="dxa"/>
            <w:vAlign w:val="bottom"/>
            <w:shd w:val="clear" w:color="auto" w:fill="CCEEFF"/>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a summary of changes in the fair value of Level 3 liabilities for the year ended December 31, 2014 and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December 31, 2014</w:t>
            </w:r>
          </w:p>
        </w:tc>
        <w:tc>
          <w:tcPr>
            <w:tcW w:w="308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Beginning of period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Issuances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Change in fair value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of period</w:t>
            </w:r>
          </w:p>
        </w:tc>
        <w:tc>
          <w:tcPr>
            <w:tcW w:w="1260" w:type="dxa"/>
            <w:vAlign w:val="bottom"/>
            <w:gridSpan w:val="2"/>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136,235</w:t>
            </w:r>
          </w:p>
        </w:tc>
        <w:tc>
          <w:tcPr>
            <w:tcW w:w="110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7"/>
                <w:szCs w:val="17"/>
                <w:color w:val="auto"/>
              </w:rPr>
              <w:t>Embedded derivative liabilities</w:t>
            </w:r>
          </w:p>
        </w:tc>
        <w:tc>
          <w:tcPr>
            <w:tcW w:w="10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678,400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(182,000)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496,400</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757,529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(124,894)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632,635</w:t>
            </w:r>
          </w:p>
        </w:tc>
        <w:tc>
          <w:tcPr>
            <w:tcW w:w="1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753"/>
        </w:trPr>
        <w:tc>
          <w:tcPr>
            <w:tcW w:w="1140" w:type="dxa"/>
            <w:vAlign w:val="bottom"/>
          </w:tcPr>
          <w:p>
            <w:pPr>
              <w:spacing w:after="0"/>
              <w:rPr>
                <w:sz w:val="24"/>
                <w:szCs w:val="24"/>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8"/>
              </w:rPr>
              <w:t>June 30, 2015 (unaudited)</w:t>
            </w:r>
          </w:p>
        </w:tc>
        <w:tc>
          <w:tcPr>
            <w:tcW w:w="2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Beginning of period</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Issuances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Change in fair value</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of period</w:t>
            </w:r>
          </w:p>
        </w:tc>
        <w:tc>
          <w:tcPr>
            <w:tcW w:w="1260" w:type="dxa"/>
            <w:vAlign w:val="bottom"/>
            <w:gridSpan w:val="2"/>
          </w:tcPr>
          <w:p>
            <w:pPr>
              <w:spacing w:after="0"/>
              <w:rPr>
                <w:sz w:val="24"/>
                <w:szCs w:val="24"/>
                <w:color w:val="auto"/>
              </w:rPr>
            </w:pPr>
          </w:p>
        </w:tc>
      </w:tr>
      <w:tr>
        <w:trPr>
          <w:trHeight w:val="203"/>
        </w:trPr>
        <w:tc>
          <w:tcPr>
            <w:tcW w:w="1140" w:type="dxa"/>
            <w:vAlign w:val="bottom"/>
          </w:tcPr>
          <w:p>
            <w:pPr>
              <w:spacing w:after="0"/>
              <w:rPr>
                <w:sz w:val="17"/>
                <w:szCs w:val="17"/>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118,793</w:t>
            </w:r>
          </w:p>
        </w:tc>
        <w:tc>
          <w:tcPr>
            <w:tcW w:w="110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7"/>
                <w:szCs w:val="17"/>
                <w:color w:val="auto"/>
              </w:rPr>
              <w:t>Embedded derivative liabilities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496,400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860,000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(70,800)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1,285,600</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1,404,393</w:t>
            </w:r>
          </w:p>
        </w:tc>
        <w:tc>
          <w:tcPr>
            <w:tcW w:w="1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color w:val="auto"/>
              </w:rPr>
              <w:t>F-13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340" w:hanging="335"/>
        <w:spacing w:after="0"/>
        <w:tabs>
          <w:tab w:leader="none" w:pos="34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Common Share</w:t>
      </w:r>
    </w:p>
    <w:p>
      <w:pPr>
        <w:spacing w:after="0" w:line="22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sets forth the computation of basic and diluted net loss per common share: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8"/>
              </w:rPr>
              <w:t>Year ended December 31,</w:t>
            </w:r>
          </w:p>
        </w:tc>
        <w:tc>
          <w:tcPr>
            <w:tcW w:w="160" w:type="dxa"/>
            <w:vAlign w:val="bottom"/>
          </w:tcPr>
          <w:p>
            <w:pPr>
              <w:spacing w:after="0"/>
              <w:rPr>
                <w:sz w:val="13"/>
                <w:szCs w:val="13"/>
                <w:color w:val="auto"/>
              </w:rPr>
            </w:pPr>
          </w:p>
        </w:tc>
        <w:tc>
          <w:tcPr>
            <w:tcW w:w="20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5"/>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5"/>
          </w:tcPr>
          <w:p>
            <w:pPr>
              <w:jc w:val="right"/>
              <w:ind w:right="84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net loss per common share: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(2,166,630)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(6,000,562)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(4,258,172)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(4,269,528)</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Weighted average common shares outstanding—basic and diluted</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1,047,120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1,238,915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1,065,027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1,512,449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share—basic and diluted</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(2.07)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(4.84)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potentially dilutive securities outstanding at December 31, 2013 and 2014 and June 30, 2014 and 2015 have been excluded from the computation of diluted weighted average shares outstanding, as they would be anti-dilutive:</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48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1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3"/>
                <w:szCs w:val="13"/>
                <w:b w:val="1"/>
                <w:bCs w:val="1"/>
                <w:color w:val="auto"/>
                <w:w w:val="88"/>
              </w:rPr>
              <w:t>June 30,</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4480" w:type="dxa"/>
            <w:vAlign w:val="bottom"/>
          </w:tcPr>
          <w:p>
            <w:pPr>
              <w:spacing w:after="0"/>
              <w:rPr>
                <w:sz w:val="11"/>
                <w:szCs w:val="11"/>
                <w:color w:val="auto"/>
              </w:rPr>
            </w:pPr>
          </w:p>
        </w:tc>
        <w:tc>
          <w:tcPr>
            <w:tcW w:w="680" w:type="dxa"/>
            <w:vAlign w:val="bottom"/>
            <w:tcBorders>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680" w:type="dxa"/>
            <w:vAlign w:val="bottom"/>
            <w:tcBorders>
              <w:bottom w:val="single" w:sz="8" w:color="auto"/>
            </w:tcBorders>
          </w:tcPr>
          <w:p>
            <w:pPr>
              <w:jc w:val="right"/>
              <w:ind w:right="125"/>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680" w:type="dxa"/>
            <w:vAlign w:val="bottom"/>
            <w:tcBorders>
              <w:bottom w:val="single" w:sz="8" w:color="auto"/>
            </w:tcBorders>
          </w:tcPr>
          <w:p>
            <w:pPr>
              <w:jc w:val="right"/>
              <w:ind w:right="130"/>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9"/>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r>
      <w:tr>
        <w:trPr>
          <w:trHeight w:val="137"/>
        </w:trPr>
        <w:tc>
          <w:tcPr>
            <w:tcW w:w="4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5"/>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Convertible notes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445,091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136,448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303,660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311,144</w:t>
            </w:r>
          </w:p>
        </w:tc>
        <w:tc>
          <w:tcPr>
            <w:tcW w:w="160" w:type="dxa"/>
            <w:vAlign w:val="bottom"/>
            <w:shd w:val="clear" w:color="auto" w:fill="CCEEFF"/>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7"/>
                <w:szCs w:val="17"/>
                <w:color w:val="auto"/>
              </w:rPr>
              <w:t>Stock options</w:t>
            </w:r>
          </w:p>
        </w:tc>
        <w:tc>
          <w:tcPr>
            <w:tcW w:w="680" w:type="dxa"/>
            <w:vAlign w:val="bottom"/>
          </w:tcPr>
          <w:p>
            <w:pPr>
              <w:jc w:val="right"/>
              <w:spacing w:after="0"/>
              <w:rPr>
                <w:sz w:val="20"/>
                <w:szCs w:val="20"/>
                <w:color w:val="auto"/>
              </w:rPr>
            </w:pPr>
            <w:r>
              <w:rPr>
                <w:rFonts w:ascii="Arial" w:cs="Arial" w:eastAsia="Arial" w:hAnsi="Arial"/>
                <w:sz w:val="17"/>
                <w:szCs w:val="17"/>
                <w:color w:val="auto"/>
              </w:rPr>
              <w:t>11,236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96,114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68,514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122,430</w:t>
            </w:r>
          </w:p>
        </w:tc>
        <w:tc>
          <w:tcPr>
            <w:tcW w:w="160" w:type="dxa"/>
            <w:vAlign w:val="bottom"/>
          </w:tcPr>
          <w:p>
            <w:pPr>
              <w:spacing w:after="0"/>
              <w:rPr>
                <w:sz w:val="18"/>
                <w:szCs w:val="18"/>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37,099</w:t>
            </w:r>
          </w:p>
        </w:tc>
        <w:tc>
          <w:tcPr>
            <w:tcW w:w="160" w:type="dxa"/>
            <w:vAlign w:val="bottom"/>
            <w:shd w:val="clear" w:color="auto" w:fill="CCEEFF"/>
          </w:tcPr>
          <w:p>
            <w:pPr>
              <w:spacing w:after="0"/>
              <w:rPr>
                <w:sz w:val="18"/>
                <w:szCs w:val="18"/>
                <w:color w:val="auto"/>
              </w:rPr>
            </w:pPr>
          </w:p>
        </w:tc>
      </w:tr>
      <w:tr>
        <w:trPr>
          <w:trHeight w:val="203"/>
        </w:trPr>
        <w:tc>
          <w:tcPr>
            <w:tcW w:w="44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487,699</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269,661</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403,546</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470,673</w:t>
            </w:r>
          </w:p>
        </w:tc>
        <w:tc>
          <w:tcPr>
            <w:tcW w:w="16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5"/>
        <w:spacing w:after="0"/>
        <w:tabs>
          <w:tab w:leader="none" w:pos="34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w:t>
      </w:r>
    </w:p>
    <w:p>
      <w:pPr>
        <w:spacing w:after="0" w:line="22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At December 31, 2013 and 2014 and June 30, 2015, accrued expenses consisted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3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r>
      <w:tr>
        <w:trPr>
          <w:trHeight w:val="137"/>
        </w:trPr>
        <w:tc>
          <w:tcPr>
            <w:tcW w:w="3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2"/>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135,684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Accrued compensation</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36,445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114,000</w:t>
            </w:r>
          </w:p>
        </w:tc>
        <w:tc>
          <w:tcPr>
            <w:tcW w:w="160" w:type="dxa"/>
            <w:vAlign w:val="bottom"/>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187,101</w:t>
            </w:r>
          </w:p>
        </w:tc>
        <w:tc>
          <w:tcPr>
            <w:tcW w:w="160" w:type="dxa"/>
            <w:vAlign w:val="bottom"/>
            <w:shd w:val="clear" w:color="auto" w:fill="CCEEFF"/>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w w:val="77"/>
              </w:rPr>
              <w:t>308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35,308</w:t>
            </w:r>
          </w:p>
        </w:tc>
        <w:tc>
          <w:tcPr>
            <w:tcW w:w="160" w:type="dxa"/>
            <w:vAlign w:val="bottom"/>
          </w:tcPr>
          <w:p>
            <w:pPr>
              <w:spacing w:after="0"/>
              <w:rPr>
                <w:sz w:val="18"/>
                <w:szCs w:val="18"/>
                <w:color w:val="auto"/>
              </w:rPr>
            </w:pPr>
          </w:p>
        </w:tc>
      </w:tr>
      <w:tr>
        <w:trPr>
          <w:trHeight w:val="203"/>
        </w:trPr>
        <w:tc>
          <w:tcPr>
            <w:tcW w:w="35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140,170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36,753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336,409</w:t>
            </w:r>
          </w:p>
        </w:tc>
        <w:tc>
          <w:tcPr>
            <w:tcW w:w="160" w:type="dxa"/>
            <w:vAlign w:val="bottom"/>
            <w:shd w:val="clear" w:color="auto" w:fill="CCEEFF"/>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5"/>
        <w:spacing w:after="0"/>
        <w:tabs>
          <w:tab w:leader="none" w:pos="3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Notes</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During March 2013, the Company issued a total of $211,000 in convertible notes ("March 2013 Notes") to several investors. The March 2013 Notes accrued interest at an annual rate of 8.0% and were due and payable one year from the date of issuance. The principal and accrued interest were convertible into shares of the Company's common stock at the option of the holder, upon the occurrence of a qualified financing, as defined in the March 2013 Notes, immediately prior to the closing of a change in control event, or on the maturity date. In March 2014, all outstanding March 2013 Notes and related accrued interest were converted into 23,859 shares of common stock at a conversion price of $9.55 per share.</w:t>
      </w:r>
    </w:p>
    <w:p>
      <w:pPr>
        <w:spacing w:after="0" w:line="187"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During the period from June through October 2013, the Company issued a total of $3,904,000 in convertible notes to several investors ("June 2013 Notes"). The June 2013 Notes accrued interest at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311" w:lineRule="auto"/>
        <w:rPr>
          <w:sz w:val="20"/>
          <w:szCs w:val="20"/>
          <w:color w:val="auto"/>
        </w:rPr>
      </w:pPr>
      <w:r>
        <w:rPr>
          <w:rFonts w:ascii="Arial" w:cs="Arial" w:eastAsia="Arial" w:hAnsi="Arial"/>
          <w:sz w:val="15"/>
          <w:szCs w:val="15"/>
          <w:color w:val="auto"/>
        </w:rPr>
        <w:t>annual rate of 8.0% and were due and payable one year from the date of issuance. The principal and accrued interest were convertible into shares of the Company's common stock at the option of the holder, or upon the occurrence of a qualified financing, as defined in the June 2013 Notes, in which the conversion price would be equal to the lesser of (i) 90% of the lowest price per share at which the Company's shares of equity securities were sold or (ii) $9.55, as adjusted for capitalization change. The Company recorded an initial discount on the June 2013 Notes of $339,735 for fees paid directly to the placement agent.</w:t>
      </w:r>
    </w:p>
    <w:p>
      <w:pPr>
        <w:spacing w:after="0" w:line="15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June 2014, the Company and the holders of the June 2013 Notes amended the June 2013 Notes pursuant to which the June 2013 Notes and any accrued and unpaid interest would convert into shares of the Company's common stock on the due date at a conversion price of $9.55 (see further discussions in "—Accounting Analysis" below). In accordance with this amendment, during the period from June 2014 through October 2014, all of the outstanding balance of the June 2013 Notes and accrued and unpaid interest converted into 441,470 shares of common stock.</w:t>
      </w:r>
    </w:p>
    <w:p>
      <w:pPr>
        <w:spacing w:after="0" w:line="185"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During the period from September 2014 through November 2014, the Company issued a total of $4,140,000 in convertible notes to several investors ("September 2014 Notes"). The September 2014 Notes accrue interest at an annual rate of 8.0% and will become due and payable ten years from the date of issuance. The principal and accrued interest are convertible into shares of the Company's common stock at the option of the holder ("Optional Conversion"), or upon the occurrence of an equity financing of at least $2.0 million in gross aggregate cash proceeds, in which the conversion price would be equal to the lesser of (i) 75% of the lowest price per share at which the Company's shares of equity securities are sold (see further discussions in "—Accounting Analysis" below) or (ii) $39.67, as adjusted for capitalization change. Upon a sale or liquidation of the Company at a per share price greater than or equal to the fixed conversion price of $39.67, the September 2014 Notes will automatically convert into common stock of the Company immediately prior to the sale or liquidation at the fixed conversion price of $39.67 per share. Upon a sale or liquidation of the Company at a per share price less than the fixed conversion price of $39.67, the Company will provide five days' notice during which the holder may exercise the Optional Conversion. If the Optional Conversion is not exercised, the Company will prepay the September 2014 Notes upon consummation of the sale or liquidation. The Company recorded an initial discount on the September 2014 Notes of $244,807 for fees paid directly to the placement agent.</w:t>
      </w:r>
    </w:p>
    <w:p>
      <w:pPr>
        <w:spacing w:after="0" w:line="18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December 2014 through January 2015, the Company issued a total of $1,570,000 in convertible notes to several investors ("December 2014 Notes"). The December 2014 Notes accrue interest at an annual rate of 8.0% and will become due and payable ten years from the date of issuance. The principal and accrued interest are convertible into shares of the Company's common stock at the option of the holder, or upon the occurrence of an equity financing of at least $2.0 million in gross aggregate cash proceeds, in which the conversion price would be equal to the lesser of (i) 75% of the lowest price per share at which the Company's shares of equity securities are sold (see further discussions in "—Accounting Analysis" below) or (ii) $43.63, as adjusted for capitalization change. Upon a sale or liquidation of the Company at a per share price greater than or equal to the fixed conversion price of $43.63, the December 2014 Notes will automatically convert into common stock of the Company immediately prior to the sale or liquidation at the fixed conversion price of $43.63 per share. Upon a sale or liquidation of the Company at a per share price less than the fixed conversion price of $43.63, the Company will provide five days' notice during which the holder may exercise the Optional Conversion. If the Optional Conversion is not exercised, the Company will prepay the December 2014 Notes upon consummation of the sale or liquidation. The Company recorded no initial discount on the December 2014 Notes.</w:t>
      </w:r>
    </w:p>
    <w:p>
      <w:pPr>
        <w:spacing w:after="0" w:line="176" w:lineRule="exact"/>
        <w:rPr>
          <w:sz w:val="20"/>
          <w:szCs w:val="20"/>
          <w:color w:val="auto"/>
        </w:rPr>
      </w:pPr>
    </w:p>
    <w:p>
      <w:pPr>
        <w:ind w:right="400" w:firstLine="341"/>
        <w:spacing w:after="0" w:line="315" w:lineRule="auto"/>
        <w:rPr>
          <w:sz w:val="20"/>
          <w:szCs w:val="20"/>
          <w:color w:val="auto"/>
        </w:rPr>
      </w:pPr>
      <w:r>
        <w:rPr>
          <w:rFonts w:ascii="Arial" w:cs="Arial" w:eastAsia="Arial" w:hAnsi="Arial"/>
          <w:sz w:val="16"/>
          <w:szCs w:val="16"/>
          <w:color w:val="auto"/>
        </w:rPr>
        <w:t>During May through July 2015, the Company issued a total of $7,166,469 in convertible notes ("2015 Notes"). The Company issued $7,066,469 of the 2015 Notes prior to June 30, 2015, and $100,000 was issued in July 2015. The 2015 Notes accrue interest at an annual rate of 8.0% and will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become due and payable ten years from the date of issuance. The principal and accrued interest are convertible into shares of the Company's common stock at the option of the holder, or upon the occurrence of an equity financing of at least $2.0 million in gross aggregate cash proceeds, in which the conversion price would be equal to the lesser of (i) 75% of the lowest price per share at which the Company's shares of equity securities are sold (see further discussions in "—Accounting Analysis" below) or (ii) $43.63, as adjusted for capitalization change. Upon a sale or liquidation of the Company at a per share price greater than or equal to the fixed conversion price of $43.63, the 2015 Notes will automatically convert into common stock of the Company immediately prior to the sale or liquidation at the fixed conversion price of $43.63 per share. Upon a sale or liquidation of the Company at a per share price less than the fixed conversion price of $43.63, the Company will provide five days' notice during which the holder may exercise the Optional Conversion. If the Optional Conversion is not exercised, the Company will prepay the 2015 Notes upon consummation of the sale or liquidation. The Company recorded no initial discount on the 2015 Notes.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Analysis</w:t>
      </w:r>
    </w:p>
    <w:p>
      <w:pPr>
        <w:spacing w:after="0" w:line="228"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June 2014 amendment of the June 2013 Notes, pursuant to which the June 2013 Notes plus any accrued and unpaid interest automatically converted into shares of the Company's common stock on the due date, was considered substantive. As such, the June 2013 Notes were considered extinguished, and the amended notes were recorded at fair value. The difference between the fair value of the amended notes of $6,691,000, which was measured using the backsolve method, and the carrying value of the extinguished notes of $3,820,097 was recorded as a loss on extinguishment of debt in the Company's consolidated financial statements. The difference between the fair value and the face value of the amended notes was recorded as a premium to the notes and amortized over the remaining life of the notes. The amortization of the premium is included in interest and amortization of debt discount/premium (expense) income in the consolidated statement of operations.</w:t>
      </w:r>
    </w:p>
    <w:p>
      <w:pPr>
        <w:spacing w:after="0" w:line="162"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The September 2014 Notes, December 2014 Notes, and 2015 Notes each include a redemption provision, which is an embedded derivative. These embedded derivatives required bifurcation from the host debt instrument. The Company aggregated these bifurcated features and reflected the values of these embedded derivatives in the account "embedded derivative liabilities" that will be re-measured at each reporting period and any changes in fair value will be recognized in the consolidated statements of operations. See Note 4, "Fair Value Measurements."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2013 and 2014 and June 30, 2015, the convertible notes consisted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ind w:left="48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3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45"/>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r>
      <w:tr>
        <w:trPr>
          <w:trHeight w:val="137"/>
        </w:trPr>
        <w:tc>
          <w:tcPr>
            <w:tcW w:w="3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5"/>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Principal</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4,115,000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40"/>
              <w:spacing w:after="0"/>
              <w:rPr>
                <w:sz w:val="20"/>
                <w:szCs w:val="20"/>
                <w:color w:val="auto"/>
              </w:rPr>
            </w:pPr>
            <w:r>
              <w:rPr>
                <w:rFonts w:ascii="Arial" w:cs="Arial" w:eastAsia="Arial" w:hAnsi="Arial"/>
                <w:sz w:val="17"/>
                <w:szCs w:val="17"/>
                <w:color w:val="auto"/>
                <w:w w:val="89"/>
              </w:rPr>
              <w:t>5,455,000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12,776,469</w:t>
            </w:r>
          </w:p>
        </w:tc>
        <w:tc>
          <w:tcPr>
            <w:tcW w:w="160" w:type="dxa"/>
            <w:vAlign w:val="bottom"/>
            <w:shd w:val="clear" w:color="auto" w:fill="CCEEFF"/>
          </w:tcPr>
          <w:p>
            <w:pPr>
              <w:spacing w:after="0"/>
              <w:rPr>
                <w:sz w:val="18"/>
                <w:szCs w:val="18"/>
                <w:color w:val="auto"/>
              </w:rPr>
            </w:pPr>
          </w:p>
        </w:tc>
      </w:tr>
      <w:tr>
        <w:trPr>
          <w:trHeight w:val="249"/>
        </w:trPr>
        <w:tc>
          <w:tcPr>
            <w:tcW w:w="3240" w:type="dxa"/>
            <w:vAlign w:val="bottom"/>
          </w:tcPr>
          <w:p>
            <w:pPr>
              <w:spacing w:after="0" w:line="249" w:lineRule="exact"/>
              <w:rPr>
                <w:sz w:val="20"/>
                <w:szCs w:val="20"/>
                <w:color w:val="auto"/>
              </w:rPr>
            </w:pPr>
            <w:r>
              <w:rPr>
                <w:rFonts w:ascii="Arial" w:cs="Arial" w:eastAsia="Arial" w:hAnsi="Arial"/>
                <w:sz w:val="17"/>
                <w:szCs w:val="17"/>
                <w:color w:val="auto"/>
              </w:rPr>
              <w:t>Less: debt discount, net</w:t>
            </w:r>
            <w:r>
              <w:rPr>
                <w:rFonts w:ascii="Arial" w:cs="Arial" w:eastAsia="Arial" w:hAnsi="Arial"/>
                <w:sz w:val="28"/>
                <w:szCs w:val="28"/>
                <w:color w:val="auto"/>
                <w:vertAlign w:val="superscript"/>
              </w:rPr>
              <w:t>(1)</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(351,776)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1"/>
              </w:rPr>
              <w:t>(1,013,585)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(1,867,638)</w:t>
            </w:r>
          </w:p>
        </w:tc>
      </w:tr>
      <w:tr>
        <w:trPr>
          <w:trHeight w:val="20"/>
        </w:trPr>
        <w:tc>
          <w:tcPr>
            <w:tcW w:w="3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carrying amount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3,763,224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40"/>
              <w:spacing w:after="0"/>
              <w:rPr>
                <w:sz w:val="20"/>
                <w:szCs w:val="20"/>
                <w:color w:val="auto"/>
              </w:rPr>
            </w:pPr>
            <w:r>
              <w:rPr>
                <w:rFonts w:ascii="Arial" w:cs="Arial" w:eastAsia="Arial" w:hAnsi="Arial"/>
                <w:sz w:val="17"/>
                <w:szCs w:val="17"/>
                <w:color w:val="auto"/>
                <w:w w:val="89"/>
              </w:rPr>
              <w:t>4,441,415</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10,908,831</w:t>
            </w:r>
          </w:p>
        </w:tc>
        <w:tc>
          <w:tcPr>
            <w:tcW w:w="160" w:type="dxa"/>
            <w:vAlign w:val="bottom"/>
            <w:shd w:val="clear" w:color="auto" w:fill="CCEEFF"/>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410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12" w:lineRule="exact"/>
        <w:rPr>
          <w:sz w:val="20"/>
          <w:szCs w:val="20"/>
          <w:color w:val="auto"/>
        </w:rPr>
      </w:pPr>
    </w:p>
    <w:p>
      <w:pPr>
        <w:jc w:val="both"/>
        <w:ind w:left="520" w:right="120" w:hanging="515"/>
        <w:spacing w:after="0" w:line="322" w:lineRule="auto"/>
        <w:tabs>
          <w:tab w:leader="none" w:pos="5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Includes the estimated fair value of the warrants issued to the placement agent of the convertible notes and the bifurcated embedded derivative features of the convertible notes at the time of issuance. The Company records interest expense on a quarterly basis. The components of interest expense include (i) accrued interest at the stated 8% rate, (ii) the amortization of the debt discount/premium, and (iii) the amortization of the debt issuance costs.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Placement Agent Warrants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 connection with the issuance of the June 2013 Notes, the placement agent received warrants to purchase 31,372 shares of the Company's common stock with an exercise price of $9.55 per share. The Company classified these warrants as equity in the consolidated financial statements since they did not meet the requirements to be included as a liability. The initial fair value of the warrants was $145,565, which was recorded as a discount to the notes and amortized over the term of the June 2013 Notes.</w:t>
      </w:r>
    </w:p>
    <w:p>
      <w:pPr>
        <w:spacing w:after="0" w:line="185"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In connection with the issuance of the September 2014 Notes, the placement agent received warrants to purchase 5,727 shares of the Company's common stock with an exercise price of $43.64 per share. The Company has classified these warrants as a liability in the consolidated financial statements, as upon a qualified financing, as defined in the September 2014 Notes, the warrant price will automatically adjust to a 10% premium to the conversion price of the September 2014 Notes in such mandatory conversion. The initial fair value of the warrant liability was $79,129 which was recorded as a discount to the notes and is being amortized over the term of the September 2014 Notes. The warrant liability is being carried at fair value (see Note 4).</w:t>
      </w:r>
    </w:p>
    <w:p>
      <w:pPr>
        <w:spacing w:after="0" w:line="170" w:lineRule="exact"/>
        <w:rPr>
          <w:sz w:val="20"/>
          <w:szCs w:val="20"/>
          <w:color w:val="auto"/>
        </w:rPr>
      </w:pPr>
    </w:p>
    <w:p>
      <w:pPr>
        <w:ind w:left="340" w:hanging="335"/>
        <w:spacing w:after="0"/>
        <w:tabs>
          <w:tab w:leader="none" w:pos="34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228" w:lineRule="exact"/>
        <w:rPr>
          <w:sz w:val="20"/>
          <w:szCs w:val="20"/>
          <w:color w:val="auto"/>
        </w:rPr>
      </w:pPr>
    </w:p>
    <w:p>
      <w:pPr>
        <w:ind w:right="220" w:firstLine="332"/>
        <w:spacing w:after="0" w:line="287" w:lineRule="auto"/>
        <w:rPr>
          <w:sz w:val="20"/>
          <w:szCs w:val="20"/>
          <w:color w:val="auto"/>
        </w:rPr>
      </w:pPr>
      <w:r>
        <w:rPr>
          <w:rFonts w:ascii="Arial" w:cs="Arial" w:eastAsia="Arial" w:hAnsi="Arial"/>
          <w:sz w:val="16"/>
          <w:szCs w:val="16"/>
          <w:color w:val="auto"/>
        </w:rPr>
        <w:t>As of December 31, 2013 and 2014, the Company was authorized to issue 2,000,000 shares of common stock at $0.0001 par value per share. 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 In April 2015, the Company's board of directors and stockholders approved an increase of the Company's authorized shares of common stock to 3,000,000 shares.</w:t>
      </w:r>
    </w:p>
    <w:p>
      <w:pPr>
        <w:spacing w:after="0" w:line="165" w:lineRule="exact"/>
        <w:rPr>
          <w:sz w:val="20"/>
          <w:szCs w:val="20"/>
          <w:color w:val="auto"/>
        </w:rPr>
      </w:pPr>
    </w:p>
    <w:p>
      <w:pPr>
        <w:ind w:right="9080" w:firstLine="5"/>
        <w:spacing w:after="0" w:line="586" w:lineRule="auto"/>
        <w:tabs>
          <w:tab w:leader="none" w:pos="341"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Equity Incentive Plans</w:t>
      </w:r>
    </w:p>
    <w:p>
      <w:pPr>
        <w:spacing w:after="0" w:line="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Company adopted its 2013 Equity Compensation Plan (the "Plan") for employees and consultants for the purpose of advancing the interests of the Company's stockholders by enhancing its ability to attract, retain and motivate persons who are expected to make important contributions to the Company. The board of directors is responsible for determining the individuals to receive option grants, the number of options each individual will receive, the option price per share and the vesting period of each option. Upon inception of the Plan, the number of shares of common stock available for grant was 110,000, subject to certain adjustments. On June 29, 2015, the board of directors authorized an increase of the number of shares of common stock available for grant under the Plan to 135,000, subject to certain adjustments.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following table sets forth the activity under the Company's Plan for the years ended December 31, 2013 and 2014 and for the six months ended June 30, 2015:</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Weighted</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2"/>
                <w:szCs w:val="12"/>
                <w:color w:val="auto"/>
              </w:rPr>
            </w:pPr>
          </w:p>
        </w:tc>
        <w:tc>
          <w:tcPr>
            <w:tcW w:w="9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90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average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2"/>
                <w:szCs w:val="12"/>
                <w:color w:val="auto"/>
              </w:rPr>
            </w:pPr>
          </w:p>
        </w:tc>
        <w:tc>
          <w:tcPr>
            <w:tcW w:w="9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exercise price</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2012</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Granted</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11,236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9.55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11,236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9.55</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Granted</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84,878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15.65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96,114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14.94</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2,626,768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80"/>
              <w:spacing w:after="0"/>
              <w:rPr>
                <w:sz w:val="20"/>
                <w:szCs w:val="20"/>
                <w:color w:val="auto"/>
              </w:rPr>
            </w:pPr>
            <w:r>
              <w:rPr>
                <w:rFonts w:ascii="Arial" w:cs="Arial" w:eastAsia="Arial" w:hAnsi="Arial"/>
                <w:sz w:val="17"/>
                <w:szCs w:val="17"/>
                <w:color w:val="auto"/>
              </w:rPr>
              <w:t>Granted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26,316</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42.71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June 30, 2015 (unaudited)</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2,361,493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Arial" w:cs="Arial" w:eastAsia="Arial" w:hAnsi="Arial"/>
                <w:sz w:val="17"/>
                <w:szCs w:val="17"/>
                <w:color w:val="auto"/>
              </w:rPr>
              <w:t>Vested and expected to vest at June 30, 2015 (unaudited)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93,821</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24.37</w:t>
            </w:r>
          </w:p>
        </w:tc>
        <w:tc>
          <w:tcPr>
            <w:tcW w:w="160" w:type="dxa"/>
            <w:vAlign w:val="bottom"/>
          </w:tcPr>
          <w:p>
            <w:pPr>
              <w:spacing w:after="0"/>
              <w:rPr>
                <w:sz w:val="16"/>
                <w:szCs w:val="16"/>
                <w:color w:val="auto"/>
              </w:rPr>
            </w:pPr>
          </w:p>
        </w:tc>
        <w:tc>
          <w:tcPr>
            <w:tcW w:w="820" w:type="dxa"/>
            <w:vAlign w:val="bottom"/>
            <w:tcBorders>
              <w:bottom w:val="single" w:sz="8" w:color="auto"/>
            </w:tcBorders>
          </w:tcPr>
          <w:p>
            <w:pPr>
              <w:ind w:left="620"/>
              <w:spacing w:after="0" w:line="189" w:lineRule="exact"/>
              <w:rPr>
                <w:sz w:val="20"/>
                <w:szCs w:val="20"/>
                <w:color w:val="auto"/>
              </w:rPr>
            </w:pPr>
            <w:r>
              <w:rPr>
                <w:rFonts w:ascii="Arial" w:cs="Arial" w:eastAsia="Arial" w:hAnsi="Arial"/>
                <w:sz w:val="17"/>
                <w:szCs w:val="17"/>
                <w:color w:val="auto"/>
                <w:w w:val="75"/>
              </w:rPr>
              <w:t>8.8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w w:val="87"/>
              </w:rPr>
              <w:t>1,504,368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at June 30, 2015 (unaudited)</w:t>
            </w: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50,260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16.09</w:t>
            </w:r>
          </w:p>
        </w:tc>
        <w:tc>
          <w:tcPr>
            <w:tcW w:w="980" w:type="dxa"/>
            <w:vAlign w:val="bottom"/>
            <w:gridSpan w:val="2"/>
            <w:shd w:val="clear" w:color="auto" w:fill="CCEEFF"/>
          </w:tcPr>
          <w:p>
            <w:pPr>
              <w:ind w:left="620"/>
              <w:spacing w:after="0" w:line="189" w:lineRule="exact"/>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1,199,564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332"/>
        <w:spacing w:after="0" w:line="294" w:lineRule="auto"/>
        <w:rPr>
          <w:sz w:val="20"/>
          <w:szCs w:val="20"/>
          <w:color w:val="auto"/>
        </w:rPr>
      </w:pPr>
      <w:r>
        <w:rPr>
          <w:rFonts w:ascii="Arial" w:cs="Arial" w:eastAsia="Arial" w:hAnsi="Arial"/>
          <w:sz w:val="16"/>
          <w:szCs w:val="16"/>
          <w:color w:val="auto"/>
        </w:rPr>
        <w:t>At December 31, 2014, there were 67,505 options vested and expected to vest at a weighted average exercise price of $17.22, with a weighted average remaining contractual term of 9.4 years and an aggregate intrinsic value of $1,690,682. Also at December 31, 2014, there were 39,888 options exercisable at a weighted average exercise price of $11.06, with a weighted average remaining contractual term of 9.2 years and an aggregate intrinsic value of $1,244,999.</w:t>
      </w:r>
    </w:p>
    <w:p>
      <w:pPr>
        <w:spacing w:after="0" w:line="163"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option-pricing model. The Company periodically remeasures the fair value of stock-based awards issued to non-employees and records the expense over the requisite service period. The expected term of the Company's stock options has been determined utilizing the "simplified" method as described in the Securities and Exchange Commission's Staff Accounting Bulletin No. 107 relating to stock-based compensation. The simplified method was chosen because the Company has limited historical option exercise experience because the Company was privately-held.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 The relevant data used to determine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value of the stock option grants for the years ended December 31, 2013 and 2014 and the six months ended June 30, 2015 is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2"/>
              </w:rPr>
              <w:t>December 31,</w:t>
            </w:r>
          </w:p>
        </w:tc>
        <w:tc>
          <w:tcPr>
            <w:tcW w:w="60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42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Black-Scholes option valuation assumptions</w:t>
            </w:r>
          </w:p>
        </w:tc>
        <w:tc>
          <w:tcPr>
            <w:tcW w:w="860" w:type="dxa"/>
            <w:vAlign w:val="bottom"/>
          </w:tcPr>
          <w:p>
            <w:pPr>
              <w:jc w:val="right"/>
              <w:ind w:right="221"/>
              <w:spacing w:after="0" w:line="138" w:lineRule="exact"/>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9"/>
              <w:spacing w:after="0" w:line="138" w:lineRule="exact"/>
              <w:rPr>
                <w:sz w:val="20"/>
                <w:szCs w:val="20"/>
                <w:color w:val="auto"/>
              </w:rPr>
            </w:pPr>
            <w:r>
              <w:rPr>
                <w:rFonts w:ascii="Arial" w:cs="Arial" w:eastAsia="Arial" w:hAnsi="Arial"/>
                <w:sz w:val="13"/>
                <w:szCs w:val="13"/>
                <w:b w:val="1"/>
                <w:bCs w:val="1"/>
                <w:color w:val="auto"/>
              </w:rPr>
              <w:t>2014</w:t>
            </w:r>
          </w:p>
        </w:tc>
        <w:tc>
          <w:tcPr>
            <w:tcW w:w="480" w:type="dxa"/>
            <w:vAlign w:val="bottom"/>
          </w:tcPr>
          <w:p>
            <w:pPr>
              <w:spacing w:after="0"/>
              <w:rPr>
                <w:sz w:val="11"/>
                <w:szCs w:val="11"/>
                <w:color w:val="auto"/>
              </w:rPr>
            </w:pP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r>
      <w:tr>
        <w:trPr>
          <w:trHeight w:val="137"/>
        </w:trPr>
        <w:tc>
          <w:tcPr>
            <w:tcW w:w="2720" w:type="dxa"/>
            <w:vAlign w:val="bottom"/>
            <w:tcBorders>
              <w:top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2"/>
              </w:rPr>
              <w:t>1.8 - 2.1%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0.7 - 1.8%</w:t>
            </w:r>
          </w:p>
        </w:tc>
      </w:tr>
      <w:tr>
        <w:trPr>
          <w:trHeight w:val="210"/>
        </w:trPr>
        <w:tc>
          <w:tcPr>
            <w:tcW w:w="426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460" w:type="dxa"/>
            <w:vAlign w:val="bottom"/>
            <w:gridSpan w:val="3"/>
          </w:tcPr>
          <w:p>
            <w:pPr>
              <w:ind w:left="6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Volatility</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69 - 76%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67 - 70%</w:t>
            </w:r>
          </w:p>
        </w:tc>
      </w:tr>
      <w:tr>
        <w:trPr>
          <w:trHeight w:val="216"/>
        </w:trPr>
        <w:tc>
          <w:tcPr>
            <w:tcW w:w="4260" w:type="dxa"/>
            <w:vAlign w:val="bottom"/>
            <w:gridSpan w:val="2"/>
          </w:tcPr>
          <w:p>
            <w:pPr>
              <w:spacing w:after="0"/>
              <w:rPr>
                <w:sz w:val="20"/>
                <w:szCs w:val="20"/>
                <w:color w:val="auto"/>
              </w:rPr>
            </w:pPr>
            <w:r>
              <w:rPr>
                <w:rFonts w:ascii="Arial" w:cs="Arial" w:eastAsia="Arial" w:hAnsi="Arial"/>
                <w:sz w:val="17"/>
                <w:szCs w:val="17"/>
                <w:color w:val="auto"/>
              </w:rPr>
              <w:t>Weighted average expected term</w:t>
            </w:r>
          </w:p>
        </w:tc>
        <w:tc>
          <w:tcPr>
            <w:tcW w:w="1460" w:type="dxa"/>
            <w:vAlign w:val="bottom"/>
            <w:gridSpan w:val="3"/>
          </w:tcPr>
          <w:p>
            <w:pPr>
              <w:ind w:left="160"/>
              <w:spacing w:after="0"/>
              <w:rPr>
                <w:sz w:val="20"/>
                <w:szCs w:val="20"/>
                <w:color w:val="auto"/>
              </w:rPr>
            </w:pPr>
            <w:r>
              <w:rPr>
                <w:rFonts w:ascii="Arial" w:cs="Arial" w:eastAsia="Arial" w:hAnsi="Arial"/>
                <w:sz w:val="17"/>
                <w:szCs w:val="17"/>
                <w:color w:val="auto"/>
              </w:rPr>
              <w:t>6.25 years</w:t>
            </w: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6 years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2.5 - 6 years</w:t>
            </w:r>
          </w:p>
        </w:tc>
      </w:tr>
    </w:tbl>
    <w:p>
      <w:pPr>
        <w:spacing w:after="0" w:line="195"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weighted average valuation date fair value of options granted was $4.92, $17.54, and $23.09 per option for the years ended December 31, 2013 and 2014 and the six months ended June 30, 2015, respectively. As of June 30, 2015 and December 31, 2014, there was $948,442 and $609,980, respectively, of total unrecognized compensation cost related to non-vested stock options which is expected to be recognized over a weighted average period of 2.6 years and 2.4 years, respectively. These amounts do not include, as of June 30, 2015, 28,609 options outstanding which are performance-based and vest upon the achievement of certain corporate milestones. Stock-based compensation will be measured and recorded if and when it is probable that the milestone will occur.</w:t>
      </w:r>
    </w:p>
    <w:p>
      <w:pPr>
        <w:spacing w:after="0" w:line="17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Stock-based compensation expense recognized for the years ended December 31, 2013 and 2014 and the six months ended June 30, 2014 and 2015 was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left="345"/>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1"/>
                <w:szCs w:val="11"/>
                <w:color w:val="auto"/>
              </w:rPr>
            </w:pPr>
          </w:p>
        </w:tc>
      </w:tr>
      <w:tr>
        <w:trPr>
          <w:trHeight w:val="137"/>
        </w:trPr>
        <w:tc>
          <w:tcPr>
            <w:tcW w:w="3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5"/>
          </w:tcPr>
          <w:p>
            <w:pPr>
              <w:jc w:val="center"/>
              <w:ind w:right="32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14,066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280,479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228,203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194,979</w:t>
            </w:r>
          </w:p>
        </w:tc>
        <w:tc>
          <w:tcPr>
            <w:tcW w:w="160" w:type="dxa"/>
            <w:vAlign w:val="bottom"/>
            <w:shd w:val="clear" w:color="auto" w:fill="CCEEFF"/>
          </w:tcPr>
          <w:p>
            <w:pPr>
              <w:spacing w:after="0"/>
              <w:rPr>
                <w:sz w:val="18"/>
                <w:szCs w:val="18"/>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84"/>
              </w:rPr>
              <w:t>41,215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96,327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32,758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65,194</w:t>
            </w:r>
          </w:p>
        </w:tc>
        <w:tc>
          <w:tcPr>
            <w:tcW w:w="160" w:type="dxa"/>
            <w:vAlign w:val="bottom"/>
          </w:tcPr>
          <w:p>
            <w:pPr>
              <w:spacing w:after="0"/>
              <w:rPr>
                <w:sz w:val="18"/>
                <w:szCs w:val="18"/>
                <w:color w:val="auto"/>
              </w:rPr>
            </w:pPr>
          </w:p>
        </w:tc>
      </w:tr>
      <w:tr>
        <w:trPr>
          <w:trHeight w:val="203"/>
        </w:trPr>
        <w:tc>
          <w:tcPr>
            <w:tcW w:w="30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55,281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376,806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260,961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260,173</w:t>
            </w:r>
          </w:p>
        </w:tc>
        <w:tc>
          <w:tcPr>
            <w:tcW w:w="160" w:type="dxa"/>
            <w:vAlign w:val="bottom"/>
            <w:shd w:val="clear" w:color="auto" w:fill="CCEEFF"/>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Awards</w:t>
      </w:r>
    </w:p>
    <w:p>
      <w:pPr>
        <w:spacing w:after="0" w:line="228"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In 2014, the Company issued 35,999 options, with a weighted average exercise price of $9.55, to employees and non-employees that vest upon the completion of certain clinical and regulatory events. For awards granted to employees with performance conditions, no expense will be recognized, and no measurement date can occur, until the occurrence of the event is probable. For awards granted to non-employees, the Company will recognize the lowest aggregate amount within the range of potential values as expense until the measurement date is established. For the year ended December 31, 2014 and the six months ended June 30, 2015, the Company recognized $75,325 and $0, respectively, as expense related to performance-based awards.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228"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As of December 31, 2013, the Company had warrants to purchase 31,372 shares of common stock outstanding with an exercise price of $9.55 per share ("2013 Warrants"). As of December 31, 2014 and June 30, 2015, the Company had the 2013 Warrants outstanding in addition to warrants to purchase 5,727 shares of common stock outstanding with an exercise price of $43.64 per share ("2014 Warrants"), for a total of 37,099 warrants outstanding. The Company has classified the 2014 Warrants as a liability in the consolidated financial statements, as upon a qualified financing, as defined in the September 2014 Notes, the warrant price will automatically adjust to a 10% premium to the conversion price of the September 2014 Notes in such mandatory conversion. The 2013 Warrants were issued in 2013 to the placement agent in connection with the issuance of the June 2013 Notes, and the 2014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Warrants were issued in 2014 to the placement agent in connection with the issuance of the September 2014 Notes.</w:t>
      </w:r>
    </w:p>
    <w:p>
      <w:pPr>
        <w:spacing w:after="0" w:line="224" w:lineRule="exact"/>
        <w:rPr>
          <w:sz w:val="20"/>
          <w:szCs w:val="20"/>
          <w:color w:val="auto"/>
        </w:rPr>
      </w:pPr>
    </w:p>
    <w:p>
      <w:pPr>
        <w:ind w:right="360" w:firstLine="338"/>
        <w:spacing w:after="0" w:line="282" w:lineRule="auto"/>
        <w:rPr>
          <w:sz w:val="20"/>
          <w:szCs w:val="20"/>
          <w:color w:val="auto"/>
        </w:rPr>
      </w:pPr>
      <w:r>
        <w:rPr>
          <w:rFonts w:ascii="Arial" w:cs="Arial" w:eastAsia="Arial" w:hAnsi="Arial"/>
          <w:sz w:val="17"/>
          <w:szCs w:val="17"/>
          <w:color w:val="auto"/>
        </w:rPr>
        <w:t>The initial fair value of the outstanding warrants to purchase shares of common stock of the Company were estimated using the Black-Scholes option pricing model with the following assumptions: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w w:val="97"/>
              </w:rPr>
              <w:t>Black-Scholes option valuation assumptions</w:t>
            </w:r>
          </w:p>
        </w:tc>
        <w:tc>
          <w:tcPr>
            <w:tcW w:w="296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2013 Warrants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2014 Warrants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rates</w:t>
            </w:r>
          </w:p>
        </w:tc>
        <w:tc>
          <w:tcPr>
            <w:tcW w:w="29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Dividend yield</w:t>
            </w:r>
          </w:p>
        </w:tc>
        <w:tc>
          <w:tcPr>
            <w:tcW w:w="29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4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Weighted average contractual term</w:t>
            </w:r>
          </w:p>
        </w:tc>
        <w:tc>
          <w:tcPr>
            <w:tcW w:w="29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 years</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License Agreements</w:t>
      </w:r>
    </w:p>
    <w:p>
      <w:pPr>
        <w:spacing w:after="0" w:line="228" w:lineRule="exact"/>
        <w:rPr>
          <w:sz w:val="20"/>
          <w:szCs w:val="20"/>
          <w:color w:val="auto"/>
        </w:rPr>
      </w:pPr>
    </w:p>
    <w:p>
      <w:pPr>
        <w:ind w:right="20" w:firstLine="341"/>
        <w:spacing w:after="0" w:line="296" w:lineRule="auto"/>
        <w:rPr>
          <w:sz w:val="20"/>
          <w:szCs w:val="20"/>
          <w:color w:val="auto"/>
        </w:rPr>
      </w:pPr>
      <w:r>
        <w:rPr>
          <w:rFonts w:ascii="Arial" w:cs="Arial" w:eastAsia="Arial" w:hAnsi="Arial"/>
          <w:sz w:val="15"/>
          <w:szCs w:val="15"/>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AXS-02, AXS-05, and AXS-04, a product candidate that is currently in early stage development, anywhere in the world for veterinary and human therapeutic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67" w:lineRule="exact"/>
        <w:rPr>
          <w:sz w:val="20"/>
          <w:szCs w:val="20"/>
          <w:color w:val="auto"/>
        </w:rPr>
      </w:pPr>
    </w:p>
    <w:p>
      <w:pPr>
        <w:ind w:right="8660" w:firstLine="5"/>
        <w:spacing w:after="0" w:line="517" w:lineRule="auto"/>
        <w:tabs>
          <w:tab w:leader="none" w:pos="341"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Company's offices are located in New York, New York. The Company is not currently under a lease agreement. Rent expense incurred during the years ended December 31, 2013 and 2014 and the six months ended June 30, 2014 and 2015 was $20,573, $59,798, $16,928, and $62,900,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28"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As of December 31, 2013 and 2014, the Company had U.S. net operating loss ("NOL") carryforwards of $2.2 million and $6.6 million, respectively, which will expire beginning in 2033.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provisions. This could limit the amount of NOLs that the Company can utilize annually to offset future taxable income or tax liabilities.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the Company's deferred tax assets are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December 31, 2013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December 31, 2014</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8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Net federal operating loss carryforward</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733,876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2,260,595</w:t>
            </w:r>
          </w:p>
        </w:tc>
        <w:tc>
          <w:tcPr>
            <w:tcW w:w="160" w:type="dxa"/>
            <w:vAlign w:val="bottom"/>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state operating loss carryforward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673,585</w:t>
            </w:r>
          </w:p>
        </w:tc>
        <w:tc>
          <w:tcPr>
            <w:tcW w:w="160" w:type="dxa"/>
            <w:vAlign w:val="bottom"/>
            <w:shd w:val="clear" w:color="auto" w:fill="CCEEFF"/>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Non-cash compensation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25,003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195,430</w:t>
            </w:r>
          </w:p>
        </w:tc>
        <w:tc>
          <w:tcPr>
            <w:tcW w:w="160" w:type="dxa"/>
            <w:vAlign w:val="bottom"/>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Amortization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345,460</w:t>
            </w:r>
          </w:p>
        </w:tc>
        <w:tc>
          <w:tcPr>
            <w:tcW w:w="160" w:type="dxa"/>
            <w:vAlign w:val="bottom"/>
            <w:shd w:val="clear" w:color="auto" w:fill="CCEEFF"/>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Research and development credits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4,549</w:t>
            </w:r>
          </w:p>
        </w:tc>
        <w:tc>
          <w:tcPr>
            <w:tcW w:w="160" w:type="dxa"/>
            <w:vAlign w:val="bottom"/>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 excluding valuation allowance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982,096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3,479,619</w:t>
            </w:r>
          </w:p>
        </w:tc>
        <w:tc>
          <w:tcPr>
            <w:tcW w:w="160" w:type="dxa"/>
            <w:vAlign w:val="bottom"/>
            <w:shd w:val="clear" w:color="auto" w:fill="CCEEFF"/>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(982,096)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(3,479,619)</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8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 xml:space="preserve">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a full valuation allowance against its deferred tax assets at December 31, 2013 and 2014 because the Company's management has determined that it is more likely than not that these assets will not be realized. The valuation allowance for deferred tax assets was $982,096 and $3,479,619 as of December 31, 2013 and 2014, respectively.</w:t>
      </w:r>
    </w:p>
    <w:p>
      <w:pPr>
        <w:spacing w:after="0" w:line="187"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 reconciliation of income tax expense (benefit) at the statutory federal income tax rate and income taxes as reflected in the consolidated financial statements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8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December 31, 2013</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December 31, 2014</w:t>
            </w:r>
          </w:p>
        </w:tc>
        <w:tc>
          <w:tcPr>
            <w:tcW w:w="160" w:type="dxa"/>
            <w:vAlign w:val="bottom"/>
          </w:tcPr>
          <w:p>
            <w:pPr>
              <w:spacing w:after="0"/>
              <w:rPr>
                <w:sz w:val="13"/>
                <w:szCs w:val="13"/>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U.S. federal statutory income tax rate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24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(44.1)</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(41.6)</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 carryforward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Effective tax rate</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0.0%</w:t>
            </w:r>
          </w:p>
        </w:tc>
      </w:tr>
      <w:tr>
        <w:trPr>
          <w:trHeight w:val="20"/>
        </w:trPr>
        <w:tc>
          <w:tcPr>
            <w:tcW w:w="5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Company is not currently under examination at the federal or state levels and as of the date of the consolidated financial statements there were no known assessments.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From March 2013 through June 2015, members of the Company's board of directors, officers, and some family members participated in the Company's issuance of convertible notes for a total investment of $3,371,469. The terms of these convertible notes were identical to the terms of the convertible notes issued to unrelated third parties. See Note 7 for further information regarding the convertible notes. As of June 30, 2015, $100,000 of principal plus interest under these convertible notes issued to these related parties have converted into 11,308 shares of the Company's common stock.</w:t>
      </w:r>
    </w:p>
    <w:p>
      <w:pPr>
        <w:spacing w:after="0" w:line="169"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April 2012, the Company entered into a three-year consulting agreement with Mark Coleman, M.D., a member of our board of directors, which was subsequently amended in June 2014, to engage Dr. Coleman to provide certain consulting services in connection with the Company's development of pharmaceutical and other therapeutic product candidates. The consulting agreement provided the Company with the ability to compensate Dr. Coleman in cash or options. In March 2013, the Company</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issued to Dr. Coleman an option grant to purchase 2,859 shares of the Company's common stock with an exercise price of $9.55 per share that vested immediately; in June 2014, the Company issued to Dr. Coleman an option grant to purchase 10,471 shares of the Company's common stock with an exercise price of $9.55 per share which are subject to certain performance-based vesting restrictions; and in June 2015, the Company issued to Dr. Coleman an option grant to purchase 4,549 shares of the Company's common stock with an exercise price of $43.63 per share that vested immediately. The Company recorded stock-based compensation expense of $14,066, $0, and $99,234 for the years ended December 31, 2013 and 2014 and the six months ended June 30, 2015, respectively, related to these option grants.</w:t>
      </w:r>
    </w:p>
    <w:p>
      <w:pPr>
        <w:spacing w:after="0" w:line="159" w:lineRule="exact"/>
        <w:rPr>
          <w:sz w:val="20"/>
          <w:szCs w:val="20"/>
          <w:color w:val="auto"/>
        </w:rPr>
      </w:pPr>
    </w:p>
    <w:p>
      <w:pPr>
        <w:ind w:right="100" w:firstLine="332"/>
        <w:spacing w:after="0" w:line="311" w:lineRule="auto"/>
        <w:rPr>
          <w:sz w:val="20"/>
          <w:szCs w:val="20"/>
          <w:color w:val="auto"/>
        </w:rPr>
      </w:pPr>
      <w:r>
        <w:rPr>
          <w:rFonts w:ascii="Arial" w:cs="Arial" w:eastAsia="Arial" w:hAnsi="Arial"/>
          <w:sz w:val="15"/>
          <w:szCs w:val="15"/>
          <w:color w:val="auto"/>
        </w:rPr>
        <w:t>As of December 31, 2013, the Company had an outstanding loan payable to its Chief Executive Officer and Chairman of the Board in the amount of $62,469 pertaining to payment of startup costs of the Company. The loan carried no interest payable and was payable on demand. In December 2014, the Company satisfied a portion of the loan payable with a cash payment of $21,000, leaving a balance at December 31, 2014 of $41,469. In June 2015, the Company paid the remaining balance of the loan obligation, which Dr. Tabuteau then reinvested into the Company by purchasing an equivalent amount of 2015 Notes.</w:t>
      </w:r>
    </w:p>
    <w:p>
      <w:pPr>
        <w:spacing w:after="0" w:line="15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Anticep Capital LLC, an entity controlled by Dr. Tabuteau, an aggregate of 1,000,000 shares of the Company's common stock for nominal consideration.</w:t>
      </w:r>
    </w:p>
    <w:p>
      <w:pPr>
        <w:spacing w:after="0" w:line="185"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The Company is a party to three exclusive license agreements with Antecip Bioventures II LLC, an entity owned by Dr. Tabuteau. See Note 11 for further information regarding the license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8"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Company has evaluated subsequent events through August 25, 2015, the date the consolidated financial statements were available for issuance noting the following event: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July 2015, the Company issued $100,000 in convertible notes. See Note 7 for further information regarding the convertible notes.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147320</wp:posOffset>
            </wp:positionV>
            <wp:extent cx="2305685" cy="657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05685"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Common Stock</w:t>
      </w:r>
    </w:p>
    <w:p>
      <w:pPr>
        <w:spacing w:after="0" w:line="191" w:lineRule="exact"/>
        <w:rPr>
          <w:sz w:val="20"/>
          <w:szCs w:val="20"/>
          <w:color w:val="auto"/>
        </w:rPr>
      </w:pPr>
    </w:p>
    <w:p>
      <w:pPr>
        <w:jc w:val="right"/>
        <w:ind w:right="3019"/>
        <w:spacing w:after="0"/>
        <w:rPr>
          <w:sz w:val="20"/>
          <w:szCs w:val="20"/>
          <w:color w:val="auto"/>
        </w:rPr>
      </w:pPr>
      <w:r>
        <w:rPr>
          <w:rFonts w:ascii="Arial" w:cs="Arial" w:eastAsia="Arial" w:hAnsi="Arial"/>
          <w:sz w:val="31"/>
          <w:szCs w:val="31"/>
          <w:b w:val="1"/>
          <w:bCs w:val="1"/>
          <w:color w:val="auto"/>
        </w:rPr>
        <w:t>Ladenburg Thalmann</w:t>
      </w:r>
    </w:p>
    <w:p>
      <w:pPr>
        <w:spacing w:after="0" w:line="236"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506095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Other Expenses of Issuance and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expenses (other than underwriting discounts and commissions) payable in connection with this offering are as follows: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2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tcPr>
          <w:p>
            <w:pPr>
              <w:spacing w:after="0"/>
              <w:rPr>
                <w:sz w:val="20"/>
                <w:szCs w:val="20"/>
                <w:color w:val="auto"/>
              </w:rPr>
            </w:pPr>
            <w:r>
              <w:rPr>
                <w:rFonts w:ascii="Arial" w:cs="Arial" w:eastAsia="Arial" w:hAnsi="Arial"/>
                <w:sz w:val="17"/>
                <w:szCs w:val="17"/>
                <w:color w:val="auto"/>
              </w:rPr>
              <w:t>FINRA filing fee</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tcPr>
          <w:p>
            <w:pPr>
              <w:spacing w:after="0"/>
              <w:rPr>
                <w:sz w:val="20"/>
                <w:szCs w:val="20"/>
                <w:color w:val="auto"/>
              </w:rPr>
            </w:pPr>
            <w:r>
              <w:rPr>
                <w:rFonts w:ascii="Arial" w:cs="Arial" w:eastAsia="Arial" w:hAnsi="Arial"/>
                <w:sz w:val="17"/>
                <w:szCs w:val="17"/>
                <w:color w:val="auto"/>
              </w:rPr>
              <w:t>Printing and engraving expenses</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tcPr>
          <w:p>
            <w:pPr>
              <w:spacing w:after="0"/>
              <w:rPr>
                <w:sz w:val="20"/>
                <w:szCs w:val="20"/>
                <w:color w:val="auto"/>
              </w:rPr>
            </w:pPr>
            <w:r>
              <w:rPr>
                <w:rFonts w:ascii="Arial" w:cs="Arial" w:eastAsia="Arial" w:hAnsi="Arial"/>
                <w:sz w:val="17"/>
                <w:szCs w:val="17"/>
                <w:color w:val="auto"/>
              </w:rPr>
              <w:t>Accounting fees and expenses</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Blue Sky fees and expenses (including legal fees)</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tcPr>
          <w:p>
            <w:pPr>
              <w:spacing w:after="0"/>
              <w:rPr>
                <w:sz w:val="20"/>
                <w:szCs w:val="20"/>
                <w:color w:val="auto"/>
              </w:rPr>
            </w:pPr>
            <w:r>
              <w:rPr>
                <w:rFonts w:ascii="Arial" w:cs="Arial" w:eastAsia="Arial" w:hAnsi="Arial"/>
                <w:sz w:val="17"/>
                <w:szCs w:val="17"/>
                <w:color w:val="auto"/>
              </w:rPr>
              <w:t>Transfer agent and registrar fees and expenses</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120" w:type="dxa"/>
            <w:vAlign w:val="bottom"/>
          </w:tcPr>
          <w:p>
            <w:pPr>
              <w:spacing w:after="0"/>
              <w:rPr>
                <w:sz w:val="17"/>
                <w:szCs w:val="17"/>
                <w:color w:val="auto"/>
              </w:rPr>
            </w:pPr>
          </w:p>
        </w:tc>
        <w:tc>
          <w:tcPr>
            <w:tcW w:w="5100" w:type="dxa"/>
            <w:vAlign w:val="bottom"/>
            <w:gridSpan w:val="2"/>
          </w:tcPr>
          <w:p>
            <w:pPr>
              <w:ind w:left="60"/>
              <w:spacing w:after="0"/>
              <w:rPr>
                <w:sz w:val="20"/>
                <w:szCs w:val="20"/>
                <w:color w:val="auto"/>
              </w:rPr>
            </w:pPr>
            <w:r>
              <w:rPr>
                <w:rFonts w:ascii="Arial" w:cs="Arial" w:eastAsia="Arial" w:hAnsi="Arial"/>
                <w:sz w:val="17"/>
                <w:szCs w:val="17"/>
                <w:color w:val="auto"/>
              </w:rPr>
              <w:t>Total</w:t>
            </w:r>
          </w:p>
        </w:tc>
        <w:tc>
          <w:tcPr>
            <w:tcW w:w="18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23"/>
        </w:trPr>
        <w:tc>
          <w:tcPr>
            <w:tcW w:w="120" w:type="dxa"/>
            <w:vAlign w:val="bottom"/>
          </w:tcPr>
          <w:p>
            <w:pPr>
              <w:spacing w:after="0"/>
              <w:rPr>
                <w:sz w:val="20"/>
                <w:szCs w:val="20"/>
                <w:color w:val="auto"/>
              </w:rPr>
            </w:pPr>
            <w:r>
              <w:rPr>
                <w:rFonts w:ascii="Arial" w:cs="Arial" w:eastAsia="Arial" w:hAnsi="Arial"/>
                <w:sz w:val="17"/>
                <w:szCs w:val="17"/>
                <w:color w:val="auto"/>
              </w:rPr>
              <w:t>*</w:t>
            </w:r>
          </w:p>
        </w:tc>
        <w:tc>
          <w:tcPr>
            <w:tcW w:w="5100" w:type="dxa"/>
            <w:vAlign w:val="bottom"/>
            <w:gridSpan w:val="2"/>
          </w:tcPr>
          <w:p>
            <w:pPr>
              <w:ind w:left="400"/>
              <w:spacing w:after="0"/>
              <w:rPr>
                <w:sz w:val="20"/>
                <w:szCs w:val="20"/>
                <w:color w:val="auto"/>
              </w:rPr>
            </w:pPr>
            <w:r>
              <w:rPr>
                <w:rFonts w:ascii="Arial" w:cs="Arial" w:eastAsia="Arial" w:hAnsi="Arial"/>
                <w:sz w:val="17"/>
                <w:szCs w:val="17"/>
                <w:color w:val="auto"/>
              </w:rPr>
              <w:t>To be filed by amendment.</w:t>
            </w: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expenses are estimated except for the SEC registration fee, the FINRA filing fee and the NASDAQ listing fee.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8" w:lineRule="exact"/>
        <w:rPr>
          <w:sz w:val="20"/>
          <w:szCs w:val="20"/>
          <w:color w:val="auto"/>
        </w:rPr>
      </w:pPr>
    </w:p>
    <w:p>
      <w:pPr>
        <w:ind w:right="280" w:firstLine="341"/>
        <w:spacing w:after="0" w:line="352" w:lineRule="auto"/>
        <w:rPr>
          <w:sz w:val="20"/>
          <w:szCs w:val="20"/>
          <w:color w:val="auto"/>
        </w:rPr>
      </w:pPr>
      <w:r>
        <w:rPr>
          <w:rFonts w:ascii="Arial" w:cs="Arial" w:eastAsia="Arial" w:hAnsi="Arial"/>
          <w:sz w:val="15"/>
          <w:szCs w:val="15"/>
          <w:color w:val="auto"/>
        </w:rPr>
        <w:t>Section 102(b)(7) of the Delaware General Corporation Law, or DGCL, provides that a Delaware corporation, in its certificate of incorporation, may limit the personal liability of a director to the corporation or its stockholders for monetary damages for breach of fiduciary duties as a director, except for liability for any:</w:t>
      </w:r>
    </w:p>
    <w:p>
      <w:pPr>
        <w:spacing w:after="0" w:line="150"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Transaction from which the director derived an improper personal benefit;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Act or omission not in good faith or that involved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Unlawful payment of dividends or purchase or redemption of shares;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Breach of the director's duty of loyalty to the corporation or its stockholders.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spacing w:after="0" w:line="190" w:lineRule="exact"/>
        <w:rPr>
          <w:sz w:val="20"/>
          <w:szCs w:val="20"/>
          <w:color w:val="auto"/>
        </w:rPr>
      </w:pPr>
    </w:p>
    <w:p>
      <w:pPr>
        <w:ind w:right="320" w:firstLine="341"/>
        <w:spacing w:after="0" w:line="315" w:lineRule="auto"/>
        <w:rPr>
          <w:sz w:val="20"/>
          <w:szCs w:val="20"/>
          <w:color w:val="auto"/>
        </w:rPr>
      </w:pPr>
      <w:r>
        <w:rPr>
          <w:rFonts w:ascii="Arial" w:cs="Arial" w:eastAsia="Arial" w:hAnsi="Arial"/>
          <w:sz w:val="16"/>
          <w:szCs w:val="16"/>
          <w:color w:val="auto"/>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spacing w:after="0" w:line="175"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spacing w:after="0" w:line="185"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for the indemnification of our directors and officers to the fullest extent permitted under the DGCL.</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will enter into indemnification agreements with our directors and executive officers. These indemnification agreements may require us, among other things, to indemnify each such director and executive officer for some expenses, including attorneys' fees, judgments, fines and settlement amounts incurred by him in any action or proceeding arising out of his service as one of our directors or executive officers.</w:t>
      </w:r>
    </w:p>
    <w:p>
      <w:pPr>
        <w:spacing w:after="0" w:line="179" w:lineRule="exact"/>
        <w:rPr>
          <w:sz w:val="20"/>
          <w:szCs w:val="20"/>
          <w:color w:val="auto"/>
        </w:rPr>
      </w:pPr>
    </w:p>
    <w:p>
      <w:pPr>
        <w:ind w:right="360" w:firstLine="338"/>
        <w:spacing w:after="0" w:line="282" w:lineRule="auto"/>
        <w:rPr>
          <w:sz w:val="20"/>
          <w:szCs w:val="20"/>
          <w:color w:val="auto"/>
        </w:rPr>
      </w:pPr>
      <w:r>
        <w:rPr>
          <w:rFonts w:ascii="Arial" w:cs="Arial" w:eastAsia="Arial" w:hAnsi="Arial"/>
          <w:sz w:val="17"/>
          <w:szCs w:val="17"/>
          <w:color w:val="auto"/>
        </w:rPr>
        <w:t>We intend to purchase and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right="340" w:firstLine="338"/>
        <w:spacing w:after="0" w:line="352" w:lineRule="auto"/>
        <w:rPr>
          <w:sz w:val="20"/>
          <w:szCs w:val="20"/>
          <w:color w:val="auto"/>
        </w:rPr>
      </w:pPr>
      <w:r>
        <w:rPr>
          <w:rFonts w:ascii="Arial" w:cs="Arial" w:eastAsia="Arial" w:hAnsi="Arial"/>
          <w:sz w:val="15"/>
          <w:szCs w:val="15"/>
          <w:color w:val="auto"/>
        </w:rPr>
        <w:t>We will enter into an underwriting agreement in connection with this offering, which will provide for indemnification in limited circumstances by the underwriters of us, our officers and directors, for certain liabilities, including liabilities arising under the Securities Act of 1933, as amended, or the Securities Act.</w:t>
      </w:r>
    </w:p>
    <w:p>
      <w:pPr>
        <w:spacing w:after="0" w:line="11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preceding three years, the Registrant has issued the following securities that were not registered under the Securities Act:</w:t>
      </w:r>
    </w:p>
    <w:p>
      <w:pPr>
        <w:spacing w:after="0" w:line="237" w:lineRule="exact"/>
        <w:rPr>
          <w:sz w:val="20"/>
          <w:szCs w:val="20"/>
          <w:color w:val="auto"/>
        </w:rPr>
      </w:pPr>
    </w:p>
    <w:p>
      <w:pPr>
        <w:ind w:left="1060" w:right="160" w:hanging="531"/>
        <w:spacing w:after="0" w:line="282"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March 2013, the Registrant issued convertible notes in the aggregate principal amount of $211,000 to investors. These notes, together with accrued interest, converted into 23,859 shares of common stock in March 2014.</w:t>
      </w:r>
    </w:p>
    <w:p>
      <w:pPr>
        <w:spacing w:after="0" w:line="196" w:lineRule="exact"/>
        <w:rPr>
          <w:rFonts w:ascii="Arial" w:cs="Arial" w:eastAsia="Arial" w:hAnsi="Arial"/>
          <w:sz w:val="17"/>
          <w:szCs w:val="17"/>
          <w:color w:val="auto"/>
        </w:rPr>
      </w:pPr>
    </w:p>
    <w:p>
      <w:pPr>
        <w:ind w:left="1060" w:right="360" w:hanging="531"/>
        <w:spacing w:after="0" w:line="352" w:lineRule="auto"/>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From June to October 2013, the Registrant issued convertible notes in the aggregate principal amount of $3,904,000 to investors pursuant to a note purchase agreement. These notes, together with accrued interest, converted into 441,470 shares of common stock from June to October 2014.</w:t>
      </w:r>
    </w:p>
    <w:p>
      <w:pPr>
        <w:spacing w:after="0" w:line="136" w:lineRule="exact"/>
        <w:rPr>
          <w:rFonts w:ascii="Arial" w:cs="Arial" w:eastAsia="Arial" w:hAnsi="Arial"/>
          <w:sz w:val="15"/>
          <w:szCs w:val="15"/>
          <w:color w:val="auto"/>
        </w:rPr>
      </w:pPr>
    </w:p>
    <w:p>
      <w:pPr>
        <w:ind w:left="1060" w:right="420" w:hanging="531"/>
        <w:spacing w:after="0" w:line="282"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October 2013, in connection with the issuance of convertible notes, the Registrant issued warrants to purchase an aggregate of 31,372 shares of common stock as compensation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placement agent for the offering of the notes. The warrants have a 5-year term and an exercise price of $9.55 per share.</w:t>
      </w:r>
    </w:p>
    <w:p>
      <w:pPr>
        <w:spacing w:after="0" w:line="237" w:lineRule="exact"/>
        <w:rPr>
          <w:sz w:val="20"/>
          <w:szCs w:val="20"/>
          <w:color w:val="auto"/>
        </w:rPr>
      </w:pPr>
    </w:p>
    <w:p>
      <w:pPr>
        <w:ind w:left="1060" w:right="60" w:hanging="531"/>
        <w:spacing w:after="0" w:line="315"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From September to November 2014, the Registrant issued convertible notes in the aggregate principal amount of $4,140,000 to investors pursuant to a note purchase agreement. All of these notes remain outstanding but will automatically convert upon closing of this offering.</w:t>
      </w:r>
    </w:p>
    <w:p>
      <w:pPr>
        <w:spacing w:after="0" w:line="172" w:lineRule="exact"/>
        <w:rPr>
          <w:rFonts w:ascii="Arial" w:cs="Arial" w:eastAsia="Arial" w:hAnsi="Arial"/>
          <w:sz w:val="16"/>
          <w:szCs w:val="16"/>
          <w:color w:val="auto"/>
        </w:rPr>
      </w:pPr>
    </w:p>
    <w:p>
      <w:pPr>
        <w:ind w:left="1060" w:right="200" w:hanging="531"/>
        <w:spacing w:after="0" w:line="270"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November 2014, in connection with the issuance of convertible notes, the Registrant issued warrants to purchase an aggregate of 5,727 shares of common stock as compensation to the placement agent for the offering of the notes. The warrants have a 5 year term and an exercise price of $43.64 per share, subject to adjustment in connection with the closing of this offering.</w:t>
      </w:r>
    </w:p>
    <w:p>
      <w:pPr>
        <w:spacing w:after="0" w:line="192"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From December 2014 to January 2015, the Registrant issued convertible notes in the aggregate principal amount of $1,570,000 to investors pursuant to a note purchase agreement. All of these notes remain outstanding but will automatically convert upon closing of this offering.</w:t>
      </w:r>
    </w:p>
    <w:p>
      <w:pPr>
        <w:spacing w:after="0" w:line="159" w:lineRule="exact"/>
        <w:rPr>
          <w:rFonts w:ascii="Arial" w:cs="Arial" w:eastAsia="Arial" w:hAnsi="Arial"/>
          <w:sz w:val="16"/>
          <w:szCs w:val="16"/>
          <w:color w:val="auto"/>
        </w:rPr>
      </w:pPr>
    </w:p>
    <w:p>
      <w:pPr>
        <w:ind w:left="1060" w:right="580" w:hanging="531"/>
        <w:spacing w:after="0" w:line="315"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From May to July 2015, the Registrant issued convertible notes in the aggregate principal amount of $7,166,469 to investors pursuant to a note purchase agreement. All of these notes remain outstanding but will automatically convert upon closing of this offering.</w:t>
      </w:r>
    </w:p>
    <w:p>
      <w:pPr>
        <w:spacing w:after="0" w:line="172" w:lineRule="exact"/>
        <w:rPr>
          <w:rFonts w:ascii="Arial" w:cs="Arial" w:eastAsia="Arial" w:hAnsi="Arial"/>
          <w:sz w:val="16"/>
          <w:szCs w:val="16"/>
          <w:color w:val="auto"/>
        </w:rPr>
      </w:pPr>
    </w:p>
    <w:p>
      <w:pPr>
        <w:ind w:left="1060" w:right="80" w:hanging="531"/>
        <w:spacing w:after="0" w:line="28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On February 27, 2015, and June 5, 2015, the Registrant granted stock options outside of the 2013 Equity Compensation Plan to purchase an aggregate of 874 shares of common stock at an exercise price of $43.63 to service providers.</w:t>
      </w:r>
    </w:p>
    <w:p>
      <w:pPr>
        <w:spacing w:after="0" w:line="182" w:lineRule="exact"/>
        <w:rPr>
          <w:rFonts w:ascii="Arial" w:cs="Arial" w:eastAsia="Arial" w:hAnsi="Arial"/>
          <w:sz w:val="17"/>
          <w:szCs w:val="17"/>
          <w:color w:val="auto"/>
        </w:rPr>
      </w:pPr>
    </w:p>
    <w:p>
      <w:pPr>
        <w:ind w:left="1060" w:right="280" w:hanging="531"/>
        <w:spacing w:after="0" w:line="315"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From March 22, 2013, to date, the Registrant granted stock options under our 2013 Equity Compensation Plan to purchase an aggregate of 121,556 shares of common stock at a weighted average exercise price of $20.75 per share to officers, directors, employees and consultants.</w:t>
      </w:r>
    </w:p>
    <w:p>
      <w:pPr>
        <w:spacing w:after="0" w:line="146"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offers, sales and issuances of the securities described in paragraphs (1), (2), (3), (4), (5), (6), (7), and (8) were deemed to be exempt from registration under the Securities Act in reliance on Section 4(a)(2) (or Regulation D promulgated thereunder), in that the issuance of securities to the accredited investors did not involve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under Rule 501 of Regulation D. No underwriters were involved in these transactions.</w:t>
      </w:r>
    </w:p>
    <w:p>
      <w:pPr>
        <w:spacing w:after="0" w:line="174" w:lineRule="exact"/>
        <w:rPr>
          <w:sz w:val="20"/>
          <w:szCs w:val="20"/>
          <w:color w:val="auto"/>
        </w:rPr>
      </w:pPr>
    </w:p>
    <w:p>
      <w:pPr>
        <w:ind w:right="140" w:firstLine="338"/>
        <w:spacing w:after="0" w:line="283" w:lineRule="auto"/>
        <w:rPr>
          <w:sz w:val="20"/>
          <w:szCs w:val="20"/>
          <w:color w:val="auto"/>
        </w:rPr>
      </w:pPr>
      <w:r>
        <w:rPr>
          <w:rFonts w:ascii="Arial" w:cs="Arial" w:eastAsia="Arial" w:hAnsi="Arial"/>
          <w:sz w:val="16"/>
          <w:szCs w:val="16"/>
          <w:color w:val="auto"/>
        </w:rPr>
        <w:t>The offers, sales and issuances of the securities described in paragraph (9) were deemed to be exempt from registration under the Securities Act in reliance on Rule 701 in that the transactions were under compensatory benefit plans and contracts relating to compensation as provided under Rule 701. The recipients of such securities were the employees, directors or bona fide consultants of the Registrant and received the securities under the Registrant's 2013 Equity Compensation Plan. Appropriate legends were affixed to the securities issued in these transactions. Each of the recipients of securities in these transactions had adequate access, through employment, business or other relationships, to information about the Registrant.</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4"/>
          <w:szCs w:val="14"/>
          <w:b w:val="1"/>
          <w:bCs w:val="1"/>
          <w:i w:val="1"/>
          <w:iCs w:val="1"/>
          <w:color w:val="auto"/>
        </w:rPr>
        <w:t>Exhibits and Financial Statement Schedules</w:t>
      </w:r>
    </w:p>
    <w:p>
      <w:pPr>
        <w:spacing w:after="0" w:line="237" w:lineRule="exact"/>
        <w:rPr>
          <w:sz w:val="20"/>
          <w:szCs w:val="20"/>
          <w:color w:val="auto"/>
        </w:rPr>
      </w:pPr>
    </w:p>
    <w:p>
      <w:pPr>
        <w:ind w:left="1060" w:hanging="531"/>
        <w:spacing w:after="0"/>
        <w:tabs>
          <w:tab w:leader="none" w:pos="10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Exhibit Index attached to this registration statement, which is incorporated by reference herein.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3" w:lineRule="exact"/>
        <w:rPr>
          <w:sz w:val="20"/>
          <w:szCs w:val="20"/>
          <w:color w:val="auto"/>
        </w:rPr>
      </w:pPr>
    </w:p>
    <w:p>
      <w:pPr>
        <w:ind w:left="1060" w:hanging="531"/>
        <w:spacing w:after="0"/>
        <w:tabs>
          <w:tab w:leader="none" w:pos="106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28" w:lineRule="exact"/>
        <w:rPr>
          <w:sz w:val="20"/>
          <w:szCs w:val="20"/>
          <w:color w:val="auto"/>
        </w:rPr>
      </w:pPr>
    </w:p>
    <w:p>
      <w:pPr>
        <w:ind w:right="580" w:firstLine="332"/>
        <w:spacing w:after="0" w:line="315" w:lineRule="auto"/>
        <w:rPr>
          <w:sz w:val="20"/>
          <w:szCs w:val="20"/>
          <w:color w:val="auto"/>
        </w:rPr>
      </w:pPr>
      <w:r>
        <w:rPr>
          <w:rFonts w:ascii="Arial" w:cs="Arial" w:eastAsia="Arial" w:hAnsi="Arial"/>
          <w:sz w:val="16"/>
          <w:szCs w:val="16"/>
          <w:color w:val="auto"/>
        </w:rPr>
        <w:t>All information for which provision is made in the applicable accounting regulations of the Securities and Exchange Commission is either included in the consolidated financial statements or is not required under the related instructions or is inapplicable, and therefore has been omitted.</w:t>
      </w:r>
    </w:p>
    <w:p>
      <w:pPr>
        <w:spacing w:after="0" w:line="14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4"/>
          <w:szCs w:val="14"/>
          <w:b w:val="1"/>
          <w:bCs w:val="1"/>
          <w:i w:val="1"/>
          <w:iCs w:val="1"/>
          <w:color w:val="auto"/>
        </w:rPr>
        <w:t>Undertakings.</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50" w:lineRule="exact"/>
        <w:rPr>
          <w:sz w:val="20"/>
          <w:szCs w:val="20"/>
          <w:color w:val="auto"/>
        </w:rPr>
      </w:pPr>
    </w:p>
    <w:p>
      <w:pPr>
        <w:ind w:left="1060" w:hanging="531"/>
        <w:spacing w:after="0" w:line="270"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2" w:lineRule="exact"/>
        <w:rPr>
          <w:rFonts w:ascii="Arial" w:cs="Arial" w:eastAsia="Arial" w:hAnsi="Arial"/>
          <w:sz w:val="17"/>
          <w:szCs w:val="17"/>
          <w:color w:val="auto"/>
        </w:rPr>
      </w:pPr>
    </w:p>
    <w:p>
      <w:pPr>
        <w:ind w:left="1060" w:right="40" w:hanging="531"/>
        <w:spacing w:after="0" w:line="270"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20"/>
                <w:szCs w:val="20"/>
                <w:color w:val="auto"/>
              </w:rPr>
            </w:pPr>
            <w:r>
              <w:rPr>
                <w:rFonts w:ascii="Arial" w:cs="Arial" w:eastAsia="Arial" w:hAnsi="Arial"/>
                <w:sz w:val="17"/>
                <w:szCs w:val="17"/>
                <w:color w:val="auto"/>
                <w:w w:val="99"/>
              </w:rPr>
              <w:t>undersigned, thereunto duly authorized, in the City of New York, State of New York, on</w:t>
            </w:r>
          </w:p>
        </w:tc>
        <w:tc>
          <w:tcPr>
            <w:tcW w:w="98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9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AXSOME THERAPEUTICS, INC.</w:t>
      </w: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Herriot Tabuteau, M.D.</w:t>
      </w:r>
    </w:p>
    <w:p>
      <w:pPr>
        <w:spacing w:after="0" w:line="20" w:lineRule="exact"/>
        <w:rPr>
          <w:sz w:val="20"/>
          <w:szCs w:val="20"/>
          <w:color w:val="auto"/>
        </w:rPr>
      </w:pPr>
    </w:p>
    <w:p>
      <w:pPr>
        <w:ind w:left="7380"/>
        <w:spacing w:after="0"/>
        <w:rPr>
          <w:sz w:val="20"/>
          <w:szCs w:val="20"/>
          <w:color w:val="auto"/>
        </w:rPr>
      </w:pPr>
      <w:r>
        <w:rPr>
          <w:rFonts w:ascii="Arial" w:cs="Arial" w:eastAsia="Arial" w:hAnsi="Arial"/>
          <w:sz w:val="17"/>
          <w:szCs w:val="17"/>
          <w:i w:val="1"/>
          <w:iCs w:val="1"/>
          <w:color w:val="auto"/>
        </w:rPr>
        <w:t>Chief Executive Officer</w:t>
      </w:r>
    </w:p>
    <w:p>
      <w:pPr>
        <w:spacing w:after="0" w:line="21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Each person whose individual signature appears below hereby authorizes and appoints Herriot Tabuteau, M.D. and Constance Ames, and each of them, with full power of substitution and resubstitution and full power to act without the other, as his or her true and lawful attorney in fact and agent to act in his or her name, place and stead and to execute in the name and on behalf of each person, individually and in each capacity stated below, and to file any and all amendments to this Registration Statement, including any and all post effective amendments and amendments thereto, and any registration statement relating to the same offering filed pursuant to Rule 462(b) under the Securities Act of 1933, as amended, and to file the same, with all exhibits thereto, and other documents in connection therewith, with the Securities and Exchange Commission, granting unto said attorneys in fact and agents, and each of them, full power and authority to do and perform each and every act and thing, ratifying and confirming all that said attorneys in fact and agents or any of them or their or his substitute or substitutes may lawfully do or cause to be done by virtue thereof.</w:t>
      </w:r>
    </w:p>
    <w:p>
      <w:pPr>
        <w:spacing w:after="0" w:line="187"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7"/>
                <w:szCs w:val="17"/>
                <w:color w:val="auto"/>
              </w:rPr>
              <w:t>Chief Executive Officer and Director (Principal</w:t>
            </w:r>
          </w:p>
        </w:tc>
        <w:tc>
          <w:tcPr>
            <w:tcW w:w="2700" w:type="dxa"/>
            <w:vAlign w:val="bottom"/>
          </w:tcPr>
          <w:p>
            <w:pPr>
              <w:jc w:val="right"/>
              <w:ind w:right="1455"/>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vMerge w:val="restart"/>
          </w:tcPr>
          <w:p>
            <w:pPr>
              <w:ind w:left="200"/>
              <w:spacing w:after="0" w:line="184" w:lineRule="exact"/>
              <w:rPr>
                <w:sz w:val="20"/>
                <w:szCs w:val="20"/>
                <w:color w:val="auto"/>
              </w:rPr>
            </w:pPr>
            <w:r>
              <w:rPr>
                <w:rFonts w:ascii="Arial" w:cs="Arial" w:eastAsia="Arial" w:hAnsi="Arial"/>
                <w:sz w:val="17"/>
                <w:szCs w:val="17"/>
                <w:color w:val="auto"/>
              </w:rPr>
              <w:t>Executive Officer)</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80" w:type="dxa"/>
            <w:vAlign w:val="bottom"/>
            <w:gridSpan w:val="2"/>
          </w:tcPr>
          <w:p>
            <w:pPr>
              <w:jc w:val="center"/>
              <w:ind w:right="4095"/>
              <w:spacing w:after="0"/>
              <w:rPr>
                <w:sz w:val="20"/>
                <w:szCs w:val="20"/>
                <w:color w:val="auto"/>
              </w:rPr>
            </w:pPr>
            <w:r>
              <w:rPr>
                <w:rFonts w:ascii="Arial" w:cs="Arial" w:eastAsia="Arial" w:hAnsi="Arial"/>
                <w:sz w:val="17"/>
                <w:szCs w:val="17"/>
                <w:color w:val="auto"/>
                <w:w w:val="92"/>
              </w:rPr>
              <w:t>Herriot Tabuteau, M.D.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80" w:type="dxa"/>
            <w:vAlign w:val="bottom"/>
          </w:tcPr>
          <w:p>
            <w:pPr>
              <w:ind w:left="200"/>
              <w:spacing w:after="0"/>
              <w:rPr>
                <w:sz w:val="20"/>
                <w:szCs w:val="20"/>
                <w:color w:val="auto"/>
              </w:rPr>
            </w:pPr>
            <w:r>
              <w:rPr>
                <w:rFonts w:ascii="Arial" w:cs="Arial" w:eastAsia="Arial" w:hAnsi="Arial"/>
                <w:sz w:val="17"/>
                <w:szCs w:val="17"/>
                <w:color w:val="auto"/>
              </w:rPr>
              <w:t>Vice President, Finance</w:t>
            </w:r>
          </w:p>
        </w:tc>
        <w:tc>
          <w:tcPr>
            <w:tcW w:w="2700" w:type="dxa"/>
            <w:vAlign w:val="bottom"/>
          </w:tcPr>
          <w:p>
            <w:pPr>
              <w:jc w:val="right"/>
              <w:ind w:right="1455"/>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vMerge w:val="restart"/>
          </w:tcPr>
          <w:p>
            <w:pPr>
              <w:ind w:left="200"/>
              <w:spacing w:after="0" w:line="184" w:lineRule="exact"/>
              <w:rPr>
                <w:sz w:val="20"/>
                <w:szCs w:val="20"/>
                <w:color w:val="auto"/>
              </w:rPr>
            </w:pPr>
            <w:r>
              <w:rPr>
                <w:rFonts w:ascii="Arial" w:cs="Arial" w:eastAsia="Arial" w:hAnsi="Arial"/>
                <w:sz w:val="17"/>
                <w:szCs w:val="17"/>
                <w:color w:val="auto"/>
              </w:rPr>
              <w:t>(Principal Financial and Accounting Officer)</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80" w:type="dxa"/>
            <w:vAlign w:val="bottom"/>
            <w:gridSpan w:val="2"/>
          </w:tcPr>
          <w:p>
            <w:pPr>
              <w:jc w:val="center"/>
              <w:ind w:right="4095"/>
              <w:spacing w:after="0"/>
              <w:rPr>
                <w:sz w:val="20"/>
                <w:szCs w:val="20"/>
                <w:color w:val="auto"/>
              </w:rPr>
            </w:pPr>
            <w:r>
              <w:rPr>
                <w:rFonts w:ascii="Arial" w:cs="Arial" w:eastAsia="Arial" w:hAnsi="Arial"/>
                <w:sz w:val="17"/>
                <w:szCs w:val="17"/>
                <w:color w:val="auto"/>
                <w:w w:val="89"/>
              </w:rPr>
              <w:t>Constance Ames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80" w:type="dxa"/>
            <w:vAlign w:val="bottom"/>
          </w:tcPr>
          <w:p>
            <w:pPr>
              <w:ind w:left="200"/>
              <w:spacing w:after="0"/>
              <w:rPr>
                <w:sz w:val="20"/>
                <w:szCs w:val="20"/>
                <w:color w:val="auto"/>
              </w:rPr>
            </w:pPr>
            <w:r>
              <w:rPr>
                <w:rFonts w:ascii="Arial" w:cs="Arial" w:eastAsia="Arial" w:hAnsi="Arial"/>
                <w:sz w:val="17"/>
                <w:szCs w:val="17"/>
                <w:color w:val="auto"/>
              </w:rPr>
              <w:t>Director</w:t>
            </w:r>
          </w:p>
        </w:tc>
        <w:tc>
          <w:tcPr>
            <w:tcW w:w="2700" w:type="dxa"/>
            <w:vAlign w:val="bottom"/>
          </w:tcPr>
          <w:p>
            <w:pPr>
              <w:jc w:val="right"/>
              <w:ind w:right="1455"/>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7580" w:type="dxa"/>
            <w:vAlign w:val="bottom"/>
            <w:gridSpan w:val="2"/>
          </w:tcPr>
          <w:p>
            <w:pPr>
              <w:jc w:val="center"/>
              <w:ind w:right="4095"/>
              <w:spacing w:after="0"/>
              <w:rPr>
                <w:sz w:val="20"/>
                <w:szCs w:val="20"/>
                <w:color w:val="auto"/>
              </w:rPr>
            </w:pPr>
            <w:r>
              <w:rPr>
                <w:rFonts w:ascii="Arial" w:cs="Arial" w:eastAsia="Arial" w:hAnsi="Arial"/>
                <w:sz w:val="17"/>
                <w:szCs w:val="17"/>
                <w:color w:val="auto"/>
                <w:w w:val="89"/>
              </w:rPr>
              <w:t>Roger Jeffs, Ph.D.</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80" w:type="dxa"/>
            <w:vAlign w:val="bottom"/>
          </w:tcPr>
          <w:p>
            <w:pPr>
              <w:ind w:left="200"/>
              <w:spacing w:after="0"/>
              <w:rPr>
                <w:sz w:val="20"/>
                <w:szCs w:val="20"/>
                <w:color w:val="auto"/>
              </w:rPr>
            </w:pPr>
            <w:r>
              <w:rPr>
                <w:rFonts w:ascii="Arial" w:cs="Arial" w:eastAsia="Arial" w:hAnsi="Arial"/>
                <w:sz w:val="17"/>
                <w:szCs w:val="17"/>
                <w:color w:val="auto"/>
              </w:rPr>
              <w:t>Director</w:t>
            </w:r>
          </w:p>
        </w:tc>
        <w:tc>
          <w:tcPr>
            <w:tcW w:w="2700" w:type="dxa"/>
            <w:vAlign w:val="bottom"/>
          </w:tcPr>
          <w:p>
            <w:pPr>
              <w:jc w:val="right"/>
              <w:ind w:right="1455"/>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7580" w:type="dxa"/>
            <w:vAlign w:val="bottom"/>
            <w:gridSpan w:val="2"/>
          </w:tcPr>
          <w:p>
            <w:pPr>
              <w:jc w:val="center"/>
              <w:ind w:right="4095"/>
              <w:spacing w:after="0"/>
              <w:rPr>
                <w:sz w:val="20"/>
                <w:szCs w:val="20"/>
                <w:color w:val="auto"/>
              </w:rPr>
            </w:pPr>
            <w:r>
              <w:rPr>
                <w:rFonts w:ascii="Arial" w:cs="Arial" w:eastAsia="Arial" w:hAnsi="Arial"/>
                <w:sz w:val="17"/>
                <w:szCs w:val="17"/>
                <w:color w:val="auto"/>
                <w:w w:val="94"/>
              </w:rPr>
              <w:t>Mark Coleman, M.D.</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80" w:type="dxa"/>
            <w:vAlign w:val="bottom"/>
          </w:tcPr>
          <w:p>
            <w:pPr>
              <w:ind w:left="200"/>
              <w:spacing w:after="0"/>
              <w:rPr>
                <w:sz w:val="20"/>
                <w:szCs w:val="20"/>
                <w:color w:val="auto"/>
              </w:rPr>
            </w:pPr>
            <w:r>
              <w:rPr>
                <w:rFonts w:ascii="Arial" w:cs="Arial" w:eastAsia="Arial" w:hAnsi="Arial"/>
                <w:sz w:val="17"/>
                <w:szCs w:val="17"/>
                <w:color w:val="auto"/>
              </w:rPr>
              <w:t>Director</w:t>
            </w:r>
          </w:p>
        </w:tc>
        <w:tc>
          <w:tcPr>
            <w:tcW w:w="2700" w:type="dxa"/>
            <w:vAlign w:val="bottom"/>
          </w:tcPr>
          <w:p>
            <w:pPr>
              <w:jc w:val="right"/>
              <w:ind w:right="1455"/>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7580" w:type="dxa"/>
            <w:vAlign w:val="bottom"/>
            <w:gridSpan w:val="2"/>
          </w:tcPr>
          <w:p>
            <w:pPr>
              <w:jc w:val="center"/>
              <w:ind w:right="4115"/>
              <w:spacing w:after="0"/>
              <w:rPr>
                <w:sz w:val="20"/>
                <w:szCs w:val="20"/>
                <w:color w:val="auto"/>
              </w:rPr>
            </w:pPr>
            <w:r>
              <w:rPr>
                <w:rFonts w:ascii="Arial" w:cs="Arial" w:eastAsia="Arial" w:hAnsi="Arial"/>
                <w:sz w:val="17"/>
                <w:szCs w:val="17"/>
                <w:color w:val="auto"/>
                <w:w w:val="89"/>
              </w:rPr>
              <w:t>Mark Saad</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0" w:type="dxa"/>
            <w:vAlign w:val="bottom"/>
            <w:gridSpan w:val="2"/>
          </w:tcPr>
          <w:p>
            <w:pPr>
              <w:ind w:left="2760"/>
              <w:spacing w:after="0"/>
              <w:rPr>
                <w:sz w:val="20"/>
                <w:szCs w:val="20"/>
                <w:color w:val="auto"/>
              </w:rPr>
            </w:pPr>
            <w:r>
              <w:rPr>
                <w:rFonts w:ascii="Arial" w:cs="Arial" w:eastAsia="Arial" w:hAnsi="Arial"/>
                <w:sz w:val="17"/>
                <w:szCs w:val="17"/>
                <w:b w:val="1"/>
                <w:bCs w:val="1"/>
                <w:color w:val="auto"/>
              </w:rPr>
              <w:t>INDEX OF EXHIBITS</w:t>
            </w:r>
          </w:p>
        </w:tc>
      </w:tr>
      <w:tr>
        <w:trPr>
          <w:trHeight w:val="344"/>
        </w:trPr>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Exhibit</w:t>
            </w:r>
          </w:p>
        </w:tc>
        <w:tc>
          <w:tcPr>
            <w:tcW w:w="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180" w:type="dxa"/>
            <w:vAlign w:val="bottom"/>
            <w:tcBorders>
              <w:bottom w:val="single" w:sz="8" w:color="auto"/>
            </w:tcBorders>
          </w:tcPr>
          <w:p>
            <w:pPr>
              <w:ind w:left="3740"/>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3"/>
                <w:szCs w:val="13"/>
                <w:color w:val="auto"/>
              </w:rPr>
            </w:pPr>
          </w:p>
        </w:tc>
      </w:tr>
      <w:tr>
        <w:trPr>
          <w:trHeight w:val="209"/>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8260" w:type="dxa"/>
            <w:vAlign w:val="bottom"/>
            <w:gridSpan w:val="2"/>
          </w:tcPr>
          <w:p>
            <w:pPr>
              <w:spacing w:after="0"/>
              <w:rPr>
                <w:sz w:val="20"/>
                <w:szCs w:val="20"/>
                <w:color w:val="auto"/>
              </w:rPr>
            </w:pPr>
            <w:r>
              <w:rPr>
                <w:rFonts w:ascii="Arial" w:cs="Arial" w:eastAsia="Arial" w:hAnsi="Arial"/>
                <w:sz w:val="17"/>
                <w:szCs w:val="17"/>
                <w:color w:val="auto"/>
              </w:rPr>
              <w:t>Form of Underwriting Agreement.</w:t>
            </w:r>
          </w:p>
        </w:tc>
        <w:tc>
          <w:tcPr>
            <w:tcW w:w="20" w:type="dxa"/>
            <w:vAlign w:val="bottom"/>
          </w:tcPr>
          <w:p>
            <w:pPr>
              <w:spacing w:after="0"/>
              <w:rPr>
                <w:sz w:val="18"/>
                <w:szCs w:val="18"/>
                <w:color w:val="auto"/>
              </w:rPr>
            </w:pPr>
          </w:p>
        </w:tc>
      </w:tr>
      <w:tr>
        <w:trPr>
          <w:trHeight w:val="437"/>
        </w:trPr>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3.1</w:t>
            </w:r>
          </w:p>
        </w:tc>
        <w:tc>
          <w:tcPr>
            <w:tcW w:w="8280" w:type="dxa"/>
            <w:vAlign w:val="bottom"/>
            <w:gridSpan w:val="3"/>
          </w:tcPr>
          <w:p>
            <w:pPr>
              <w:spacing w:after="0"/>
              <w:rPr>
                <w:sz w:val="20"/>
                <w:szCs w:val="20"/>
                <w:color w:val="auto"/>
              </w:rPr>
            </w:pPr>
            <w:r>
              <w:rPr>
                <w:rFonts w:ascii="Arial" w:cs="Arial" w:eastAsia="Arial" w:hAnsi="Arial"/>
                <w:sz w:val="17"/>
                <w:szCs w:val="17"/>
                <w:color w:val="auto"/>
              </w:rPr>
              <w:t>Certificate of Incorporation of the Registrant.</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3.2†</w:t>
            </w:r>
          </w:p>
        </w:tc>
        <w:tc>
          <w:tcPr>
            <w:tcW w:w="8280" w:type="dxa"/>
            <w:vAlign w:val="bottom"/>
            <w:gridSpan w:val="3"/>
          </w:tcPr>
          <w:p>
            <w:pPr>
              <w:spacing w:after="0"/>
              <w:rPr>
                <w:sz w:val="20"/>
                <w:szCs w:val="20"/>
                <w:color w:val="auto"/>
              </w:rPr>
            </w:pPr>
            <w:r>
              <w:rPr>
                <w:rFonts w:ascii="Arial" w:cs="Arial" w:eastAsia="Arial" w:hAnsi="Arial"/>
                <w:sz w:val="17"/>
                <w:szCs w:val="17"/>
                <w:color w:val="auto"/>
                <w:w w:val="91"/>
              </w:rPr>
              <w:t>Form of Amended and Restated Certificate of Incorporation of the Registrant to be effective upon closing of the offering.</w:t>
            </w:r>
          </w:p>
        </w:tc>
      </w:tr>
      <w:tr>
        <w:trPr>
          <w:trHeight w:val="446"/>
        </w:trPr>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3.3</w:t>
            </w:r>
          </w:p>
        </w:tc>
        <w:tc>
          <w:tcPr>
            <w:tcW w:w="8280" w:type="dxa"/>
            <w:vAlign w:val="bottom"/>
            <w:gridSpan w:val="3"/>
          </w:tcPr>
          <w:p>
            <w:pPr>
              <w:spacing w:after="0"/>
              <w:rPr>
                <w:sz w:val="20"/>
                <w:szCs w:val="20"/>
                <w:color w:val="auto"/>
              </w:rPr>
            </w:pPr>
            <w:r>
              <w:rPr>
                <w:rFonts w:ascii="Arial" w:cs="Arial" w:eastAsia="Arial" w:hAnsi="Arial"/>
                <w:sz w:val="17"/>
                <w:szCs w:val="17"/>
                <w:color w:val="auto"/>
              </w:rPr>
              <w:t>Bylaws of the Registrant.</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8280" w:type="dxa"/>
            <w:vAlign w:val="bottom"/>
            <w:gridSpan w:val="3"/>
          </w:tcPr>
          <w:p>
            <w:pPr>
              <w:spacing w:after="0"/>
              <w:rPr>
                <w:sz w:val="20"/>
                <w:szCs w:val="20"/>
                <w:color w:val="auto"/>
              </w:rPr>
            </w:pPr>
            <w:r>
              <w:rPr>
                <w:rFonts w:ascii="Arial" w:cs="Arial" w:eastAsia="Arial" w:hAnsi="Arial"/>
                <w:sz w:val="17"/>
                <w:szCs w:val="17"/>
                <w:color w:val="auto"/>
              </w:rPr>
              <w:t>Form of Amended and Restated Bylaws of the Registrant to be effective upon the closing of the offering.</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280" w:type="dxa"/>
            <w:vAlign w:val="bottom"/>
            <w:gridSpan w:val="3"/>
          </w:tcPr>
          <w:p>
            <w:pPr>
              <w:spacing w:after="0"/>
              <w:rPr>
                <w:sz w:val="20"/>
                <w:szCs w:val="20"/>
                <w:color w:val="auto"/>
              </w:rPr>
            </w:pPr>
            <w:r>
              <w:rPr>
                <w:rFonts w:ascii="Arial" w:cs="Arial" w:eastAsia="Arial" w:hAnsi="Arial"/>
                <w:sz w:val="17"/>
                <w:szCs w:val="17"/>
                <w:color w:val="auto"/>
              </w:rPr>
              <w:t>Specimen Certificate evidencing shares of Registrant's common stock.</w:t>
            </w:r>
          </w:p>
        </w:tc>
      </w:tr>
      <w:tr>
        <w:trPr>
          <w:trHeight w:val="446"/>
        </w:trPr>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4.2</w:t>
            </w:r>
          </w:p>
        </w:tc>
        <w:tc>
          <w:tcPr>
            <w:tcW w:w="8280" w:type="dxa"/>
            <w:vAlign w:val="bottom"/>
            <w:gridSpan w:val="3"/>
          </w:tcPr>
          <w:p>
            <w:pPr>
              <w:spacing w:after="0"/>
              <w:rPr>
                <w:sz w:val="20"/>
                <w:szCs w:val="20"/>
                <w:color w:val="auto"/>
              </w:rPr>
            </w:pPr>
            <w:r>
              <w:rPr>
                <w:rFonts w:ascii="Arial" w:cs="Arial" w:eastAsia="Arial" w:hAnsi="Arial"/>
                <w:sz w:val="17"/>
                <w:szCs w:val="17"/>
                <w:color w:val="auto"/>
              </w:rPr>
              <w:t>Form of warrant to purchase shares of Registrant's common stock issued in 2013.</w:t>
            </w:r>
          </w:p>
        </w:tc>
      </w:tr>
      <w:tr>
        <w:trPr>
          <w:trHeight w:val="446"/>
        </w:trPr>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4.3</w:t>
            </w:r>
          </w:p>
        </w:tc>
        <w:tc>
          <w:tcPr>
            <w:tcW w:w="8280" w:type="dxa"/>
            <w:vAlign w:val="bottom"/>
            <w:gridSpan w:val="3"/>
          </w:tcPr>
          <w:p>
            <w:pPr>
              <w:spacing w:after="0"/>
              <w:rPr>
                <w:sz w:val="20"/>
                <w:szCs w:val="20"/>
                <w:color w:val="auto"/>
              </w:rPr>
            </w:pPr>
            <w:r>
              <w:rPr>
                <w:rFonts w:ascii="Arial" w:cs="Arial" w:eastAsia="Arial" w:hAnsi="Arial"/>
                <w:sz w:val="17"/>
                <w:szCs w:val="17"/>
                <w:color w:val="auto"/>
              </w:rPr>
              <w:t>Form of warrant to purchase shares of Registrant's common stock issued in 2014.</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8280" w:type="dxa"/>
            <w:vAlign w:val="bottom"/>
            <w:gridSpan w:val="3"/>
          </w:tcPr>
          <w:p>
            <w:pPr>
              <w:spacing w:after="0"/>
              <w:rPr>
                <w:sz w:val="20"/>
                <w:szCs w:val="20"/>
                <w:color w:val="auto"/>
              </w:rPr>
            </w:pPr>
            <w:r>
              <w:rPr>
                <w:rFonts w:ascii="Arial" w:cs="Arial" w:eastAsia="Arial" w:hAnsi="Arial"/>
                <w:sz w:val="17"/>
                <w:szCs w:val="17"/>
                <w:color w:val="auto"/>
              </w:rPr>
              <w:t>Opinion of Morgan, Lewis &amp; Bockius LLP.</w:t>
            </w:r>
          </w:p>
        </w:tc>
      </w:tr>
      <w:tr>
        <w:trPr>
          <w:trHeight w:val="440"/>
        </w:trPr>
        <w:tc>
          <w:tcPr>
            <w:tcW w:w="86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8280" w:type="dxa"/>
            <w:vAlign w:val="bottom"/>
            <w:gridSpan w:val="3"/>
          </w:tcPr>
          <w:p>
            <w:pPr>
              <w:spacing w:after="0"/>
              <w:rPr>
                <w:sz w:val="20"/>
                <w:szCs w:val="20"/>
                <w:color w:val="auto"/>
              </w:rPr>
            </w:pPr>
            <w:r>
              <w:rPr>
                <w:rFonts w:ascii="Arial" w:cs="Arial" w:eastAsia="Arial" w:hAnsi="Arial"/>
                <w:sz w:val="17"/>
                <w:szCs w:val="17"/>
                <w:color w:val="auto"/>
                <w:w w:val="99"/>
              </w:rPr>
              <w:t>Axsome Therapeutics, Inc. 2013 Equity Compensation Plan and form of Nonqualified Stock Option Agreement</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7"/>
                <w:szCs w:val="17"/>
                <w:color w:val="auto"/>
              </w:rPr>
              <w:t>thereunder.</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10.2†</w:t>
            </w:r>
          </w:p>
        </w:tc>
        <w:tc>
          <w:tcPr>
            <w:tcW w:w="8280" w:type="dxa"/>
            <w:vAlign w:val="bottom"/>
            <w:gridSpan w:val="3"/>
          </w:tcPr>
          <w:p>
            <w:pPr>
              <w:spacing w:after="0"/>
              <w:rPr>
                <w:sz w:val="20"/>
                <w:szCs w:val="20"/>
                <w:color w:val="auto"/>
              </w:rPr>
            </w:pPr>
            <w:r>
              <w:rPr>
                <w:rFonts w:ascii="Arial" w:cs="Arial" w:eastAsia="Arial" w:hAnsi="Arial"/>
                <w:sz w:val="17"/>
                <w:szCs w:val="17"/>
                <w:color w:val="auto"/>
              </w:rPr>
              <w:t>License Agreement, dated January 12, 2012, by and between the Registrant and Antecip Bioventures II LLC.</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10.3†</w:t>
            </w:r>
          </w:p>
        </w:tc>
        <w:tc>
          <w:tcPr>
            <w:tcW w:w="8280" w:type="dxa"/>
            <w:vAlign w:val="bottom"/>
            <w:gridSpan w:val="3"/>
          </w:tcPr>
          <w:p>
            <w:pPr>
              <w:spacing w:after="0"/>
              <w:rPr>
                <w:sz w:val="20"/>
                <w:szCs w:val="20"/>
                <w:color w:val="auto"/>
              </w:rPr>
            </w:pPr>
            <w:r>
              <w:rPr>
                <w:rFonts w:ascii="Arial" w:cs="Arial" w:eastAsia="Arial" w:hAnsi="Arial"/>
                <w:sz w:val="17"/>
                <w:szCs w:val="17"/>
                <w:color w:val="auto"/>
              </w:rPr>
              <w:t>License Agreement, dated April 17, 2012, by and between the Registrant and Antecip Bioventures II LLC.</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10.4†</w:t>
            </w:r>
          </w:p>
        </w:tc>
        <w:tc>
          <w:tcPr>
            <w:tcW w:w="8280" w:type="dxa"/>
            <w:vAlign w:val="bottom"/>
            <w:gridSpan w:val="3"/>
          </w:tcPr>
          <w:p>
            <w:pPr>
              <w:spacing w:after="0"/>
              <w:rPr>
                <w:sz w:val="20"/>
                <w:szCs w:val="20"/>
                <w:color w:val="auto"/>
              </w:rPr>
            </w:pPr>
            <w:r>
              <w:rPr>
                <w:rFonts w:ascii="Arial" w:cs="Arial" w:eastAsia="Arial" w:hAnsi="Arial"/>
                <w:sz w:val="17"/>
                <w:szCs w:val="17"/>
                <w:color w:val="auto"/>
              </w:rPr>
              <w:t>License Agreement, dated June 6, 2012, by and between the Registrant and Antecip Bioventures II LLC.</w:t>
            </w:r>
          </w:p>
        </w:tc>
      </w:tr>
      <w:tr>
        <w:trPr>
          <w:trHeight w:val="446"/>
        </w:trPr>
        <w:tc>
          <w:tcPr>
            <w:tcW w:w="9140" w:type="dxa"/>
            <w:vAlign w:val="bottom"/>
            <w:gridSpan w:val="5"/>
          </w:tcPr>
          <w:p>
            <w:pPr>
              <w:ind w:left="320"/>
              <w:spacing w:after="0"/>
              <w:rPr>
                <w:sz w:val="20"/>
                <w:szCs w:val="20"/>
                <w:color w:val="auto"/>
              </w:rPr>
            </w:pPr>
            <w:r>
              <w:rPr>
                <w:rFonts w:ascii="Arial" w:cs="Arial" w:eastAsia="Arial" w:hAnsi="Arial"/>
                <w:sz w:val="17"/>
                <w:szCs w:val="17"/>
                <w:color w:val="auto"/>
              </w:rPr>
              <w:t>10.5+† Form of Indemnification Agreement.</w:t>
            </w:r>
          </w:p>
        </w:tc>
      </w:tr>
      <w:tr>
        <w:trPr>
          <w:trHeight w:val="446"/>
        </w:trPr>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21.1</w:t>
            </w:r>
          </w:p>
        </w:tc>
        <w:tc>
          <w:tcPr>
            <w:tcW w:w="8280" w:type="dxa"/>
            <w:vAlign w:val="bottom"/>
            <w:gridSpan w:val="3"/>
          </w:tcPr>
          <w:p>
            <w:pPr>
              <w:spacing w:after="0"/>
              <w:rPr>
                <w:sz w:val="20"/>
                <w:szCs w:val="20"/>
                <w:color w:val="auto"/>
              </w:rPr>
            </w:pPr>
            <w:r>
              <w:rPr>
                <w:rFonts w:ascii="Arial" w:cs="Arial" w:eastAsia="Arial" w:hAnsi="Arial"/>
                <w:sz w:val="17"/>
                <w:szCs w:val="17"/>
                <w:color w:val="auto"/>
              </w:rPr>
              <w:t>Subsidiaries of the Registrant.</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8280" w:type="dxa"/>
            <w:vAlign w:val="bottom"/>
            <w:gridSpan w:val="3"/>
          </w:tcPr>
          <w:p>
            <w:pPr>
              <w:spacing w:after="0"/>
              <w:rPr>
                <w:sz w:val="20"/>
                <w:szCs w:val="20"/>
                <w:color w:val="auto"/>
              </w:rPr>
            </w:pPr>
            <w:r>
              <w:rPr>
                <w:rFonts w:ascii="Arial" w:cs="Arial" w:eastAsia="Arial" w:hAnsi="Arial"/>
                <w:sz w:val="17"/>
                <w:szCs w:val="17"/>
                <w:color w:val="auto"/>
              </w:rPr>
              <w:t>Consent of Morgan, Lewis &amp; Bockius LLP (included in Exhibit 5.1).</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23.2†</w:t>
            </w:r>
          </w:p>
        </w:tc>
        <w:tc>
          <w:tcPr>
            <w:tcW w:w="8280" w:type="dxa"/>
            <w:vAlign w:val="bottom"/>
            <w:gridSpan w:val="3"/>
          </w:tcPr>
          <w:p>
            <w:pPr>
              <w:spacing w:after="0"/>
              <w:rPr>
                <w:sz w:val="20"/>
                <w:szCs w:val="20"/>
                <w:color w:val="auto"/>
              </w:rPr>
            </w:pPr>
            <w:r>
              <w:rPr>
                <w:rFonts w:ascii="Arial" w:cs="Arial" w:eastAsia="Arial" w:hAnsi="Arial"/>
                <w:sz w:val="17"/>
                <w:szCs w:val="17"/>
                <w:color w:val="auto"/>
              </w:rPr>
              <w:t>Consent of Ernst &amp; Young LLP.</w:t>
            </w:r>
          </w:p>
        </w:tc>
      </w:tr>
      <w:tr>
        <w:trPr>
          <w:trHeight w:val="446"/>
        </w:trPr>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8280" w:type="dxa"/>
            <w:vAlign w:val="bottom"/>
            <w:gridSpan w:val="3"/>
          </w:tcPr>
          <w:p>
            <w:pPr>
              <w:spacing w:after="0"/>
              <w:rPr>
                <w:sz w:val="20"/>
                <w:szCs w:val="20"/>
                <w:color w:val="auto"/>
              </w:rPr>
            </w:pPr>
            <w:r>
              <w:rPr>
                <w:rFonts w:ascii="Arial" w:cs="Arial" w:eastAsia="Arial" w:hAnsi="Arial"/>
                <w:sz w:val="17"/>
                <w:szCs w:val="17"/>
                <w:color w:val="auto"/>
              </w:rPr>
              <w:t>Powers of Attorney (included in signature page to the Registration Statement).</w:t>
            </w:r>
          </w:p>
        </w:tc>
      </w:tr>
      <w:tr>
        <w:trPr>
          <w:trHeight w:val="107"/>
        </w:trPr>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1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1680" w:hanging="533"/>
        <w:spacing w:after="0"/>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5" w:name="page196"/>
    <w:bookmarkEnd w:id="1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INC.</w:t>
      </w:r>
    </w:p>
    <w:p>
      <w:pPr>
        <w:spacing w:after="0" w:line="206"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this Company is Axsome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30"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The registered office of the Company is to be c/o Corporation Service Company, 2711 Centerville Road, Suite 400, Wilmington, New Castle County, Delaware 19808. The registered agent of the Company at such address is Corporation Service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30"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The nature of the business or purposes to be conducted or promoted is to engage in any lawful act or activity for which the Company may be organized under the General Corporation Law of Delaware.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3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total number of shares of capital stock which the Company is authorized to issue is Two Million (2,000,000) shares, all of which are to be designated “Common Stock” with a par value of $0.0001 per share.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30"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The name and mailing address of the Company’s incorporator is Herriot Tabuteau, M.D., c/o Antecip Capital LLC, 630 Fifth Avenue, Suite 2000, New York, NY 10111.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30"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To the fullest extent permitted by law, a director of the Company shall not be personally liable to the Company or its stockholders for monetary damages for breach of fiduciary duty as a director. If the General Company Law of Delaware or any other law of the State of Delaware is amended after approval by the stockholders of this Article to authorize corporate action further eliminating or limiting the personal liability of directors, then the liability of a director of the Company shall be eliminated or limited to the fullest extent permitted by the General Company Law of Delaware or such other law of the State of Delaware as so amended.</w:t>
      </w:r>
    </w:p>
    <w:p>
      <w:pPr>
        <w:spacing w:after="0" w:line="179" w:lineRule="exact"/>
        <w:rPr>
          <w:sz w:val="20"/>
          <w:szCs w:val="20"/>
          <w:color w:val="auto"/>
        </w:rPr>
      </w:pPr>
    </w:p>
    <w:p>
      <w:pPr>
        <w:jc w:val="both"/>
        <w:ind w:right="120" w:firstLine="629"/>
        <w:spacing w:after="0" w:line="298" w:lineRule="auto"/>
        <w:rPr>
          <w:sz w:val="20"/>
          <w:szCs w:val="20"/>
          <w:color w:val="auto"/>
        </w:rPr>
      </w:pPr>
      <w:r>
        <w:rPr>
          <w:rFonts w:ascii="Arial" w:cs="Arial" w:eastAsia="Arial" w:hAnsi="Arial"/>
          <w:sz w:val="16"/>
          <w:szCs w:val="16"/>
          <w:color w:val="auto"/>
        </w:rPr>
        <w:t>Any amendment, alteration, change, modification, repeal or rescission of the foregoing provisions of this Article VI by the stockholders of the Company shall not adversely affect any right or protection of a director of the Company existing at the time of, or increase the liability of any director of the Company with respect to any acts or omissions of a director of the Company occurring prior to, such amendment, alteration, change, modification, repeal or rescission.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30" w:lineRule="exact"/>
        <w:rPr>
          <w:sz w:val="20"/>
          <w:szCs w:val="20"/>
          <w:color w:val="auto"/>
        </w:rPr>
      </w:pPr>
    </w:p>
    <w:p>
      <w:pPr>
        <w:ind w:right="40" w:firstLine="629"/>
        <w:spacing w:after="0" w:line="314" w:lineRule="auto"/>
        <w:rPr>
          <w:sz w:val="20"/>
          <w:szCs w:val="20"/>
          <w:color w:val="auto"/>
        </w:rPr>
      </w:pPr>
      <w:r>
        <w:rPr>
          <w:rFonts w:ascii="Arial" w:cs="Arial" w:eastAsia="Arial" w:hAnsi="Arial"/>
          <w:sz w:val="15"/>
          <w:szCs w:val="15"/>
          <w:color w:val="auto"/>
        </w:rPr>
        <w:t>Except as otherwise provided for in Article VI and Article XII, the Company reserves the right at any time, and from time to time, to amend, alter, change, modify, repeal or rescind any provision contained in this Certificate of Incorporation, and other provisions authorized by the laws of the State of Delaware at the time in force may be added or inserted, in the manner now or hereafter prescribed by law; and all rights, preferences and privileges of whomsoever by and pursuant to this Certificate of Incorporation in its present form or as hereafter amended are granted subject to the rights reserved in this Article VII.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Election of directors need not be by written ballot unless the Bylaws of the Company shall so provide.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number of directors which shall constitute the whole Board of Directors of the Company shall be determined in the manner set forth in the Bylaws of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30" w:lineRule="exact"/>
        <w:rPr>
          <w:sz w:val="20"/>
          <w:szCs w:val="20"/>
          <w:color w:val="auto"/>
        </w:rPr>
      </w:pPr>
    </w:p>
    <w:p>
      <w:pPr>
        <w:jc w:val="both"/>
        <w:ind w:right="440" w:firstLine="629"/>
        <w:spacing w:after="0" w:line="298" w:lineRule="auto"/>
        <w:rPr>
          <w:sz w:val="20"/>
          <w:szCs w:val="20"/>
          <w:color w:val="auto"/>
        </w:rPr>
      </w:pPr>
      <w:r>
        <w:rPr>
          <w:rFonts w:ascii="Arial" w:cs="Arial" w:eastAsia="Arial" w:hAnsi="Arial"/>
          <w:sz w:val="16"/>
          <w:szCs w:val="16"/>
          <w:color w:val="auto"/>
        </w:rPr>
        <w:t>Meetings of stockholders of the Company may be held within or outside of the State of Delaware, as the Bylaws of the Company may provide. The books and records of the Company may be kept, subject to any provision contained in the statutes, within or outside of the State of Delaware at such place or places as may be designated from time to time by the Board of Directors of the Company or in the Bylaws of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3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Except as otherwise provided in this Certificate of Incorporation or in the Bylaws of the Company, in furtherance and not in limitation of the powers conferred by law, the Board of Directors of the Company is expressly authorized to make, adopt, amend, alter, change, modify, repeal or rescind any or all of the Bylaws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ectPr>
          <w:pgSz w:w="11900" w:h="16838" w:orient="portrait"/>
          <w:cols w:equalWidth="0" w:num="1">
            <w:col w:w="11420"/>
          </w:cols>
          <w:pgMar w:left="240" w:top="357" w:right="239" w:bottom="134" w:gutter="0" w:footer="0" w:header="0"/>
        </w:sectPr>
      </w:pPr>
    </w:p>
    <w:bookmarkStart w:id="197" w:name="page198"/>
    <w:bookmarkEnd w:id="197"/>
    <w:p>
      <w:pPr>
        <w:ind w:right="60" w:firstLine="629"/>
        <w:spacing w:after="0" w:line="290" w:lineRule="auto"/>
        <w:rPr>
          <w:sz w:val="20"/>
          <w:szCs w:val="20"/>
          <w:color w:val="auto"/>
        </w:rPr>
      </w:pPr>
      <w:r>
        <w:rPr>
          <w:rFonts w:ascii="Arial" w:cs="Arial" w:eastAsia="Arial" w:hAnsi="Arial"/>
          <w:sz w:val="16"/>
          <w:szCs w:val="16"/>
          <w:color w:val="auto"/>
        </w:rPr>
        <w:t>To the fullest extent permitted by applicable law, the Company is authorized to provide indemnification of (and advancement of expenses to) directors, officers and agents of the Company (and any other persons to which General Company Law of Delaware permits the Company to provide indemnification) through Bylaw provisions, agreements with such directors, officers, agents or other persons, vote of stockholders or disinterested directors or otherwise, in excess of the indemnification and advancement otherwise permitted by Section 145 of the General Company Law of Delaware.</w:t>
      </w:r>
    </w:p>
    <w:p>
      <w:pPr>
        <w:spacing w:after="0" w:line="159"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6"/>
          <w:szCs w:val="16"/>
          <w:color w:val="auto"/>
        </w:rPr>
        <w:t>Any amendment, alteration, change, modification, repeal or rescission of the foregoing provisions of this Article XII by the stockholders of the Company shall not adversely affect any right or protection of a director, officer, agent or other person of the Company existing at the time of, or increase the liability of any such director, officer, agent or other person of the Company with respect to any acts or omissions of such director, officer, agent or other person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Company occurring prior to, such amendment, alteration, change, modification, repeal or rescission.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IN WITNESS WHEREOF, the undersigned, being the incorporator hereinbefore named, has executed this Certificate of Incorporation this 11th day of January, 2012.</w:t>
      </w:r>
    </w:p>
    <w:p>
      <w:pPr>
        <w:spacing w:after="0" w:line="368"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7"/>
          <w:szCs w:val="17"/>
          <w:color w:val="auto"/>
        </w:rPr>
        <w:t>By:</w:t>
        <w:tab/>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Herriot Tabuteau, M.D.</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CERTIFICATE OF AMENDMENT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CERTIFICATE OF INCORPORATION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AXSOME THERAPEUTICS, INC.</w:t>
      </w:r>
    </w:p>
    <w:p>
      <w:pPr>
        <w:spacing w:after="0" w:line="21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undersigned, for purposes of amending the Certificate of Incorporation (the “Certificate”) of Axsome Therapeutics, Inc., a corporation organized and existing under and by virtue of the General Corporation Law of the State of Delaware, does hereby certify as follows:</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name of the Corporation is Axsome Therapeutics, Inc. (the “Company”).</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Certificate was filed with the Office of the Secretary of State of the State of Delaware on January 12, 2012.</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Article IV of the Certificate is hereby amended to read, in its entirety, as follows:</w:t>
      </w:r>
    </w:p>
    <w:p>
      <w:pPr>
        <w:spacing w:after="0" w:line="230"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“The total number of shares of capital stock which the Company is authorized to issue is three million (3,000,000) shares, all of which are to be designated “Common Stock” with a par value of $0.0001 per share.”</w:t>
      </w:r>
    </w:p>
    <w:p>
      <w:pPr>
        <w:spacing w:after="0" w:line="152"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 foregoing amendment was duly adopted by the Board of Directors and by the stockholders of the Company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provisions of Sections 228 and 242 of the General Corporation Law of the State of Delaware.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FIFTH</w:t>
      </w:r>
      <w:r>
        <w:rPr>
          <w:rFonts w:ascii="Arial" w:cs="Arial" w:eastAsia="Arial" w:hAnsi="Arial"/>
          <w:sz w:val="17"/>
          <w:szCs w:val="17"/>
          <w:color w:val="auto"/>
        </w:rPr>
        <w:t>: The Certificate of Amendment shall be deemed effective upon the date it is filed with the Delaware Secretary of State.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being a duly authorized officer of the Company, does hereby execute this Certificate of Amendment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this 15th day of April, 2015.</w:t>
      </w:r>
    </w:p>
    <w:p>
      <w:pPr>
        <w:spacing w:after="0" w:line="3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AXSOME THERAPEUTICS, INC.</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7"/>
          <w:szCs w:val="17"/>
          <w:color w:val="auto"/>
        </w:rPr>
        <w:t>By:</w:t>
        <w:tab/>
        <w:t>/s/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Herriot Tabuteau</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7"/>
          <w:szCs w:val="17"/>
          <w:b w:val="1"/>
          <w:bCs w:val="1"/>
          <w:color w:val="auto"/>
        </w:rPr>
        <w:t>Exhibit 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AXSOME THERAPEUTICS, INC.</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(A DELAWARE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ADOPTED AS OF JANUARY 12, 2012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OFFICES AND FISCAL YEAR</w:t>
      </w:r>
    </w:p>
    <w:p>
      <w:pPr>
        <w:spacing w:after="0" w:line="224"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SECTION 1.01. Registered Office.—The registered office of the corporation shall be in the City of Wilmington, County of New Castle, State of Delaware until otherwise established in the manner provided by law.</w:t>
      </w:r>
    </w:p>
    <w:p>
      <w:pPr>
        <w:spacing w:after="0" w:line="158"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SECTION 1.02. Other Offices.—The corporation may also have offices at such other places within or without the State of Delaware as the board of directors may from time to time determine or the business of the corporation requires.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1.03. Fiscal Year.—The fiscal year of the corporation shall end on the 31st of December in each year.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 WAIVERS - MEETINGS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2.01. Notice, What Constitutes.</w:t>
      </w:r>
    </w:p>
    <w:p>
      <w:pPr>
        <w:spacing w:after="0" w:line="224" w:lineRule="exact"/>
        <w:rPr>
          <w:sz w:val="20"/>
          <w:szCs w:val="20"/>
          <w:color w:val="auto"/>
        </w:rPr>
      </w:pPr>
    </w:p>
    <w:p>
      <w:pPr>
        <w:ind w:firstLine="634"/>
        <w:spacing w:after="0" w:line="285" w:lineRule="auto"/>
        <w:tabs>
          <w:tab w:leader="none" w:pos="9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Notice to Stockholders.—Whenever, under the provisions of the General Corporation Law of the State of Delaware (the “DGCL”) or the certificate of incorporation or these bylaws, notice is required to be given to any stockholder, it shall mean (i) notice in writing delivered personally or mailed to the stockholder at his address as it appears on the books of the corporation, or (ii) if consented to by the stockholder, notice by a form of communication, not directly involving the physical transmission of paper, that creates a record that may be retained, retrieved and reviewed by a recipient thereof, and that may be directly reproduced in paper form by such a recipient through an automated process (any such method, an “electronic transmission”).</w:t>
      </w:r>
    </w:p>
    <w:p>
      <w:pPr>
        <w:spacing w:after="0" w:line="166" w:lineRule="exact"/>
        <w:rPr>
          <w:rFonts w:ascii="Arial" w:cs="Arial" w:eastAsia="Arial" w:hAnsi="Arial"/>
          <w:sz w:val="16"/>
          <w:szCs w:val="16"/>
          <w:color w:val="auto"/>
        </w:rPr>
      </w:pPr>
    </w:p>
    <w:p>
      <w:pPr>
        <w:jc w:val="both"/>
        <w:ind w:right="100" w:firstLine="634"/>
        <w:spacing w:after="0" w:line="298" w:lineRule="auto"/>
        <w:tabs>
          <w:tab w:leader="none" w:pos="9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Notice to Directors.—Whenever, under the provisions of the DGCL or the certificate of incorporation or these bylaws, notice is required to be given to any director, it shall mean (i) notice in writing delivered personally or mailed (whether by United States mail, courier or other form of express delivery service) to the director at his address as it appears on the books of the corporation or (ii) if consented to by the director, notice by electronic transmission.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right="80" w:firstLine="634"/>
        <w:spacing w:after="0" w:line="279" w:lineRule="auto"/>
        <w:tabs>
          <w:tab w:leader="none" w:pos="9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When Deemed Given.—If the notice is sent by mail, it shall be deemed to be given when deposited in the United States mail, postage prepaid, directed to the stockholder or director at such stockholder’s or director’s address as it appears on the books of the corporation. If notice is given by facsimile telecommunication, it shall be deemed to be given when directed to a number at which the stockholder or director has consented to receive notice. If notice is given by electronic mail, it shall be deemed given when directed to an electronic mail address at which the stockholder or director has consented to receive notice. If notice is given by a posting on an electronic network together with separate notice to the stockholder or director of such specific posting, it shall be deemed to be given upon the later of such posting and the giving of such separate notice. If notice is given by another form of electronic transmission, it shall be deemed given when directed to the stockholder or director. Any consent to notice by electronic transmission shall be revocable by the stockholder or director by written notice to the corporation. An affidavit of the secretary or an assistant secretary or of the transfer agent or other agent of the corporation that notice has been given by a form of electronic transmission shall, in the absence of fraud, be prima facie evidence of the facts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-1590675</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3"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SECTION 2.02. Notice of Meetings of Board of Directors.—Notice of a regular meeting of the board of directors need not be given. Notice of every special meeting of the board of directors shall be given to each director either (x) in writing delivered personally or mailed (whether by United States mail, courier or other form of express delivery service) to the director at his address as it appears on the books of the corporation or (y) by electronic transmission. Notice by personal delivery or electronic transmission shall be given at least 24 hours prior to such special meeting. Notice by courier or express delivery service shall be given at least 48 hours prior to such special meeting. Notice by United States mail shall be given at least five days prior to such special meeting. Every such notice shall state the time and place of the meeting. Neither the business to be transacted at, nor the purpose of, any regular or special meeting of the board need be specified in a notice of the meeting.</w:t>
      </w:r>
    </w:p>
    <w:p>
      <w:pPr>
        <w:spacing w:after="0" w:line="184"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SECTION 2.03. Notice of Meetings of Stockholders.—Written notice of the place, if any, date and hour of every meeting of the stockholders, whether annual or special, as well as the means of remote communication, if any, by which stockholders and proxyholders may be deemed to be present in person and vote at such meeting, shall be given to each stockholder of record entitled to vote at the meeting not less than ten nor more than 60 days before the date of the meeting. Every notice of a special meeting shall state the purpose or purposes thereof.</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2.04. Waivers of Notice.</w:t>
      </w:r>
    </w:p>
    <w:p>
      <w:pPr>
        <w:spacing w:after="0" w:line="224" w:lineRule="exact"/>
        <w:rPr>
          <w:sz w:val="20"/>
          <w:szCs w:val="20"/>
          <w:color w:val="auto"/>
        </w:rPr>
      </w:pPr>
    </w:p>
    <w:p>
      <w:pPr>
        <w:ind w:firstLine="634"/>
        <w:spacing w:after="0" w:line="265" w:lineRule="auto"/>
        <w:tabs>
          <w:tab w:leader="none" w:pos="91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Written Waiver.—Whenever notice is required to be given under any provisions of the DGCL or the certificate of incorporation or these bylaws, a written waiver, signed by the person or persons entitled to the notice, or a waiver by electronic transmission by the person entitled to notice, whether before or after the time stated therein, shall be deemed equivalent to notice. Neither the business to be transacted at, nor the purpose of, any regular or special meeting of the stockholders, directors, or members of a committee of directors need be specified in any written waiver of notice of such meeting or any waiver by electronic transmission.</w:t>
      </w:r>
    </w:p>
    <w:p>
      <w:pPr>
        <w:spacing w:after="0" w:line="179" w:lineRule="exact"/>
        <w:rPr>
          <w:rFonts w:ascii="Arial" w:cs="Arial" w:eastAsia="Arial" w:hAnsi="Arial"/>
          <w:sz w:val="17"/>
          <w:szCs w:val="17"/>
          <w:color w:val="auto"/>
        </w:rPr>
      </w:pPr>
    </w:p>
    <w:p>
      <w:pPr>
        <w:ind w:right="40" w:firstLine="634"/>
        <w:spacing w:after="0" w:line="273" w:lineRule="auto"/>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Waiver by Attendance.—Attendance of a person at a meeting, either in person or by proxy, shall constitute a waiver of notice of such meeting, except where a person attends a meeting for the express purpose of objecting at the beginning of the meeting to the transaction of any business because the meeting was not lawfully called or convened.</w:t>
      </w:r>
    </w:p>
    <w:p>
      <w:pPr>
        <w:sectPr>
          <w:pgSz w:w="11900" w:h="16838" w:orient="portrait"/>
          <w:cols w:equalWidth="0" w:num="1">
            <w:col w:w="11420"/>
          </w:cols>
          <w:pgMar w:left="240" w:top="357" w:right="239" w:bottom="0" w:gutter="0" w:footer="0" w:header="0"/>
        </w:sectPr>
      </w:pPr>
    </w:p>
    <w:bookmarkStart w:id="199" w:name="page200"/>
    <w:bookmarkEnd w:id="199"/>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2.05. Exception to Requirements of Notice.</w:t>
      </w:r>
    </w:p>
    <w:p>
      <w:pPr>
        <w:spacing w:after="0" w:line="224" w:lineRule="exact"/>
        <w:rPr>
          <w:sz w:val="20"/>
          <w:szCs w:val="20"/>
          <w:color w:val="auto"/>
        </w:rPr>
      </w:pPr>
    </w:p>
    <w:p>
      <w:pPr>
        <w:ind w:right="60" w:firstLine="634"/>
        <w:spacing w:after="0" w:line="290" w:lineRule="auto"/>
        <w:tabs>
          <w:tab w:leader="none" w:pos="91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General Rule.—Whenever notice is required to be given, under any provision of the DGCL or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w:t>
      </w:r>
    </w:p>
    <w:p>
      <w:pPr>
        <w:spacing w:after="0" w:line="159" w:lineRule="exact"/>
        <w:rPr>
          <w:rFonts w:ascii="Arial" w:cs="Arial" w:eastAsia="Arial" w:hAnsi="Arial"/>
          <w:sz w:val="16"/>
          <w:szCs w:val="16"/>
          <w:color w:val="auto"/>
        </w:rPr>
      </w:pPr>
    </w:p>
    <w:p>
      <w:pPr>
        <w:ind w:right="20" w:firstLine="634"/>
        <w:spacing w:after="0" w:line="280" w:lineRule="auto"/>
        <w:tabs>
          <w:tab w:leader="none" w:pos="9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Stockholders Without Forwarding Addresses.—Whenever notice is required to be given, under any provision of the DGCL or the certificate of incorporation or these bylaws,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12 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the person’s then current address, the requirement that notice be given to such person shall be reinstated. The exception in clause (i) of this subsection (b) shall not be applicable to any notice returned as undeliverable if the notice given was by electronic transmission.</w:t>
      </w:r>
    </w:p>
    <w:p>
      <w:pPr>
        <w:spacing w:after="0" w:line="170" w:lineRule="exact"/>
        <w:rPr>
          <w:rFonts w:ascii="Arial" w:cs="Arial" w:eastAsia="Arial" w:hAnsi="Arial"/>
          <w:sz w:val="16"/>
          <w:szCs w:val="16"/>
          <w:color w:val="auto"/>
        </w:rPr>
      </w:pPr>
    </w:p>
    <w:p>
      <w:pPr>
        <w:jc w:val="both"/>
        <w:ind w:right="40" w:firstLine="634"/>
        <w:spacing w:after="0" w:line="285" w:lineRule="auto"/>
        <w:tabs>
          <w:tab w:leader="none" w:pos="91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Undeliverable Electronic Transmissions. Any consent to delivery of notice by electronic transmission shall be deemed revoked if (i) the corporation is unable to deliver by electronic transmission two consecutive notices by the corporation in accordance with such consent and (ii) such inability becomes known to the secretary or an assistant secretary of the corporation or to the transfer agent or other person responsible for the giving of notice; provided, however, that the inadvertent failure to treat such inability as a revocation shall not invalidate any meeting or other action. In the event any consent to electronic delivery is deemed revoked under this Section 2.05(c), delivery of notice shall be made by other means unless subject to an exception under subsections (a) or (b) above.</w:t>
      </w:r>
    </w:p>
    <w:p>
      <w:pPr>
        <w:spacing w:after="0" w:line="166"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SECTION 2.06. Conference Meetings.—One or more directors may participate in a meeting of the board, or of a committee of the board, by means of conference telephone or other communications equipment by means of which all persons participating in the meeting can hear each other. Participation in a meeting pursuant to this section shall constitute presence in person at such meeting.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MEETINGS OF STOCKHOLDERS</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SECTION 3.01. Place of Meeting; Participation By Remote Communication.—All meetings of the stockholders of the corporation shall be held at such place within or without the State of Delaware as shall be designated by the board of directors in the notice of such meeting. The board of directors may, in its sole discretion, determine (i) that the meeting shall not be held at any place, but shall instead be held solely by means of remote communication equipment or (ii) that in addition to being held at the place specified in the notice of the meeting, the stockholders may participate in the meeting and be deemed present in person and vote by means of remote communication. Subject to any guidelines or procedures adopted by the board of directors, stockholders and proxyholders not physically present at a meeting of stockholders but who attend by means of remote communication approved by the board of directors may participate in the meeting and be deemed present in person and vote at the meeting; provided, however, that (i) the corporation must implement reasonable measures to verify that each person deemed present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and permitted to vote at the meeting by means of remote communication is a stockholder or proxyholder, (ii) the corporation must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79"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SECTION 3.02. Annual Meeting.—The board of directors may fix and designate the date and time of the annual meeting of the stockholders, and at said meeting the stockholders then entitled to vote shall elect directors and shall transact such other business as may properly be brought before the meeting.</w:t>
      </w:r>
    </w:p>
    <w:p>
      <w:pPr>
        <w:spacing w:after="0" w:line="136"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SECTION 3.03. Special Meetings.—Special meetings of the stockholders of the corporation may be called at any time by the chairman of the board, a majority of the board of directors, the president, or at the request, in writing, of stockholders entitled to cast at least a majority of the votes that all stockholders are entitled to cast at the particular meeting. At any time, upon the written request of any person or persons who have duly called a special meeting, which written request shall state the purpose or purposes of the meeting, it shall be the duty of the secretary to fix the date of the meeting which shall be held at such date and time as the secretary may fix, not less than ten nor more than 60 days after the receipt of the request, and to give due notice thereof. If the secretary shall neglect or refuse to fix the time and date of such meeting and give notice thereof, the person or persons calling the meeting may do so.</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3.04. Quorum, Manner of Acting and Adjournment.</w:t>
      </w:r>
    </w:p>
    <w:p>
      <w:pPr>
        <w:spacing w:after="0" w:line="224" w:lineRule="exact"/>
        <w:rPr>
          <w:sz w:val="20"/>
          <w:szCs w:val="20"/>
          <w:color w:val="auto"/>
        </w:rPr>
      </w:pPr>
    </w:p>
    <w:p>
      <w:pPr>
        <w:ind w:right="60" w:firstLine="634"/>
        <w:spacing w:after="0" w:line="301" w:lineRule="auto"/>
        <w:tabs>
          <w:tab w:leader="none" w:pos="91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Quorum.—The holders of a majority in voting power of the shares entitled to vote, present in person or represented by proxy, shall constitute a quorum at all meetings of the stockholders except as otherwise provided by the DGCL, by the certificate of incorporation or by these bylaws. If a quorum is not present or represented at any meeting of the stockholders, the stockholders entitled to vote thereat, present in person or represented by proxy, shall have power to adjourn the meeting from time to time until a quorum is present or represented, without notice other than announcement at the meeting of the time and place, if any, to which the meeting has been adjourned and the means of remote communication, if any, by which stockholders and proxyholders may be deemed to be present in person and vote at such adjourned meeting. At any such adjourned meeting at which a quorum is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57" w:lineRule="exact"/>
        <w:rPr>
          <w:rFonts w:ascii="Arial" w:cs="Arial" w:eastAsia="Arial" w:hAnsi="Arial"/>
          <w:sz w:val="15"/>
          <w:szCs w:val="15"/>
          <w:color w:val="auto"/>
        </w:rPr>
      </w:pPr>
    </w:p>
    <w:p>
      <w:pPr>
        <w:ind w:firstLine="634"/>
        <w:spacing w:after="0" w:line="314" w:lineRule="auto"/>
        <w:tabs>
          <w:tab w:leader="none" w:pos="9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Manner of Acting.—Directors shall be elected by a plurality of the votes of the shares present in person or represented by proxy at the meeting and entitled to vote on the election of directors. In all matters other than the election of directors, the affirmative vote of the majority in voting power of shares present in person or represented by proxy at the meeting and entitled to vote thereon shall be the act of the stockholders, unless the question is one upon which, by express provision of the applicable statute or the certificate of incorporation, a different vote is required in which case such express provision shall govern and control the</w:t>
      </w:r>
    </w:p>
    <w:p>
      <w:pPr>
        <w:sectPr>
          <w:pgSz w:w="11900" w:h="16883" w:orient="portrait"/>
          <w:cols w:equalWidth="0" w:num="1">
            <w:col w:w="11380"/>
          </w:cols>
          <w:pgMar w:left="240" w:top="127" w:right="279" w:bottom="0" w:gutter="0" w:footer="0" w:header="0"/>
        </w:sectPr>
      </w:pPr>
    </w:p>
    <w:bookmarkStart w:id="200" w:name="page201"/>
    <w:bookmarkEnd w:id="200"/>
    <w:p>
      <w:pPr>
        <w:spacing w:after="0" w:line="3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decision of the question. The stockholders present in person or represented by proxy at a duly organized meeting can continue to do business until adjournment, notwithstanding withdrawal of enough stockholders to leave less than a quorum.</w:t>
      </w:r>
    </w:p>
    <w:p>
      <w:pPr>
        <w:spacing w:after="0" w:line="158" w:lineRule="exact"/>
        <w:rPr>
          <w:sz w:val="20"/>
          <w:szCs w:val="20"/>
          <w:color w:val="auto"/>
        </w:rPr>
      </w:pPr>
    </w:p>
    <w:p>
      <w:pPr>
        <w:ind w:right="20" w:firstLine="629"/>
        <w:spacing w:after="0" w:line="360" w:lineRule="auto"/>
        <w:rPr>
          <w:sz w:val="20"/>
          <w:szCs w:val="20"/>
          <w:color w:val="auto"/>
        </w:rPr>
      </w:pPr>
      <w:r>
        <w:rPr>
          <w:rFonts w:ascii="Arial" w:cs="Arial" w:eastAsia="Arial" w:hAnsi="Arial"/>
          <w:sz w:val="15"/>
          <w:szCs w:val="15"/>
          <w:color w:val="auto"/>
        </w:rPr>
        <w:t>SECTION 3.05. Organization.—At every meeting of the stockholders, the chairman of the board, if there be one, or in the case of a vacancy in the office or absence of the chairman of the board, one of the following persons present in the order stated: the vice chairman of the board, if one has been appointed,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the president, the vice presidents in their order of rank or seniority, a chairman designated by the board of directors or a chairman chosen by the stockholders entitled to cast a majority of the votes which all stockholders present in person or by proxy are entitled to cast, shall act as chairman of the meeting, and the secretary, or, in the absence of the secretary, an assistant secretary, or in the absence of the secretary and the assistant secretaries, a person appointed by the chairman of the meeting, shall act as secretary of the meeting.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3.06. Voting.</w:t>
      </w:r>
    </w:p>
    <w:p>
      <w:pPr>
        <w:spacing w:after="0" w:line="224" w:lineRule="exact"/>
        <w:rPr>
          <w:sz w:val="20"/>
          <w:szCs w:val="20"/>
          <w:color w:val="auto"/>
        </w:rPr>
      </w:pPr>
    </w:p>
    <w:p>
      <w:pPr>
        <w:ind w:firstLine="634"/>
        <w:spacing w:after="0" w:line="289" w:lineRule="auto"/>
        <w:tabs>
          <w:tab w:leader="none" w:pos="91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General Rule.—Unless otherwise provided in the certificate of incorporation, each stockholder shall be entitled to one vote, in person or by proxy, for each share of capital stock having voting power held by such stockholder.</w:t>
      </w:r>
    </w:p>
    <w:p>
      <w:pPr>
        <w:spacing w:after="0" w:line="158" w:lineRule="exact"/>
        <w:rPr>
          <w:rFonts w:ascii="Arial" w:cs="Arial" w:eastAsia="Arial" w:hAnsi="Arial"/>
          <w:sz w:val="17"/>
          <w:szCs w:val="17"/>
          <w:color w:val="auto"/>
        </w:rPr>
      </w:pPr>
    </w:p>
    <w:p>
      <w:pPr>
        <w:ind w:left="920" w:hanging="286"/>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Voting and Other Action by Proxy.—</w:t>
      </w:r>
    </w:p>
    <w:p>
      <w:pPr>
        <w:spacing w:after="0" w:line="224" w:lineRule="exact"/>
        <w:rPr>
          <w:rFonts w:ascii="Arial" w:cs="Arial" w:eastAsia="Arial" w:hAnsi="Arial"/>
          <w:sz w:val="17"/>
          <w:szCs w:val="17"/>
          <w:color w:val="auto"/>
        </w:rPr>
      </w:pPr>
    </w:p>
    <w:p>
      <w:pPr>
        <w:ind w:right="40" w:firstLine="1263"/>
        <w:spacing w:after="0" w:line="262" w:lineRule="auto"/>
        <w:tabs>
          <w:tab w:leader="none" w:pos="155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the stockholder as proxy. In the case of a proxy granted by execution of a writing, such execution may be accomplished by the stockholder or the authorized officer, director, employee or agent of the stockholder signing such writing or causing his or her signature to be affixed to such writing by any reasonable means including, but not limited to, by facsimile signature. A stockholder may authorize another person or persons to act for the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if such telegram, cablegram or other means of electronic transmission sets forth or is submitted with information from which it can be determined that the telegram, cablegram or other electronic transmission was authorized by the stockholder.</w:t>
      </w:r>
    </w:p>
    <w:p>
      <w:pPr>
        <w:spacing w:after="0" w:line="180" w:lineRule="exact"/>
        <w:rPr>
          <w:rFonts w:ascii="Arial" w:cs="Arial" w:eastAsia="Arial" w:hAnsi="Arial"/>
          <w:sz w:val="17"/>
          <w:szCs w:val="17"/>
          <w:color w:val="auto"/>
        </w:rPr>
      </w:pPr>
    </w:p>
    <w:p>
      <w:pPr>
        <w:ind w:left="1560" w:hanging="297"/>
        <w:spacing w:after="0"/>
        <w:tabs>
          <w:tab w:leader="none" w:pos="15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 proxy shall be voted or acted upon after three years from its date, unless the proxy provides for a longer period.</w:t>
      </w:r>
    </w:p>
    <w:p>
      <w:pPr>
        <w:spacing w:after="0" w:line="224" w:lineRule="exact"/>
        <w:rPr>
          <w:rFonts w:ascii="Arial" w:cs="Arial" w:eastAsia="Arial" w:hAnsi="Arial"/>
          <w:sz w:val="17"/>
          <w:szCs w:val="17"/>
          <w:color w:val="auto"/>
        </w:rPr>
      </w:pPr>
    </w:p>
    <w:p>
      <w:pPr>
        <w:ind w:right="20" w:firstLine="1263"/>
        <w:spacing w:after="0" w:line="273" w:lineRule="auto"/>
        <w:tabs>
          <w:tab w:leader="none" w:pos="155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 duly executed proxy shall be irrevocable if it states that it is irrevocable and if, and only so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72"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SECTION 3.07. Consent of Stockholders in Lieu of Meeting.—Any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in this section to the corporation, written consents signed by a sufficient number of holders to take action are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A telegram, cablegram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other electronic transmission consenting to an action to be taken and transmitted by a stockholder or proxyholder, or by a person or person authorized to act for a stockholder or proxyholder, shall be deemed to be written, signed and dated for purposes of this section, provided that any such telegram, cablegram or other electronic transmission sets forth or is delivered with information from which the corporation can determine (A) that the telegram, cablegram or other electronic transmission was transmitted by the stockholder or proxyholder or by a person or persons authorized to act for the stockholder or proxyholder and (B)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79" w:lineRule="exact"/>
        <w:rPr>
          <w:sz w:val="20"/>
          <w:szCs w:val="20"/>
          <w:color w:val="auto"/>
        </w:rPr>
      </w:pPr>
    </w:p>
    <w:p>
      <w:pPr>
        <w:ind w:firstLine="629"/>
        <w:spacing w:after="0" w:line="303" w:lineRule="auto"/>
        <w:rPr>
          <w:sz w:val="20"/>
          <w:szCs w:val="20"/>
          <w:color w:val="auto"/>
        </w:rPr>
      </w:pPr>
      <w:r>
        <w:rPr>
          <w:rFonts w:ascii="Arial" w:cs="Arial" w:eastAsia="Arial" w:hAnsi="Arial"/>
          <w:sz w:val="15"/>
          <w:szCs w:val="15"/>
          <w:color w:val="auto"/>
        </w:rPr>
        <w:t>SECTION 3.08. Voting Lists.—The officer who has charge of the stock ledger of the corporation shall prepare and make, at least ten days before every meeting of stockholders, a complete list of the stockholders entitled to vote at the meeting. The list shall be arranged in alphabetical order, showing the address of each stockholder and the number of shares registered in the name of each stockholder. Electronic mail addresses or other electronic contact information need not be included on such list. The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w:t>
      </w:r>
    </w:p>
    <w:p>
      <w:pPr>
        <w:sectPr>
          <w:pgSz w:w="11900" w:h="16875" w:orient="portrait"/>
          <w:cols w:equalWidth="0" w:num="1">
            <w:col w:w="11380"/>
          </w:cols>
          <w:pgMar w:left="240" w:top="127" w:right="279" w:bottom="0" w:gutter="0" w:footer="0" w:header="0"/>
        </w:sectPr>
      </w:pPr>
    </w:p>
    <w:bookmarkStart w:id="201" w:name="page202"/>
    <w:bookmarkEnd w:id="201"/>
    <w:p>
      <w:pPr>
        <w:spacing w:after="0" w:line="3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be open to the examination of any stockholder during the whole time of the meeting on a reasonably accessible electronic network, and the information required to access such list shall be provided with the notice of the meeting.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3.09. Inspectors of Election.</w:t>
      </w:r>
    </w:p>
    <w:p>
      <w:pPr>
        <w:spacing w:after="0" w:line="224" w:lineRule="exact"/>
        <w:rPr>
          <w:sz w:val="20"/>
          <w:szCs w:val="20"/>
          <w:color w:val="auto"/>
        </w:rPr>
      </w:pPr>
    </w:p>
    <w:p>
      <w:pPr>
        <w:ind w:right="160" w:firstLine="634"/>
        <w:spacing w:after="0" w:line="273" w:lineRule="auto"/>
        <w:tabs>
          <w:tab w:leader="none" w:pos="91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Appointment.—Elections of directors need not be by written ballot, and the vote upon any other matter need not be by written ballot. In advance of any meeting of stockholders the board of directors may, and if required by law shall, appoint one or more inspectors, who need not be stockholders, to act at the meeting. If inspectors are not so appointed, the chairman of the meeting may, and if required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by law shall, and upon the demand of any stockholder or his proxy at the meeting and before voting begins shall, appoint one or more inspectors. The number of inspectors shall be either one or three, as determined in the case of inspectors appointed upon demand of a stockholder or his proxy, by stockholders present entitled to cast a majority of the votes which all stockholders present are entitled to cast thereon. No person who is a candidate for office shall act as an inspector. In case any person appointed as an inspector fails to appear or fails or refuses to act, the vacancy may be filled by appointment made by the board of directors in advance of the convening of the meeting, or at the meeting by the chairman of the meeting.</w:t>
      </w:r>
    </w:p>
    <w:p>
      <w:pPr>
        <w:spacing w:after="0" w:line="179" w:lineRule="exact"/>
        <w:rPr>
          <w:sz w:val="20"/>
          <w:szCs w:val="20"/>
          <w:color w:val="auto"/>
        </w:rPr>
      </w:pPr>
    </w:p>
    <w:p>
      <w:pPr>
        <w:ind w:right="20" w:firstLine="634"/>
        <w:spacing w:after="0" w:line="265" w:lineRule="auto"/>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Duties.—If inspectors are appointed, they shall determine the number of shares outstanding and the voting power of each, the shares represented at the meeting, the existence of a quorum and the authenticity, validity and effect of proxies and ballots, shall receive votes or ballots, shall hear and determine all challenges and questions in any way arising in connection with the right to vote, shall count and tabulate all votes, shall determine the result, and shall do such acts as may be proper to conduct the election or vote with fairness to all stockholders. If there be three inspectors of election, the decision, act or certificate of a majority shall be effective in all respects as the decision, act or certificate of all.</w:t>
      </w:r>
    </w:p>
    <w:p>
      <w:pPr>
        <w:spacing w:after="0" w:line="179" w:lineRule="exact"/>
        <w:rPr>
          <w:rFonts w:ascii="Arial" w:cs="Arial" w:eastAsia="Arial" w:hAnsi="Arial"/>
          <w:sz w:val="17"/>
          <w:szCs w:val="17"/>
          <w:color w:val="auto"/>
        </w:rPr>
      </w:pPr>
    </w:p>
    <w:p>
      <w:pPr>
        <w:ind w:right="320" w:firstLine="634"/>
        <w:spacing w:after="0" w:line="289" w:lineRule="auto"/>
        <w:tabs>
          <w:tab w:leader="none" w:pos="91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Report.—On request of the chairman of the meeting or of any stockholder or his proxy, or if required by law, the inspectors shall make a report in writing of any challenge or question or matter determined by them, and execute a certificate of any fact found by them.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BOARD OF DIRECTORS</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SECTION 4.01. Powers.—All powers vested by law in the corporation shall be exercised by or under the authority of, and the business and affairs of the corporation shall be managed under the direction of, the board of directors.</w:t>
      </w:r>
    </w:p>
    <w:p>
      <w:pPr>
        <w:spacing w:after="0" w:line="15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SECTION 4.02. Number and Term of Office.—The initial director or directors of the corporation shall be the person or persons specified in the Consent of Incorporator of the corporation. Thereafter, the board of directors shall consist of such number of directors as may be determined from time to time by resolution of the board of directors. Each director shall hold office until the expiration of the term for which he or she was selected and until a successor shall have been elected and qualified or until his or her earlier death, resignation or removal. Directors need not be residents of the State of Delaware or stockholders of the corporation.</w:t>
      </w:r>
    </w:p>
    <w:p>
      <w:pPr>
        <w:spacing w:after="0" w:line="179" w:lineRule="exact"/>
        <w:rPr>
          <w:sz w:val="20"/>
          <w:szCs w:val="20"/>
          <w:color w:val="auto"/>
        </w:rPr>
      </w:pPr>
    </w:p>
    <w:p>
      <w:pPr>
        <w:ind w:right="120" w:firstLine="629"/>
        <w:spacing w:after="0" w:line="261" w:lineRule="auto"/>
        <w:rPr>
          <w:sz w:val="20"/>
          <w:szCs w:val="20"/>
          <w:color w:val="auto"/>
        </w:rPr>
      </w:pPr>
      <w:r>
        <w:rPr>
          <w:rFonts w:ascii="Arial" w:cs="Arial" w:eastAsia="Arial" w:hAnsi="Arial"/>
          <w:sz w:val="17"/>
          <w:szCs w:val="17"/>
          <w:color w:val="auto"/>
        </w:rPr>
        <w:t>SECTION 4.03. Vacancies.—Vacancies and newly created directorships resulting from any increase in the authorized number of directors elected by all of the stockholders having a right to vote as a single class may be filled by a majority of the directors then in office, though less than a quorum, or by a sole remaining director, and the directors so chosen shall hold office until their successors are elected and qualified or until their earlier death, resignation or removal. If there are no directors in office, then an election of directors may be held in the manner provided by statute.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of the total number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shares at the time outstanding having the right to vote for such directors, summarily order an election to be held to fill any such vacancies or newly created directorships, or to replace the directors chosen by the directors then in office.</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SECTION 4.04. Resignations.—Any director may resign at any time upon notice given in writing or by electronic transmission to the corporation. The resignation shall be effective upon receipt thereof by the corporation or at such subsequent time as shall be specified in the notice of resignation and, unless otherwise specified in the notice, the acceptance of the resignation shall not be necessary to make it effective.</w:t>
      </w:r>
    </w:p>
    <w:p>
      <w:pPr>
        <w:spacing w:after="0" w:line="172"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SECTION 4.05. Removal.—Any director or the entire board of directors may, unless otherwise provided by law, be removed with or without cause by the holders of shares entitled to cast a majority of the votes which all stockholders are entitled to cast at an election of directors.</w:t>
      </w:r>
    </w:p>
    <w:p>
      <w:pPr>
        <w:spacing w:after="0" w:line="158"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SECTION 4.06. Organization.—At every meeting of the board of directors, the chairman of the board, if there be one, or, in the case of a vacancy in the office or absence of the chairman of the board, one of the following officers present in the order stated: the vice chairman of the board, if there be one, the president, the vice presidents in their order of rank and seniority, or a chairman of the meeting chosen by a majority of the directors present, shall preside, and the secretary, or, in the absence of the secretary, an assistant secretary, or in the absence of the secretary and the assistant secretaries, any person appointed by the chairman of the meeting, shall act as secretary of the meeting.</w:t>
      </w:r>
    </w:p>
    <w:p>
      <w:pPr>
        <w:spacing w:after="0" w:line="179"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SECTION 4.07. Place of Meeting.—Meetings of the board of directors shall be held at such place within or without the State of Delaware as the board of directors may from time to time determine, or as may be designated in the notice of the meeting.</w:t>
      </w:r>
    </w:p>
    <w:p>
      <w:pPr>
        <w:spacing w:after="0" w:line="158"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SECTION 4.08. Regular Meetings.—Regular meetings of the board of directors shall be held without notice at such time and place as shall be designated from time to time by resolution of the board of directors.</w:t>
      </w:r>
    </w:p>
    <w:p>
      <w:pPr>
        <w:sectPr>
          <w:pgSz w:w="11900" w:h="16871" w:orient="portrait"/>
          <w:cols w:equalWidth="0" w:num="1">
            <w:col w:w="11420"/>
          </w:cols>
          <w:pgMar w:left="240" w:top="127" w:right="239" w:bottom="0" w:gutter="0" w:footer="0" w:header="0"/>
        </w:sectPr>
      </w:pPr>
    </w:p>
    <w:bookmarkStart w:id="202" w:name="page203"/>
    <w:bookmarkEnd w:id="202"/>
    <w:p>
      <w:pPr>
        <w:spacing w:after="0" w:line="6"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SECTION 4.09. Special Meetings.—Special meetings of the board of directors shall be held whenever called by the president or by two or more of the directors.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4.10. Quorum, Manner of Acting and Adjournment.</w:t>
      </w:r>
    </w:p>
    <w:p>
      <w:pPr>
        <w:spacing w:after="0" w:line="224" w:lineRule="exact"/>
        <w:rPr>
          <w:sz w:val="20"/>
          <w:szCs w:val="20"/>
          <w:color w:val="auto"/>
        </w:rPr>
      </w:pPr>
    </w:p>
    <w:p>
      <w:pPr>
        <w:ind w:right="80" w:firstLine="634"/>
        <w:spacing w:after="0" w:line="290" w:lineRule="auto"/>
        <w:tabs>
          <w:tab w:leader="none" w:pos="91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General Rule.—At all meetings of the board a majority of the total number of directors shall constitute a quorum for the transaction of business. The vote of a majority of the directors present at any meeting at which a quorum is present shall be the act of the board of directors, except as may be otherwise specifically provided by the DGCL or by the certificate of incorporation. If a quorum is not present at any meeting of the board of directors, the directors present thereat may adjourn the meeting from time to time, without notice other than announcement at the meeting, until a quorum is present.</w:t>
      </w:r>
    </w:p>
    <w:p>
      <w:pPr>
        <w:spacing w:after="0" w:line="159" w:lineRule="exact"/>
        <w:rPr>
          <w:rFonts w:ascii="Arial" w:cs="Arial" w:eastAsia="Arial" w:hAnsi="Arial"/>
          <w:sz w:val="16"/>
          <w:szCs w:val="16"/>
          <w:color w:val="auto"/>
        </w:rPr>
      </w:pPr>
    </w:p>
    <w:p>
      <w:pPr>
        <w:jc w:val="both"/>
        <w:ind w:right="360" w:firstLine="634"/>
        <w:spacing w:after="0" w:line="290" w:lineRule="auto"/>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Unanimous Written Consent.—Unless otherwise restricted by the certificate of incorporation, any action required or permitted to be taken at any meeting of the board of directors may be taken without a meeting, if all members of the board consent thereto in writing or by electronic transmission, and the writing or writings or electronic transmission or transmissions are filed with the minutes of proceedings of the board. Such filing shall be in paper form if the minutes are maintained in paper form and shall be in electronic form if the minutes are maintained in electronic form.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4.11. Executive and Other Committees.</w:t>
      </w:r>
    </w:p>
    <w:p>
      <w:pPr>
        <w:spacing w:after="0" w:line="224" w:lineRule="exact"/>
        <w:rPr>
          <w:sz w:val="20"/>
          <w:szCs w:val="20"/>
          <w:color w:val="auto"/>
        </w:rPr>
      </w:pPr>
    </w:p>
    <w:p>
      <w:pPr>
        <w:ind w:right="120" w:firstLine="634"/>
        <w:spacing w:after="0" w:line="285" w:lineRule="auto"/>
        <w:tabs>
          <w:tab w:leader="none" w:pos="91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Establishment.—The board of directors may, by resolution, establish an Executive Committee and one or more other committees, each committee to consist of one or more directors. The board may designate one or more directors as alternate members of any committee, who may replace any absent or disqualified member at any meeting of the committee. In the absence or disqualification of a member of a committee and the alternate or alternates, if any, designated for such member, the member or members of the committee present at any meeting and not disqualified from voting, whether or not they constitute a quorum, may unanimously appoint another director to act at the meeting in the place of any such absent or disqualified member.</w:t>
      </w:r>
    </w:p>
    <w:p>
      <w:pPr>
        <w:spacing w:after="0" w:line="166" w:lineRule="exact"/>
        <w:rPr>
          <w:rFonts w:ascii="Arial" w:cs="Arial" w:eastAsia="Arial" w:hAnsi="Arial"/>
          <w:sz w:val="16"/>
          <w:szCs w:val="16"/>
          <w:color w:val="auto"/>
        </w:rPr>
      </w:pPr>
    </w:p>
    <w:p>
      <w:pPr>
        <w:ind w:right="160" w:firstLine="634"/>
        <w:spacing w:after="0" w:line="297" w:lineRule="auto"/>
        <w:tabs>
          <w:tab w:leader="none" w:pos="920" w:val="left"/>
        </w:tabs>
        <w:numPr>
          <w:ilvl w:val="1"/>
          <w:numId w:val="114"/>
        </w:numPr>
        <w:rPr>
          <w:rFonts w:ascii="Arial" w:cs="Arial" w:eastAsia="Arial" w:hAnsi="Arial"/>
          <w:sz w:val="15"/>
          <w:szCs w:val="15"/>
          <w:color w:val="auto"/>
        </w:rPr>
      </w:pPr>
      <w:r>
        <w:rPr>
          <w:rFonts w:ascii="Arial" w:cs="Arial" w:eastAsia="Arial" w:hAnsi="Arial"/>
          <w:sz w:val="15"/>
          <w:szCs w:val="15"/>
          <w:color w:val="auto"/>
        </w:rPr>
        <w:t>Powers.—The Executive Committee, if established, and any such other committee to the extent provided in the resolution establishing such committee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right="100" w:firstLine="5"/>
        <w:spacing w:after="0" w:line="261" w:lineRule="auto"/>
        <w:tabs>
          <w:tab w:leader="none" w:pos="20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expressly required by the DGCL to be submitted to stockholders for approval, or (ii) adopting, amending or repealing any bylaw of the corporation. The Executive Committee shall, without limitation, have the power and authority to declare dividends, to authorize the issuance of stock and to adopt a certificate of ownership and merger pursuant to Section 253 of the DGCL (provided that no vote of stockholders of the corporation is required for the effectuation of such merger). Other committees shall have such names as may be determined from time to time by resolution adopted by the board of directors. Each committee so formed shall keep regular minutes of its meetings and report the same to the board of directors when required.</w:t>
      </w:r>
    </w:p>
    <w:p>
      <w:pPr>
        <w:spacing w:after="0" w:line="180" w:lineRule="exact"/>
        <w:rPr>
          <w:rFonts w:ascii="Arial" w:cs="Arial" w:eastAsia="Arial" w:hAnsi="Arial"/>
          <w:sz w:val="17"/>
          <w:szCs w:val="17"/>
          <w:color w:val="auto"/>
        </w:rPr>
      </w:pPr>
    </w:p>
    <w:p>
      <w:pPr>
        <w:ind w:right="580" w:firstLine="634"/>
        <w:spacing w:after="0" w:line="273" w:lineRule="auto"/>
        <w:tabs>
          <w:tab w:leader="none" w:pos="911"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Committee Procedures.—The term “board of directors” or “board,” when used in any provision of these bylaws relating to the organization or procedures of or the manner of taking action by the board of directors, shall be construed to include and refer to the Executive Committee and any other committees of the board.</w:t>
      </w:r>
    </w:p>
    <w:p>
      <w:pPr>
        <w:spacing w:after="0" w:line="172"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SECTION 4.12. Compensation of Directors.—Unless otherwise restricted by the certificate of incorporation, the board of directors shall have the authority to fix the compensation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OFFICERS</w:t>
      </w:r>
    </w:p>
    <w:p>
      <w:pPr>
        <w:spacing w:after="0" w:line="224"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SECTION 5.01. Number, Qualifications and Designation.—The officers of the corporation shall be chosen by the board of directors and shall include a president, a secretary, a treasurer, and such other officers as may be elected in accordance with the provisions of Section 5.03 of this Article V. Any number of offices may be held by the same person. Officers may, but need not, be directors or stockholders of the corporation. The board of directors may elect from among the members of the board a chairman of the board and a vice chairman of the board who shall be officers of the corporation. The chairman of the board or the president, as designated from time to time by the board of directors, shall be the chief executive officer of the corporation.</w:t>
      </w:r>
    </w:p>
    <w:p>
      <w:pPr>
        <w:spacing w:after="0" w:line="166" w:lineRule="exact"/>
        <w:rPr>
          <w:sz w:val="20"/>
          <w:szCs w:val="20"/>
          <w:color w:val="auto"/>
        </w:rPr>
      </w:pPr>
    </w:p>
    <w:p>
      <w:pPr>
        <w:jc w:val="both"/>
        <w:ind w:right="240" w:firstLine="629"/>
        <w:spacing w:after="0" w:line="298" w:lineRule="auto"/>
        <w:rPr>
          <w:sz w:val="20"/>
          <w:szCs w:val="20"/>
          <w:color w:val="auto"/>
        </w:rPr>
      </w:pPr>
      <w:r>
        <w:rPr>
          <w:rFonts w:ascii="Arial" w:cs="Arial" w:eastAsia="Arial" w:hAnsi="Arial"/>
          <w:sz w:val="16"/>
          <w:szCs w:val="16"/>
          <w:color w:val="auto"/>
        </w:rPr>
        <w:t>SECTION 5.02. Election and Term of Office.—The officers of the corporation, except those elected by delegated authority pursuant to section 5.03 of this Article, shall be elected annually by the board of directors, and each such officer shall hold office for a term of one year and until a successor is elected and qualified, or until his or her earlier resignation or removal. Any officer may resign at any time upon written notice to the corporation.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SECTION 5.03. Subordinate Officers, Committees and Agents.—The board of directors may from time to time elect such other officers and appoint such committees, employees or other agents as it deems necessary, who shall hold their offices for such terms and shall exercise such powers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179"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SECTION 5.04. The Chairman and Vice Chairman of the Board.—The chairman of the board, if there be one, or in the absence of the chairman, the vice chairman of the board, if there be one, shall preside at all meetings of the stockholders and of the board of directors, and shall perform such other duties as may from time to time be assigned to them by the board of directors.</w:t>
      </w:r>
    </w:p>
    <w:p>
      <w:pPr>
        <w:spacing w:after="0" w:line="172" w:lineRule="exact"/>
        <w:rPr>
          <w:sz w:val="20"/>
          <w:szCs w:val="20"/>
          <w:color w:val="auto"/>
        </w:rPr>
      </w:pPr>
    </w:p>
    <w:p>
      <w:pPr>
        <w:ind w:right="180" w:firstLine="629"/>
        <w:spacing w:after="0" w:line="298" w:lineRule="auto"/>
        <w:rPr>
          <w:sz w:val="20"/>
          <w:szCs w:val="20"/>
          <w:color w:val="auto"/>
        </w:rPr>
      </w:pPr>
      <w:r>
        <w:rPr>
          <w:rFonts w:ascii="Arial" w:cs="Arial" w:eastAsia="Arial" w:hAnsi="Arial"/>
          <w:sz w:val="16"/>
          <w:szCs w:val="16"/>
          <w:color w:val="auto"/>
        </w:rPr>
        <w:t>SECTION 5.05. The President.—The president shall have general supervision over the business and operations of the corporation, subject, however, to the control of the board of directors. The president shall, in general, perform all duties incident to the office of president, and such other duties as from time to time may be assigned by the board of directors and, if the chairman of the board is the chief executive officer, the chairman of the board.</w:t>
      </w:r>
    </w:p>
    <w:p>
      <w:pPr>
        <w:spacing w:after="0" w:line="15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SECTION 5.06. The Vice Presidents.—The vice presidents, if there be any, shall perform the duties of the president in the absence of the president and such other duties as may from time to time be assigned to them by the board of directors or by the president.</w:t>
      </w:r>
    </w:p>
    <w:p>
      <w:pPr>
        <w:sectPr>
          <w:pgSz w:w="11900" w:h="16844" w:orient="portrait"/>
          <w:cols w:equalWidth="0" w:num="1">
            <w:col w:w="11420"/>
          </w:cols>
          <w:pgMar w:left="240" w:top="337" w:right="239" w:bottom="0" w:gutter="0" w:footer="0" w:header="0"/>
        </w:sectPr>
      </w:pPr>
    </w:p>
    <w:bookmarkStart w:id="203" w:name="page204"/>
    <w:bookmarkEnd w:id="203"/>
    <w:p>
      <w:pPr>
        <w:spacing w:after="0" w:line="55"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SECTION 5.07. The Secretary.—The secretary, or an assistant secretary, shall attend all meetings of the stockholders and of the board of directors and shall record the proceedings of the stockholders and of the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president.</w:t>
      </w:r>
    </w:p>
    <w:p>
      <w:pPr>
        <w:spacing w:after="0" w:line="166"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color w:val="auto"/>
        </w:rPr>
        <w:t>SECTION 5.08. The Treasurer.—The treasurer, or an assistant treasurer, shall have or provide for the custody of the funds or other property of the corporation; shall collect and receive or provide for the collection and receipt of moneys earned by or in any manner due to or received by the corporation; shall deposit all funds in his or her custody as treasurer in such banks or other places of deposit as the board of directors may from time to time designate; whenever so required by the board of directors, shall render an account showing his or her transactions as treasurer and the financial condition of the corporation; and, in general, shall discharge such other duties as may from time to time be assigned by the board of directors or the president.</w:t>
      </w:r>
    </w:p>
    <w:p>
      <w:pPr>
        <w:spacing w:after="0" w:line="166" w:lineRule="exact"/>
        <w:rPr>
          <w:sz w:val="20"/>
          <w:szCs w:val="20"/>
          <w:color w:val="auto"/>
        </w:rPr>
      </w:pPr>
    </w:p>
    <w:p>
      <w:pPr>
        <w:jc w:val="both"/>
        <w:ind w:right="40" w:firstLine="629"/>
        <w:spacing w:after="0" w:line="298" w:lineRule="auto"/>
        <w:rPr>
          <w:sz w:val="20"/>
          <w:szCs w:val="20"/>
          <w:color w:val="auto"/>
        </w:rPr>
      </w:pPr>
      <w:r>
        <w:rPr>
          <w:rFonts w:ascii="Arial" w:cs="Arial" w:eastAsia="Arial" w:hAnsi="Arial"/>
          <w:sz w:val="16"/>
          <w:szCs w:val="16"/>
          <w:color w:val="auto"/>
        </w:rPr>
        <w:t>SECTION 5.09. Officers’ Bonds.—No officer of the corporation need provide a bond to guarantee the faithful discharge of the officer’s duties unless the board of directors shall by resolution so require a bond in which event such officer shall give the corporation a bond (which shall be renewed if and as required) in such sum and with such surety or sureties as shall be satisfactory to the board of directors for the faithful performance of the duties of office.</w:t>
      </w:r>
    </w:p>
    <w:p>
      <w:pPr>
        <w:spacing w:after="0" w:line="15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SECTION 5.10. Salaries.—The salaries of the officers and agents of the corporation elected by the board of directors shall be fixed from time to time by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CERTIFICATES OF STOCK, TRANSFER, ETC.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6.01. Form and Issuance.</w:t>
      </w:r>
    </w:p>
    <w:p>
      <w:pPr>
        <w:spacing w:after="0" w:line="224" w:lineRule="exact"/>
        <w:rPr>
          <w:sz w:val="20"/>
          <w:szCs w:val="20"/>
          <w:color w:val="auto"/>
        </w:rPr>
      </w:pPr>
    </w:p>
    <w:p>
      <w:pPr>
        <w:ind w:right="80" w:firstLine="634"/>
        <w:spacing w:after="0" w:line="263" w:lineRule="auto"/>
        <w:tabs>
          <w:tab w:leader="none" w:pos="9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Issuance.—The shares of the corporation shall be represented by certificates unless the board of directors shall by resolution provide that some or all of any class or series of stock shall be uncertificated shares. Any such resolution shall not apply to shares represented by a certificate until the certificate is surrendered to the corporation. Notwithstanding the adoption of any resolution providing for uncertificated shares, every holder of stock represented by certificates and upon request every holder of uncertificated shares shall be entitled to have a certificate signed by, or in the name of the corporation by, the chairman or vice chairman of the board of directors, or the president or vice president, and by the treasurer or an assistant treasurer, or the secretary or an assistant secretary, representing the number of shares registered in certificate form.</w:t>
      </w:r>
    </w:p>
    <w:p>
      <w:pPr>
        <w:spacing w:after="0" w:line="183" w:lineRule="exact"/>
        <w:rPr>
          <w:rFonts w:ascii="Arial" w:cs="Arial" w:eastAsia="Arial" w:hAnsi="Arial"/>
          <w:sz w:val="17"/>
          <w:szCs w:val="17"/>
          <w:color w:val="auto"/>
        </w:rPr>
      </w:pPr>
    </w:p>
    <w:p>
      <w:pPr>
        <w:ind w:firstLine="634"/>
        <w:spacing w:after="0" w:line="273"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Form and Records.—Stock certificates of the corporation shall be in such form as approved by the board of directors. The stock record books and the blank stock certificate books shall be kept by the secretary or by any agency designated by the board of directors for that purpose. The stock certificates of the corporation shall be numbered and registered in the stock ledger and transfer books of the corporation as they are issued.</w:t>
      </w:r>
    </w:p>
    <w:p>
      <w:pPr>
        <w:spacing w:after="0" w:line="171" w:lineRule="exact"/>
        <w:rPr>
          <w:rFonts w:ascii="Arial" w:cs="Arial" w:eastAsia="Arial" w:hAnsi="Arial"/>
          <w:sz w:val="17"/>
          <w:szCs w:val="17"/>
          <w:color w:val="auto"/>
        </w:rPr>
      </w:pPr>
    </w:p>
    <w:p>
      <w:pPr>
        <w:ind w:right="180" w:firstLine="634"/>
        <w:spacing w:after="0" w:line="326" w:lineRule="auto"/>
        <w:tabs>
          <w:tab w:leader="none" w:pos="911"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Signatures.—Any of or all the signatures upon the stock certificates of the corporation may be a facsimile. In case any officer, transfer agent or registrar who has signed, or whose facsimile signature has been placed upon, any share certificate shall have ceased to be such officer, transfer agent or registrar, before the certificate is issued, it may be issued with the same effect as if the signatory were such officer, transfer agent or registrar at the date of its issue.</w:t>
      </w:r>
    </w:p>
    <w:p>
      <w:pPr>
        <w:spacing w:after="0" w:line="136"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SECTION 6.02. Transfer.—Transfers of shares shall be made on the share register or transfer books of the corporation upon surrender of the certificate therefor, endorsed by the person named in the certificate or by an attorney lawfully constituted in writing. No transfer shall be made which would be inconsistent with the provisions of Article 8, Title 6 of the Delaware Uniform Commercial Code-Investment Securities.</w:t>
      </w:r>
    </w:p>
    <w:p>
      <w:pPr>
        <w:spacing w:after="0" w:line="172"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SECTION 6.03. Lost, Stolen, Destroyed or Mutilated Certificates.—The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the legal representative of the owner, to give the corporation a bond sufficient to indemnify against any claim that may be made against the corporation on account of the alleged loss, theft or destruction of such certificate or the issuance of such new certificate or uncertificated shares.</w:t>
      </w:r>
    </w:p>
    <w:p>
      <w:pPr>
        <w:spacing w:after="0" w:line="167"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SECTION 6.04. Record Holder of Shares.—The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6.05. Determination of Stockholders of Record.</w:t>
      </w:r>
    </w:p>
    <w:p>
      <w:pPr>
        <w:spacing w:after="0" w:line="224" w:lineRule="exact"/>
        <w:rPr>
          <w:sz w:val="20"/>
          <w:szCs w:val="20"/>
          <w:color w:val="auto"/>
        </w:rPr>
      </w:pPr>
    </w:p>
    <w:p>
      <w:pPr>
        <w:ind w:right="20" w:firstLine="634"/>
        <w:spacing w:after="0" w:line="281" w:lineRule="auto"/>
        <w:tabs>
          <w:tab w:leader="none" w:pos="9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Meetings of Stockholders.—In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the board of directors fixes a new record date for the adjourned meeting.</w:t>
      </w:r>
    </w:p>
    <w:p>
      <w:pPr>
        <w:spacing w:after="0" w:line="170" w:lineRule="exact"/>
        <w:rPr>
          <w:rFonts w:ascii="Arial" w:cs="Arial" w:eastAsia="Arial" w:hAnsi="Arial"/>
          <w:sz w:val="16"/>
          <w:szCs w:val="16"/>
          <w:color w:val="auto"/>
        </w:rPr>
      </w:pPr>
    </w:p>
    <w:p>
      <w:pPr>
        <w:jc w:val="both"/>
        <w:ind w:right="200" w:firstLine="634"/>
        <w:spacing w:after="0" w:line="326" w:lineRule="auto"/>
        <w:tabs>
          <w:tab w:leader="none" w:pos="9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Consent of Stockholders.—In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w:t>
      </w:r>
    </w:p>
    <w:p>
      <w:pPr>
        <w:sectPr>
          <w:pgSz w:w="11900" w:h="16893" w:orient="portrait"/>
          <w:cols w:equalWidth="0" w:num="1">
            <w:col w:w="11420"/>
          </w:cols>
          <w:pgMar w:left="240" w:top="337" w:right="239" w:bottom="0" w:gutter="0" w:footer="0" w:header="0"/>
        </w:sectPr>
      </w:pPr>
    </w:p>
    <w:bookmarkStart w:id="204" w:name="page205"/>
    <w:bookmarkEnd w:id="204"/>
    <w:p>
      <w:pPr>
        <w:ind w:right="20"/>
        <w:spacing w:after="0" w:line="281" w:lineRule="auto"/>
        <w:rPr>
          <w:sz w:val="20"/>
          <w:szCs w:val="20"/>
          <w:color w:val="auto"/>
        </w:rPr>
      </w:pPr>
      <w:r>
        <w:rPr>
          <w:rFonts w:ascii="Arial" w:cs="Arial" w:eastAsia="Arial" w:hAnsi="Arial"/>
          <w:sz w:val="16"/>
          <w:szCs w:val="16"/>
          <w:color w:val="auto"/>
        </w:rPr>
        <w:t>directors. If no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170" w:lineRule="exact"/>
        <w:rPr>
          <w:sz w:val="20"/>
          <w:szCs w:val="20"/>
          <w:color w:val="auto"/>
        </w:rPr>
      </w:pPr>
    </w:p>
    <w:p>
      <w:pPr>
        <w:ind w:right="20" w:firstLine="634"/>
        <w:spacing w:after="0" w:line="285" w:lineRule="auto"/>
        <w:tabs>
          <w:tab w:leader="none" w:pos="91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Dividends.—In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INDEMNIFICATION</w:t>
      </w:r>
    </w:p>
    <w:p>
      <w:pPr>
        <w:spacing w:after="0" w:line="22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SECTION 7.01. Right to Indemnification.—The corporation shall indemnify and hold harmless, to the fullest extent permitted by applicable 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officer of the corporation or, while a director or officer of the corporation, is or was serving at the request of the corporation as a director, officer, employee or agent of another corporation or of a partnership, joint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venture, trust, enterprise or nonprofit entity, including service with respect to employee benefit plans, against all liability and loss suffered and expenses (including attorneys’ fees) reasonably incurred by such Indemnitee. Notwithstanding the preceding sentence, except as otherwise provided in Section 7.03, the corporation shall be required to indemnify an Indemnitee in connection with a proceeding (or part thereof) commenced by such Indemnitee only if the commencement of such proceeding (or part thereof) by the Indemnitee was authorized by the board of directors of the corporation.</w:t>
      </w:r>
    </w:p>
    <w:p>
      <w:pPr>
        <w:spacing w:after="0" w:line="176"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SECTION 7.02. Prepayment of Expenses.—The corporation shall pay the expenses (including attorneys’ fees) incurred by an Indemnitee in defending any proceeding in advance of its final disposition, provided, however,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Article VII or otherwise.</w:t>
      </w:r>
    </w:p>
    <w:p>
      <w:pPr>
        <w:spacing w:after="0" w:line="176" w:lineRule="exact"/>
        <w:rPr>
          <w:sz w:val="20"/>
          <w:szCs w:val="20"/>
          <w:color w:val="auto"/>
        </w:rPr>
      </w:pPr>
    </w:p>
    <w:p>
      <w:pPr>
        <w:ind w:right="40" w:firstLine="629"/>
        <w:spacing w:after="0" w:line="290" w:lineRule="auto"/>
        <w:rPr>
          <w:sz w:val="20"/>
          <w:szCs w:val="20"/>
          <w:color w:val="auto"/>
        </w:rPr>
      </w:pPr>
      <w:r>
        <w:rPr>
          <w:rFonts w:ascii="Arial" w:cs="Arial" w:eastAsia="Arial" w:hAnsi="Arial"/>
          <w:sz w:val="16"/>
          <w:szCs w:val="16"/>
          <w:color w:val="auto"/>
        </w:rPr>
        <w:t>SECTION 7.03. Claims.—If a claim for indemnification or payment of expenses under this Article VII is not paid in full within sixty days after a written claim therefor by the Indemnitee has been received by the corporation, the Indemnitee may file suit to recover the unpaid amount of such claim and, if successful in whole or in part, shall be entitled to be paid the expense of (including reasonable attorneys’ fees) prosecuting such claim. In any such action the corporation shall have the burden of proving that the Indemnitee is not entitled to the requested indemnification or payment of expenses under applicable law.</w:t>
      </w:r>
    </w:p>
    <w:p>
      <w:pPr>
        <w:spacing w:after="0" w:line="159"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SECTION 7.04. Nonexclusivity of Rights.—The rights conferred on any Indemnitee by this Article VII shall not be exclusive of any other rights which such Indemnitee may have or hereafter acquire under any statute, provision of the certificate of incorporation, these bylaws, agreement, vote of stockholders or disinterested directors or otherwise.</w:t>
      </w:r>
    </w:p>
    <w:p>
      <w:pPr>
        <w:spacing w:after="0" w:line="172" w:lineRule="exact"/>
        <w:rPr>
          <w:sz w:val="20"/>
          <w:szCs w:val="20"/>
          <w:color w:val="auto"/>
        </w:rPr>
      </w:pPr>
    </w:p>
    <w:p>
      <w:pPr>
        <w:jc w:val="both"/>
        <w:ind w:right="200" w:firstLine="629"/>
        <w:spacing w:after="0" w:line="268" w:lineRule="auto"/>
        <w:rPr>
          <w:sz w:val="20"/>
          <w:szCs w:val="20"/>
          <w:color w:val="auto"/>
        </w:rPr>
      </w:pPr>
      <w:r>
        <w:rPr>
          <w:rFonts w:ascii="Arial" w:cs="Arial" w:eastAsia="Arial" w:hAnsi="Arial"/>
          <w:sz w:val="17"/>
          <w:szCs w:val="17"/>
          <w:color w:val="auto"/>
        </w:rPr>
        <w:t>SECTION 7.05. Other Sources.—The corporation’s obligation, if any, to indemnify or to advance expenses to any Indemnitee who was or is serving at its request as a director, officer, employee or agent of another corporation, partnership, joint venture, trust, enterprise or nonprofit entity shall be reduced by any amount such Indemnitee may collect as indemnification or advancement of expenses from such other corporation, partnership, joint venture, trust, enterprise or nonprofit entity.</w:t>
      </w:r>
    </w:p>
    <w:p>
      <w:pPr>
        <w:spacing w:after="0" w:line="176"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SECTION 7.06. Amendment or Repeal.—Any repeal or modification of the foregoing provisions of this Article VII shall not adversely affect any right or protection hereunder of any Indemnitee in respect of any act or omission occurring prior to the time of such repeal or modification.</w:t>
      </w:r>
    </w:p>
    <w:p>
      <w:pPr>
        <w:spacing w:after="0" w:line="158" w:lineRule="exact"/>
        <w:rPr>
          <w:sz w:val="20"/>
          <w:szCs w:val="20"/>
          <w:color w:val="auto"/>
        </w:rPr>
      </w:pPr>
    </w:p>
    <w:p>
      <w:pPr>
        <w:ind w:right="240" w:firstLine="629"/>
        <w:spacing w:after="0" w:line="360" w:lineRule="auto"/>
        <w:rPr>
          <w:sz w:val="20"/>
          <w:szCs w:val="20"/>
          <w:color w:val="auto"/>
        </w:rPr>
      </w:pPr>
      <w:r>
        <w:rPr>
          <w:rFonts w:ascii="Arial" w:cs="Arial" w:eastAsia="Arial" w:hAnsi="Arial"/>
          <w:sz w:val="15"/>
          <w:szCs w:val="15"/>
          <w:color w:val="auto"/>
        </w:rPr>
        <w:t>SECTION 7.07. Other Indemnification and Prepayment of Expenses.—This Article VII shall not limit the right of the corporation, to the extent and in the manner permitted by law, to indemnify and to advance expenses to persons other than Indemnitees when and as authorized by appropriate corporate action.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PROVISIONS</w:t>
      </w:r>
    </w:p>
    <w:p>
      <w:pPr>
        <w:spacing w:after="0" w:line="224"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SECTION 8.01. Dividends.—Subject to the restrictions contained in the DGCL and any restrictions contained in the certificate of incorporation, the board of directors may declare and pay dividends upon the shares of capital stock of the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40" w:firstLine="629"/>
        <w:spacing w:after="0" w:line="273" w:lineRule="auto"/>
        <w:rPr>
          <w:sz w:val="20"/>
          <w:szCs w:val="20"/>
          <w:color w:val="auto"/>
        </w:rPr>
      </w:pPr>
      <w:r>
        <w:rPr>
          <w:rFonts w:ascii="Arial" w:cs="Arial" w:eastAsia="Arial" w:hAnsi="Arial"/>
          <w:sz w:val="17"/>
          <w:szCs w:val="17"/>
          <w:color w:val="auto"/>
        </w:rPr>
        <w:t>SECTION 8.02. Contracts.—Except as otherwise provided in these bylaws, the board of directors may authorize any officer or officers including the chairman and vice chairman of the board of directors, or any agent or agents, to enter into any contract or to execute or deliver any instrument on behalf of the corporation and such authority may be general or confined to specific instances.</w:t>
      </w:r>
    </w:p>
    <w:p>
      <w:pPr>
        <w:spacing w:after="0" w:line="172"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SECTION 8.03. Corporate Seal.—The corporation shall have a corporate seal, which shall have inscribed thereon the name of the corporation, the year of its organization and the words “Corporate Seal, Delaware”. The seal may be used by causing it or a facsimile thereof to be impressed or affixed or in any other manner reproduced.</w:t>
      </w:r>
    </w:p>
    <w:p>
      <w:pPr>
        <w:sectPr>
          <w:pgSz w:w="11900" w:h="16838" w:orient="portrait"/>
          <w:cols w:equalWidth="0" w:num="1">
            <w:col w:w="11420"/>
          </w:cols>
          <w:pgMar w:left="240" w:top="127" w:right="239" w:bottom="36" w:gutter="0" w:footer="0" w:header="0"/>
        </w:sectPr>
      </w:pPr>
    </w:p>
    <w:bookmarkStart w:id="205" w:name="page206"/>
    <w:bookmarkEnd w:id="205"/>
    <w:p>
      <w:pPr>
        <w:ind w:firstLine="629"/>
        <w:spacing w:after="0" w:line="273" w:lineRule="auto"/>
        <w:rPr>
          <w:sz w:val="20"/>
          <w:szCs w:val="20"/>
          <w:color w:val="auto"/>
        </w:rPr>
      </w:pPr>
      <w:r>
        <w:rPr>
          <w:rFonts w:ascii="Arial" w:cs="Arial" w:eastAsia="Arial" w:hAnsi="Arial"/>
          <w:sz w:val="17"/>
          <w:szCs w:val="17"/>
          <w:color w:val="auto"/>
        </w:rPr>
        <w:t>SECTION 8.04. Deposits.—All funds of the corporation shall be deposited from time to time to the credit of the corporation in such banks, trust companies, or other depositories as the board of directors may approve or designate, and all such funds shall be withdrawn only upon checks signed by such one or more officers or employees as the board of directors shall from time to time determine.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8.05. Corporate Records.</w:t>
      </w:r>
    </w:p>
    <w:p>
      <w:pPr>
        <w:spacing w:after="0" w:line="224" w:lineRule="exact"/>
        <w:rPr>
          <w:sz w:val="20"/>
          <w:szCs w:val="20"/>
          <w:color w:val="auto"/>
        </w:rPr>
      </w:pPr>
    </w:p>
    <w:p>
      <w:pPr>
        <w:ind w:right="20" w:firstLine="634"/>
        <w:spacing w:after="0" w:line="278" w:lineRule="auto"/>
        <w:tabs>
          <w:tab w:leader="none" w:pos="125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Examination by Stockholders.—Every stockholder shall, upon written demand under oath stating the purpose thereof, have a right to examine, in person or by agent or attorney, during the usual hours for business, for any proper purpose, the stock ledger, list of stockholders, books or records of account, and records of the proceedings of the stockholders and directors of the corporation, and to make copies or extracts therefrom.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Delaware or at its principal place of business. Where the stockholder seeks to inspect the books and records of the corporation, other than its stock ledger or list of stockholders, the stockholder shall first establish (1) that the stockholder has complied with the provisions of this section respecting the form and manner of making demand for inspection of such documents; and (2) that the inspection sought is for a proper purpose. Where the stockholder seeks to inspect the stock ledger or list of stockholders of the corporation and has complied with the provisions of this section respecting the form and manner of making demand for inspection of such documents, the burden of proof shall be upon the corporation to establish that the inspection sought is for an improper purpose.</w:t>
      </w:r>
    </w:p>
    <w:p>
      <w:pPr>
        <w:spacing w:after="0" w:line="172" w:lineRule="exact"/>
        <w:rPr>
          <w:rFonts w:ascii="Arial" w:cs="Arial" w:eastAsia="Arial" w:hAnsi="Arial"/>
          <w:sz w:val="16"/>
          <w:szCs w:val="16"/>
          <w:color w:val="auto"/>
        </w:rPr>
      </w:pPr>
    </w:p>
    <w:p>
      <w:pPr>
        <w:ind w:right="120" w:firstLine="634"/>
        <w:spacing w:after="0" w:line="289" w:lineRule="auto"/>
        <w:tabs>
          <w:tab w:leader="none" w:pos="96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Examination by Directors.—Any director shall have the right to examine the corporation’s stock ledger, a list of its stockholders and its other books and records for a purpose reasonably related to the person’s position as a director.</w:t>
      </w:r>
    </w:p>
    <w:p>
      <w:pPr>
        <w:spacing w:after="0" w:line="158"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color w:val="auto"/>
        </w:rPr>
        <w:t>SECTION 8.06. Amendment of Bylaws.—These bylaws may be altered, amended or repealed or new bylaws may be adopted either (1) by vote of the stockholders at a duly organized annual or special meeting of stockholders, or (2) by vote of a majority of the board of directors at any regular or special meeting of directors if such power is conferred upon the board of directors by the certificate of incorporation.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4.2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NUMBER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ind w:left="3120"/>
        <w:spacing w:after="0"/>
        <w:tabs>
          <w:tab w:leader="none" w:pos="5740" w:val="left"/>
        </w:tabs>
        <w:rPr>
          <w:sz w:val="20"/>
          <w:szCs w:val="20"/>
          <w:color w:val="auto"/>
        </w:rPr>
      </w:pPr>
      <w:r>
        <w:rPr>
          <w:rFonts w:ascii="Arial" w:cs="Arial" w:eastAsia="Arial" w:hAnsi="Arial"/>
          <w:sz w:val="17"/>
          <w:szCs w:val="17"/>
          <w:b w:val="1"/>
          <w:bCs w:val="1"/>
          <w:color w:val="auto"/>
        </w:rPr>
        <w:t>WARRANT TO PURCHASE</w:t>
      </w:r>
      <w:r>
        <w:rPr>
          <w:sz w:val="20"/>
          <w:szCs w:val="20"/>
          <w:color w:val="auto"/>
        </w:rPr>
        <w:tab/>
      </w:r>
      <w:r>
        <w:rPr>
          <w:rFonts w:ascii="Arial" w:cs="Arial" w:eastAsia="Arial" w:hAnsi="Arial"/>
          <w:sz w:val="17"/>
          <w:szCs w:val="17"/>
          <w:b w:val="1"/>
          <w:bCs w:val="1"/>
          <w:color w:val="auto"/>
        </w:rPr>
        <w:t>SHARES OF COMMON STOCK</w:t>
      </w:r>
    </w:p>
    <w:p>
      <w:pPr>
        <w:spacing w:after="0" w:line="230" w:lineRule="exact"/>
        <w:rPr>
          <w:sz w:val="20"/>
          <w:szCs w:val="20"/>
          <w:color w:val="auto"/>
        </w:rPr>
      </w:pPr>
    </w:p>
    <w:p>
      <w:pPr>
        <w:ind w:left="640" w:right="80"/>
        <w:spacing w:after="0" w:line="285" w:lineRule="auto"/>
        <w:rPr>
          <w:sz w:val="20"/>
          <w:szCs w:val="20"/>
          <w:color w:val="auto"/>
        </w:rPr>
      </w:pPr>
      <w:r>
        <w:rPr>
          <w:rFonts w:ascii="Arial" w:cs="Arial" w:eastAsia="Arial" w:hAnsi="Arial"/>
          <w:sz w:val="16"/>
          <w:szCs w:val="16"/>
          <w:color w:val="auto"/>
        </w:rPr>
        <w:t>NEITHER THIS WARRANT NOR THE SHARES ISSUABLE UPON ITS EXERCISE HAVE BEEN REGISTERED UNDER EITHER THE SECURITIES ACT OF 1933, AS AMENDED (THE “SECURITIES ACT”) OR THE SECURITIES LAWS OF ANY STATE AND MAY NOT BE SOLD, OFFERED FOR SALE, TRANSFERRED, ASSIGNED, PLEDGED OR HYPOTHECATED IN THE ABSENCE OF AN EFFECTIVE REGISTRATION STATEMENT WITH RESPECT TO THE SECURITIES UNDER THE SECURITIES ACT OR ANY APPLICABLE STATE SECURITIES LAWS OR AN OPINION OF COUNSEL SATISFACTORY TO THE COMPANY THAT SUCH REGISTRATION IS NOT REQUIRED.</w:t>
      </w:r>
    </w:p>
    <w:p>
      <w:pPr>
        <w:spacing w:after="0" w:line="166" w:lineRule="exact"/>
        <w:rPr>
          <w:sz w:val="20"/>
          <w:szCs w:val="20"/>
          <w:color w:val="auto"/>
        </w:rPr>
      </w:pPr>
    </w:p>
    <w:p>
      <w:pPr>
        <w:ind w:right="240" w:firstLine="629"/>
        <w:spacing w:after="0" w:line="264" w:lineRule="auto"/>
        <w:rPr>
          <w:sz w:val="20"/>
          <w:szCs w:val="20"/>
          <w:color w:val="auto"/>
        </w:rPr>
      </w:pPr>
      <w:r>
        <w:rPr>
          <w:rFonts w:ascii="Arial" w:cs="Arial" w:eastAsia="Arial" w:hAnsi="Arial"/>
          <w:sz w:val="17"/>
          <w:szCs w:val="17"/>
          <w:color w:val="auto"/>
        </w:rPr>
        <w:t>THIS CERTIFIES THAT, for value received, as of October 29, 2013 (the “Date of Issue”), (the “Holder”), is entitled to purchase, subject to the conditions set forth below, at any time during the Exercise Period (as defined in Section 1.1 below), up to shares (“Shares”) of fully paid and non-</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assessable common stock, $0.0001 par value (“Common Stock”), of Axsome Therapeutics, Inc., a Delaware Corporation (the “Company”), at $9.55 per share (the “Warrant Price”), subject to the further provisions of this Warrant.</w:t>
      </w:r>
    </w:p>
    <w:p>
      <w:pPr>
        <w:spacing w:after="0" w:line="163" w:lineRule="exact"/>
        <w:rPr>
          <w:sz w:val="20"/>
          <w:szCs w:val="20"/>
          <w:color w:val="auto"/>
        </w:rPr>
      </w:pPr>
    </w:p>
    <w:p>
      <w:pPr>
        <w:ind w:left="640" w:hanging="635"/>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EXERCISE OF WARRANT</w:t>
      </w:r>
    </w:p>
    <w:p>
      <w:pPr>
        <w:spacing w:after="0" w:line="230"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terms and conditions upon which this Warrant may be exercised, and the Common Stock covered hereby may be purchased, are as set forth above and as follows:</w:t>
      </w:r>
    </w:p>
    <w:p>
      <w:pPr>
        <w:spacing w:after="0" w:line="158"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The Holder of this Warrant may, at any time or from time to time, during the period ending five years from the Date of Issue, unless extended by the Company in its sole discretion (the “Exercise Period”), exercise this Warrant for all or part of the Shares that may be purchased hereunder, as that number may be adjusted pursuant to Section 4 of this Warrant. The Company agrees that the Shares purchased under this Warrant shall be and are deemed to be issued to the Holder hereof as the record owner of such Warrant Units as of the close of business on the date on which the exercise of this Warrant is effected by:</w:t>
      </w:r>
    </w:p>
    <w:p>
      <w:pPr>
        <w:spacing w:after="0" w:line="179" w:lineRule="exact"/>
        <w:rPr>
          <w:sz w:val="20"/>
          <w:szCs w:val="20"/>
          <w:color w:val="auto"/>
        </w:rPr>
      </w:pPr>
    </w:p>
    <w:p>
      <w:pPr>
        <w:ind w:left="1880" w:hanging="617"/>
        <w:spacing w:after="0"/>
        <w:tabs>
          <w:tab w:leader="none" w:pos="1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surrender of the Warrant to the Secretary of the Company at its principal offices; and</w:t>
      </w:r>
    </w:p>
    <w:p>
      <w:pPr>
        <w:spacing w:after="0" w:line="224" w:lineRule="exact"/>
        <w:rPr>
          <w:rFonts w:ascii="Arial" w:cs="Arial" w:eastAsia="Arial" w:hAnsi="Arial"/>
          <w:sz w:val="17"/>
          <w:szCs w:val="17"/>
          <w:color w:val="auto"/>
        </w:rPr>
      </w:pPr>
    </w:p>
    <w:p>
      <w:pPr>
        <w:ind w:firstLine="1263"/>
        <w:spacing w:after="0" w:line="289" w:lineRule="auto"/>
        <w:tabs>
          <w:tab w:leader="none" w:pos="18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payment to the Company, by certified check or bank draft payable to its order, of an amount equal to the aggregate Warrant Price for the number of Shares for which the purchase rights hereunder are being exercised.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Satisfaction with Requirements of Securities Act of 1933</w:t>
      </w:r>
      <w:r>
        <w:rPr>
          <w:rFonts w:ascii="Arial" w:cs="Arial" w:eastAsia="Arial" w:hAnsi="Arial"/>
          <w:sz w:val="17"/>
          <w:szCs w:val="17"/>
          <w:color w:val="auto"/>
        </w:rPr>
        <w:t>. Notwithstanding the provisions of Section 7, exercise of this Warrant is contingent upon the Company’s satisfaction that the issuance of Common Stock upon the exercise is exempt from the requirements of the Securities Act of 1933, as amended (the “Securities Act”) and all applicable state securities laws. The Holder of this Warrant agrees to execute any and all documents deemed necessary by the Company to effect the exercise of this Warrant, including an instrument executed by the Holder certifying that the Shares are being acquired for the sole account of the Holder and not with a view to any resale or distribution.</w:t>
      </w:r>
    </w:p>
    <w:p>
      <w:pPr>
        <w:spacing w:after="0" w:line="179"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Issuance of Shares</w:t>
      </w:r>
      <w:r>
        <w:rPr>
          <w:rFonts w:ascii="Arial" w:cs="Arial" w:eastAsia="Arial" w:hAnsi="Arial"/>
          <w:sz w:val="16"/>
          <w:szCs w:val="16"/>
          <w:color w:val="auto"/>
        </w:rPr>
        <w:t>. Certificates for the shares so purchased, together with any other securities or property to which the Holder is entitled upon such exercise, shall be delivered to the Holder by the Company at the Company’s expense as soon as practicable after the rights represented by this Warrant have been so exercised, but in any event not later than twenty (20) days following the date of exercise. In case of a purchase of less than all the Shares which may be purchased under this Warrant, the Company shall cancel this Warrant and execute and deliver to the Holder within a reasonable time a new Warrant or Warrants of like tenor for the balance of the Shares purchasable under the Warrant surrendered upon exercise. Each certificate delivered to Holder shall be registered in the name of Holder or Holder’s designees pursuant to the Form of Warrant Exercise attached hereto.</w:t>
      </w:r>
    </w:p>
    <w:p>
      <w:pPr>
        <w:spacing w:after="0" w:line="167"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Covenant</w:t>
      </w:r>
      <w:r>
        <w:rPr>
          <w:rFonts w:ascii="Arial" w:cs="Arial" w:eastAsia="Arial" w:hAnsi="Arial"/>
          <w:sz w:val="17"/>
          <w:szCs w:val="17"/>
          <w:color w:val="auto"/>
        </w:rPr>
        <w:t>. The Company covenants and agrees that all shares of the Company’s common stock will, upon issuance on exercise of this Warrant, be duly authorized, validly issued, fully-paid and nonassessable, and free of all preemptive rights, liens and encumbrances, except for restrictions on transfer provided for herein and in the Company’s organizational documents, as amended from time to time.</w:t>
      </w:r>
    </w:p>
    <w:p>
      <w:pPr>
        <w:spacing w:after="0" w:line="166" w:lineRule="exact"/>
        <w:rPr>
          <w:sz w:val="20"/>
          <w:szCs w:val="20"/>
          <w:color w:val="auto"/>
        </w:rPr>
      </w:pPr>
    </w:p>
    <w:p>
      <w:pPr>
        <w:ind w:left="640" w:hanging="635"/>
        <w:spacing w:after="0"/>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TRANSFERS</w:t>
      </w:r>
    </w:p>
    <w:p>
      <w:pPr>
        <w:spacing w:after="0" w:line="230" w:lineRule="exact"/>
        <w:rPr>
          <w:sz w:val="20"/>
          <w:szCs w:val="20"/>
          <w:color w:val="auto"/>
        </w:rPr>
      </w:pPr>
    </w:p>
    <w:p>
      <w:pPr>
        <w:ind w:right="80" w:firstLine="629"/>
        <w:spacing w:after="0" w:line="305" w:lineRule="auto"/>
        <w:rPr>
          <w:sz w:val="20"/>
          <w:szCs w:val="20"/>
          <w:color w:val="auto"/>
        </w:rPr>
      </w:pPr>
      <w:r>
        <w:rPr>
          <w:rFonts w:ascii="Arial" w:cs="Arial" w:eastAsia="Arial" w:hAnsi="Arial"/>
          <w:sz w:val="15"/>
          <w:szCs w:val="15"/>
          <w:color w:val="auto"/>
        </w:rPr>
        <w:t>The Holder represents that by accepting this Warrant it understands that this Warrant and any securities obtainable upon exercise of this Warrant have not been registered for sale under Federal or state securities laws and are being offered and sold to the Holder pursuant to one or more exemptions from the registration requirements of such securities laws. In the absence of an effective registration of such securities or an exemption therefrom, any certificates for such securities shall bear the legend set forth on the first page hereof. The Holder understands that it must bear the economic risk of its investment in this Warrant and any securities obtainable upon exercise of this Warrant for an indefinite period of time, as this Warrant and such securities have not been registered under Federal or state securities laws and therefore cannot be sold unless subsequently registered under such laws, unless an exemption from such registration is available.</w:t>
      </w:r>
    </w:p>
    <w:p>
      <w:pPr>
        <w:spacing w:after="0" w:line="147" w:lineRule="exact"/>
        <w:rPr>
          <w:sz w:val="20"/>
          <w:szCs w:val="20"/>
          <w:color w:val="auto"/>
        </w:rPr>
      </w:pPr>
    </w:p>
    <w:p>
      <w:pPr>
        <w:ind w:left="640" w:hanging="635"/>
        <w:spacing w:after="0"/>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FRACTIONAL SHARES</w:t>
      </w:r>
    </w:p>
    <w:p>
      <w:pPr>
        <w:spacing w:after="0" w:line="230"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Notwithstanding that the number of Shares purchasable upon the exercise of this Warrant may have been adjusted pursuant to the terms hereof, the Company shall nonetheless not be required to issue fractions of Shares upon exercise of this Warrant or to distribute certificates that evidence fractional shares nor shall the Company be required to make any cash payments in lieu thereof upon exercise of this Warrant. Holder hereby waives any right to receive fractional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207" w:name="page208"/>
    <w:bookmarkEnd w:id="207"/>
    <w:p>
      <w:pPr>
        <w:ind w:left="640" w:hanging="635"/>
        <w:spacing w:after="0"/>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ANTIDILUTION PROVISIONS</w:t>
      </w:r>
    </w:p>
    <w:p>
      <w:pPr>
        <w:spacing w:after="0" w:line="230"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Splits and Combinations</w:t>
      </w:r>
      <w:r>
        <w:rPr>
          <w:rFonts w:ascii="Arial" w:cs="Arial" w:eastAsia="Arial" w:hAnsi="Arial"/>
          <w:sz w:val="17"/>
          <w:szCs w:val="17"/>
          <w:color w:val="auto"/>
        </w:rPr>
        <w:t>. If the Company shall at any time subdivide or combine its outstanding shares of Common Stock, this Warrant shall, after that subdivision or combination, evidence the right to purchase the number of shares of Common Stock that would have been issuable as a result of that change with respect to the shares of Common Stock which were purchasable under this Warrant immediately before that subdivision or combination. If the Company shall at any time subdivide the outstanding shares of Common Stock, the Warrant Price then in effect immediately before that subdivision shall be proportionately decreased, and, if the Company shall at any time combine the outstanding shares of Common Stock, the Warrant Price then in effect immediately before that combination shall be proportionately increased. Any adjustment under this section shall become effective at the close of business on the date the subdivision or combination becomes effective.</w:t>
      </w:r>
    </w:p>
    <w:p>
      <w:pPr>
        <w:spacing w:after="0" w:line="18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Reclassification, Exchange And Substitution</w:t>
      </w:r>
      <w:r>
        <w:rPr>
          <w:rFonts w:ascii="Arial" w:cs="Arial" w:eastAsia="Arial" w:hAnsi="Arial"/>
          <w:sz w:val="17"/>
          <w:szCs w:val="17"/>
          <w:color w:val="auto"/>
        </w:rPr>
        <w:t>. If the Common Stock issuable upon exercise of this Warrant shall be changed into the same or a different number of shares of any other class or classes of stock, whether by capital reorganization, reclassification, or otherwise (other than a subdivision or combination of shares provided for above), the Holder of this Warrant shall, on its exercise, be entitled to purchase for the same aggregate consideration, in lieu of the Common Stock that the Holder would have become entitled to purchase but for such change, a number of shares of such other class or classes of stock equivalent to the number of shares of Common Stock that would have been subject to purchase by the Holder on exercise of this Warrant immediately before that change.</w:t>
      </w:r>
    </w:p>
    <w:p>
      <w:pPr>
        <w:spacing w:after="0" w:line="183" w:lineRule="exact"/>
        <w:rPr>
          <w:sz w:val="20"/>
          <w:szCs w:val="20"/>
          <w:color w:val="auto"/>
        </w:rPr>
      </w:pPr>
    </w:p>
    <w:p>
      <w:pPr>
        <w:ind w:right="20" w:firstLine="629"/>
        <w:spacing w:after="0" w:line="297"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Reorganizations, Mergers, Consolidations or Sale of Assets</w:t>
      </w:r>
      <w:r>
        <w:rPr>
          <w:rFonts w:ascii="Arial" w:cs="Arial" w:eastAsia="Arial" w:hAnsi="Arial"/>
          <w:sz w:val="15"/>
          <w:szCs w:val="15"/>
          <w:color w:val="auto"/>
        </w:rPr>
        <w:t>. If at any time there shall be a capital reorganization of the Company’s Common Stock (other than a combination, reclassification, exchange, or subdivision of shares provided for elsewhere above) or merger or consolidation of the Company with or into another entity, or the sale of the Company’s properties and assets as, or substantially as, an entirety to any other person or entity, then, as a part of such reorganization, merger, consolidation or sale, lawful provision shall be made so that the Holder of this Warrant shall thereafter be entitled to receive upon exercise of this Warrant, during the period specified in this Warrant and upon payment of the Warrant Price then in effect, the number of shares of Common Stock or other securities or property of the Company, or of the successor entity resulting from such merger or consolidation, to which a holder of the Common Stock deliverable upon exercise of this Warrant would have been entitled in such capital reorganization, merger, or consolidation or sale if this Warrant had been exercised immediately before that capital reorganization, merger, consolidation, or sale. In any such case, appropriate adjustment (as determined in good faith by the Company’s Board of Directors) shall be made in the application of the provisions of this Warrant with respect to the rights and interests of the Holder of this Warrant after the reorganization, merger, consolidation, or sale to the end that the provisions of this Warrant (including adjustment of the Warrant Price then in effect and number of Shares purchasable upon exercise of this Warrant) shall be applicable after that event, as near as reasonably may be, in relation to any shares or other property deliverable after that event upon exercise of this Warrant. The Company shall, within thirty (30) days after making such adjustment, give written notice (by first class mail, postage prepaid) to the Holder of this Warrant at the address of the Holder shown on the Company’s books. That notice shall set forth,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reasonable detail, the event requiring the adjustment and the method by which the adjustment was calculated, and specify the Warrant Price then in effect after the adjustment and the increased or decreased number of Shares purchasable upon exercise of this Warrant. When appropriate, that notice may be given in advance and include as part of the notice required under other provisions of this Warrant.</w:t>
      </w:r>
    </w:p>
    <w:p>
      <w:pPr>
        <w:spacing w:after="0" w:line="17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Reservation of Stock Issuable Upon Exercise</w:t>
      </w:r>
      <w:r>
        <w:rPr>
          <w:rFonts w:ascii="Arial" w:cs="Arial" w:eastAsia="Arial" w:hAnsi="Arial"/>
          <w:sz w:val="17"/>
          <w:szCs w:val="17"/>
          <w:color w:val="auto"/>
        </w:rPr>
        <w:t>. The Company shall at all times reserve and keep available out of its authorized but unissued shares of Common Stock solely for the purpose of effecting the exercise of this Warrant such number of its shares of Common Stock as shall from time to time be sufficient to effect the exercise of this Warrant and if at any time the number of authorized but unissued shares of Common Stock shall not be sufficient to effect the exercise of this Warrant, in addition to such other remedies as shall be available to the Holder of this Warrant, the Company will use its best efforts to take such corporate action as may, in the opinion of its counsel, be necessary to increase its authorized but un-issued shares of Common Stock to such number of shares as shall be sufficient for such purposes.</w:t>
      </w:r>
    </w:p>
    <w:p>
      <w:pPr>
        <w:spacing w:after="0" w:line="177" w:lineRule="exact"/>
        <w:rPr>
          <w:sz w:val="20"/>
          <w:szCs w:val="20"/>
          <w:color w:val="auto"/>
        </w:rPr>
      </w:pPr>
    </w:p>
    <w:p>
      <w:pPr>
        <w:ind w:left="640" w:hanging="635"/>
        <w:spacing w:after="0"/>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RIGHTS PRIOR TO EXERCISE OF WARRANT</w:t>
      </w:r>
    </w:p>
    <w:p>
      <w:pPr>
        <w:spacing w:after="0" w:line="230"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This Warrant does not entitle the Holder to any of the rights of a stockholder of the Company, including without limitation, the right to receive dividends or other distributions, to exercise any preemptive rights, to vote, or to consent or to receive notice as a stockholder of the Company. If, however, at any time prior to the termination of this Warrant and prior to its exercise, any of the following events shall occur:</w:t>
      </w:r>
    </w:p>
    <w:p>
      <w:pPr>
        <w:spacing w:after="0" w:line="172" w:lineRule="exact"/>
        <w:rPr>
          <w:sz w:val="20"/>
          <w:szCs w:val="20"/>
          <w:color w:val="auto"/>
        </w:rPr>
      </w:pPr>
    </w:p>
    <w:p>
      <w:pPr>
        <w:ind w:right="320" w:firstLine="1263"/>
        <w:spacing w:after="0" w:line="289" w:lineRule="auto"/>
        <w:tabs>
          <w:tab w:leader="none" w:pos="188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shall declare any dividend payable in any securities upon its shares of Common Stock or make any distribution (other than a regular cash dividend) to the Holders of its shares of Common Stock; or</w:t>
      </w:r>
    </w:p>
    <w:p>
      <w:pPr>
        <w:spacing w:after="0" w:line="158" w:lineRule="exact"/>
        <w:rPr>
          <w:rFonts w:ascii="Arial" w:cs="Arial" w:eastAsia="Arial" w:hAnsi="Arial"/>
          <w:sz w:val="17"/>
          <w:szCs w:val="17"/>
          <w:color w:val="auto"/>
        </w:rPr>
      </w:pPr>
    </w:p>
    <w:p>
      <w:pPr>
        <w:ind w:right="40" w:firstLine="1263"/>
        <w:spacing w:after="0" w:line="289" w:lineRule="auto"/>
        <w:tabs>
          <w:tab w:leader="none" w:pos="18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shall offer to the holders of its shares of Common Stock any additional shares of Common Stock or securities convertible into or exchangeable for shares of Common Stock or any right to subscribe for or purchase any thereof; or</w:t>
      </w:r>
    </w:p>
    <w:p>
      <w:pPr>
        <w:spacing w:after="0" w:line="158" w:lineRule="exact"/>
        <w:rPr>
          <w:rFonts w:ascii="Arial" w:cs="Arial" w:eastAsia="Arial" w:hAnsi="Arial"/>
          <w:sz w:val="17"/>
          <w:szCs w:val="17"/>
          <w:color w:val="auto"/>
        </w:rPr>
      </w:pPr>
    </w:p>
    <w:p>
      <w:pPr>
        <w:ind w:firstLine="1263"/>
        <w:spacing w:after="0" w:line="273" w:lineRule="auto"/>
        <w:tabs>
          <w:tab w:leader="none" w:pos="189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dissolution, liquidation or winding up of the Company (other than in connection with a consolidation, merger, sale, transfer or lease of all or substantially all of its property, assets and business as an entirety) shall be proposed and action by the Company with respect thereto has been approved by the Company’s Board of Directors;</w:t>
      </w:r>
    </w:p>
    <w:p>
      <w:pPr>
        <w:spacing w:after="0" w:line="17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then in any one or more of said events the Company shall give notice in writing of such event to the Holder at the last address of the Holder as it shall appear on the Company’s records at least twenty (20) days prior to the date fixed as a record date or the date of closing the transfer books for the determination of the stockholders entitled to such dividends, distribution, or subscription rights, or for the determination of stockholders entitled to vote on such proposed dissolution, liquidation or winding up. Such notice shall specify such record date or the date of closing the transfer books, as the case may be. Failure to publish, mail or receive such notice or any defect therein or in the publication or mailing thereof shall not affect the validity of any action taken in connection with such dividend, distribution or subscription rights, or such proposed dissolution, liquidation or winding up. Each person in whose name any certificate for shares of Common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Stock is to be issued shall for all purposes be deemed to have become the holder of record of such shares on the date on which this instrument was surrendered and payment of the Warrant Price was made, irrespective of the date of delivery of such stock certificate, except that, if the date of such surrender and payment is a date when the stock transfer books of the Company are closed, such person shall be deemed to have become the holder of such shares of Common Stock at the close of business on the next succeeding date on which the stock transfer books are open.</w:t>
      </w:r>
    </w:p>
    <w:p>
      <w:pPr>
        <w:sectPr>
          <w:pgSz w:w="11900" w:h="16838" w:orient="portrait"/>
          <w:cols w:equalWidth="0" w:num="1">
            <w:col w:w="11400"/>
          </w:cols>
          <w:pgMar w:left="240" w:top="121" w:right="259" w:bottom="0" w:gutter="0" w:footer="0" w:header="0"/>
        </w:sectPr>
      </w:pPr>
    </w:p>
    <w:bookmarkStart w:id="208" w:name="page209"/>
    <w:bookmarkEnd w:id="208"/>
    <w:p>
      <w:pPr>
        <w:ind w:left="640" w:hanging="635"/>
        <w:spacing w:after="0"/>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SUCCESSORS AND ASSIGNS</w:t>
      </w:r>
    </w:p>
    <w:p>
      <w:pPr>
        <w:spacing w:after="0" w:line="230"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terms and provisions of this Warrant shall inure to the benefit of, and be binding upon, the Company and the Holder hereof and their respective successors and permitted assigns.</w:t>
      </w:r>
    </w:p>
    <w:p>
      <w:pPr>
        <w:spacing w:after="0" w:line="152" w:lineRule="exact"/>
        <w:rPr>
          <w:sz w:val="20"/>
          <w:szCs w:val="20"/>
          <w:color w:val="auto"/>
        </w:rPr>
      </w:pPr>
    </w:p>
    <w:p>
      <w:pPr>
        <w:ind w:left="640" w:hanging="635"/>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RESTRICTED SECURITIES</w:t>
      </w:r>
    </w:p>
    <w:p>
      <w:pPr>
        <w:spacing w:after="0" w:line="230" w:lineRule="exact"/>
        <w:rPr>
          <w:sz w:val="20"/>
          <w:szCs w:val="20"/>
          <w:color w:val="auto"/>
        </w:rPr>
      </w:pPr>
    </w:p>
    <w:p>
      <w:pPr>
        <w:ind w:right="80" w:firstLine="669"/>
        <w:spacing w:after="0" w:line="273" w:lineRule="auto"/>
        <w:rPr>
          <w:sz w:val="20"/>
          <w:szCs w:val="20"/>
          <w:color w:val="auto"/>
        </w:rPr>
      </w:pPr>
      <w:r>
        <w:rPr>
          <w:rFonts w:ascii="Arial" w:cs="Arial" w:eastAsia="Arial" w:hAnsi="Arial"/>
          <w:sz w:val="17"/>
          <w:szCs w:val="17"/>
          <w:color w:val="auto"/>
        </w:rPr>
        <w:t>The Holder acknowledges that this Warrant is, and each of the shares of Common Stock issuable upon the due exercise hereof will be, a restricted security, that he understands the provisions of Rule 144 of the Securities and Exchange Commission, and that the certificate or certificates evidencing such shares of Common Stock will bear a legend substantially similar to the following:</w:t>
      </w:r>
    </w:p>
    <w:p>
      <w:pPr>
        <w:spacing w:after="0" w:line="172" w:lineRule="exact"/>
        <w:rPr>
          <w:sz w:val="20"/>
          <w:szCs w:val="20"/>
          <w:color w:val="auto"/>
        </w:rPr>
      </w:pPr>
    </w:p>
    <w:p>
      <w:pPr>
        <w:ind w:left="640" w:right="100"/>
        <w:spacing w:after="0" w:line="298" w:lineRule="auto"/>
        <w:rPr>
          <w:sz w:val="20"/>
          <w:szCs w:val="20"/>
          <w:color w:val="auto"/>
        </w:rPr>
      </w:pPr>
      <w:r>
        <w:rPr>
          <w:rFonts w:ascii="Arial" w:cs="Arial" w:eastAsia="Arial" w:hAnsi="Arial"/>
          <w:sz w:val="16"/>
          <w:szCs w:val="16"/>
          <w:color w:val="auto"/>
        </w:rPr>
        <w:t>“The shares represented by this certificate have not been registered under the Securities Act of 1933, as amended, or under the securities laws of any state. They may not be sold, transferred or otherwise disposed of in the absence of an effective registration statement covering these securities under the said Act or laws, or an opinion of counsel satisfactory to the Company and its counsel that registration is not required thereunder.”</w:t>
      </w:r>
    </w:p>
    <w:p>
      <w:pPr>
        <w:spacing w:after="0" w:line="154"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Holder agrees that the terms of Sections 1.3 to 1.23 of the Note Purchase Agreement by and between the Company and Brandon L. Jones dated as of the date hereof (the “Note Purchase Agreement”) apply to Holder as if Holder was a Subscriber (as defined in the Note Purchase Agreement).</w:t>
      </w:r>
    </w:p>
    <w:p>
      <w:pPr>
        <w:spacing w:after="0" w:line="130" w:lineRule="exact"/>
        <w:rPr>
          <w:sz w:val="20"/>
          <w:szCs w:val="20"/>
          <w:color w:val="auto"/>
        </w:rPr>
      </w:pPr>
    </w:p>
    <w:p>
      <w:pPr>
        <w:ind w:left="640" w:hanging="635"/>
        <w:spacing w:after="0"/>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LOSS OR MUTILATION</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Upon receipt by the Company of satisfactory evidence of the ownership of and the loss, theft, destruction, or mutilation of any Warrant, and (i) in the case of loss, theft, or destruction, upon receipt by the Company of indemnity satisfactory to it, or (ii) in the case of mutilation, upon receipt of such Warrant and upon surrender and cancellation of such Warrant, the Company shall execute and deliver in lieu thereof a new Warrant representing the right to purchase an equal number of shares of Common Stock.</w:t>
      </w:r>
    </w:p>
    <w:p>
      <w:pPr>
        <w:spacing w:after="0" w:line="176" w:lineRule="exact"/>
        <w:rPr>
          <w:sz w:val="20"/>
          <w:szCs w:val="20"/>
          <w:color w:val="auto"/>
        </w:rPr>
      </w:pPr>
    </w:p>
    <w:p>
      <w:pPr>
        <w:jc w:val="both"/>
        <w:ind w:right="80" w:firstLine="629"/>
        <w:spacing w:after="0" w:line="360" w:lineRule="auto"/>
        <w:rPr>
          <w:sz w:val="20"/>
          <w:szCs w:val="20"/>
          <w:color w:val="auto"/>
        </w:rPr>
      </w:pPr>
      <w:r>
        <w:rPr>
          <w:rFonts w:ascii="Arial" w:cs="Arial" w:eastAsia="Arial" w:hAnsi="Arial"/>
          <w:sz w:val="15"/>
          <w:szCs w:val="15"/>
          <w:color w:val="auto"/>
        </w:rPr>
        <w:t>The Holder also acknowledges that each of the Shares issuable upon the due exercise hereof will be subject to any transfer restrictions in the Company’s Articles of Incorporation, including a right of first refusal to the Company, and the certificate or certificates evidencing the Shares will bear a legend to this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635"/>
        <w:spacing w:after="0"/>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NOTICES</w:t>
      </w:r>
    </w:p>
    <w:p>
      <w:pPr>
        <w:spacing w:after="0" w:line="23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All notices, requests, demands and other communications under this Warrant shall be in writing and shall be deemed to have been duly given on the date of service if served personally on the party to whom notice is to be given, or on the date of actual receipt of registered or certified mail, postage prepaid, return receipt requested, and properly addressed as follows: if to the Holder, at his address as shown in the Company records; and if to the Company, at its principal office, to the attention of the Chief Executive Officer. Any party may change its address for purposes of this section by giving the other party written notice of the new address in the manner set forth above.</w:t>
      </w:r>
    </w:p>
    <w:p>
      <w:pPr>
        <w:spacing w:after="0" w:line="173" w:lineRule="exact"/>
        <w:rPr>
          <w:sz w:val="20"/>
          <w:szCs w:val="20"/>
          <w:color w:val="auto"/>
        </w:rPr>
      </w:pPr>
    </w:p>
    <w:p>
      <w:pPr>
        <w:ind w:left="620" w:hanging="615"/>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TERMINATION DATE</w:t>
      </w:r>
    </w:p>
    <w:p>
      <w:pPr>
        <w:spacing w:after="0" w:line="23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This Warrant shall terminate upon the sooner of (a) five years from the Date of Issue; or (b) the exercise of all or any portion of this Warrant pursuant to the terms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w:t>
      </w:r>
    </w:p>
    <w:p>
      <w:pPr>
        <w:spacing w:after="0" w:line="152" w:lineRule="exact"/>
        <w:rPr>
          <w:sz w:val="20"/>
          <w:szCs w:val="20"/>
          <w:color w:val="auto"/>
        </w:rPr>
      </w:pPr>
    </w:p>
    <w:p>
      <w:pPr>
        <w:ind w:left="620" w:hanging="615"/>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AMENDMENT AND WAIVER</w:t>
      </w:r>
    </w:p>
    <w:p>
      <w:pPr>
        <w:spacing w:after="0" w:line="23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Any term of this Warrant may be amended or waived with the written consent signed by the Company and the Holder.</w:t>
      </w:r>
    </w:p>
    <w:p>
      <w:pPr>
        <w:spacing w:after="0" w:line="218" w:lineRule="exact"/>
        <w:rPr>
          <w:rFonts w:ascii="Arial" w:cs="Arial" w:eastAsia="Arial" w:hAnsi="Arial"/>
          <w:sz w:val="17"/>
          <w:szCs w:val="17"/>
          <w:color w:val="auto"/>
        </w:rPr>
      </w:pPr>
    </w:p>
    <w:p>
      <w:pPr>
        <w:ind w:left="620" w:hanging="615"/>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GOVERNING LAW</w:t>
      </w:r>
    </w:p>
    <w:p>
      <w:pPr>
        <w:spacing w:after="0" w:line="230"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color w:val="auto"/>
        </w:rPr>
        <w:t>This Warrant and any dispute, disagreement or issue of construction or interpretation arising hereunder whether relating to its execution, its validity, the obligations provided herein or performance shall be governed or interpreted according to the internal laws of the State of Delaware without regard to conflicts of law.</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Warrant is hereby signed effective as of the Date of Issue.</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AXSOME THERAPEUTICS, INC.</w:t>
      </w:r>
    </w:p>
    <w:p>
      <w:pPr>
        <w:spacing w:after="0" w:line="200" w:lineRule="exact"/>
        <w:rPr>
          <w:sz w:val="20"/>
          <w:szCs w:val="20"/>
          <w:color w:val="auto"/>
        </w:rPr>
      </w:pP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-123190</wp:posOffset>
            </wp:positionV>
            <wp:extent cx="31800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9525</wp:posOffset>
            </wp:positionV>
            <wp:extent cx="31800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-123190</wp:posOffset>
            </wp:positionV>
            <wp:extent cx="31800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Warrant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36214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WARRANT EXERCISE</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Chief Executive Officer</w:t>
      </w:r>
    </w:p>
    <w:p>
      <w:pPr>
        <w:sectPr>
          <w:pgSz w:w="11900" w:h="16838" w:orient="portrait"/>
          <w:cols w:equalWidth="0" w:num="1">
            <w:col w:w="11400"/>
          </w:cols>
          <w:pgMar w:left="240" w:top="121" w:right="259" w:bottom="0" w:gutter="0" w:footer="0" w:header="0"/>
        </w:sectPr>
      </w:pPr>
    </w:p>
    <w:bookmarkStart w:id="209" w:name="page210"/>
    <w:bookmarkEnd w:id="209"/>
    <w:p>
      <w:pPr>
        <w:ind w:left="640"/>
        <w:spacing w:after="0"/>
        <w:rPr>
          <w:sz w:val="20"/>
          <w:szCs w:val="20"/>
          <w:color w:val="auto"/>
        </w:rPr>
      </w:pPr>
      <w:r>
        <w:rPr>
          <w:rFonts w:ascii="Arial" w:cs="Arial" w:eastAsia="Arial" w:hAnsi="Arial"/>
          <w:sz w:val="17"/>
          <w:szCs w:val="17"/>
          <w:color w:val="auto"/>
        </w:rPr>
        <w:t>Axsome Therapeutics, Inc.</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45 Rockefeller Plaza, Suite 2000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NY 10111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undersigned, the Holder of the attached Warrant, hereby elects to exercise the purchase right represented by such Warrant for, and to purchase</w:t>
      </w:r>
    </w:p>
    <w:p>
      <w:pPr>
        <w:spacing w:after="0" w:line="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thereunder, shares of the Common Stock of Axsome Therapeutics, Inc. and such Holder herewith makes a payment of $ therefor. Capitalized terms used but not otherwise defined herein shall have the meaning ascribed to such terms in the attached Warrant.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requests that certificates for such Common Stock be issued in the name of and delivered to the address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151130</wp:posOffset>
            </wp:positionV>
            <wp:extent cx="25057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0571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9525</wp:posOffset>
            </wp:positionV>
            <wp:extent cx="25057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0571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-123190</wp:posOffset>
            </wp:positionV>
            <wp:extent cx="25057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DATED:</w:t>
            </w:r>
          </w:p>
        </w:tc>
        <w:tc>
          <w:tcPr>
            <w:tcW w:w="1000" w:type="dxa"/>
            <w:vAlign w:val="bottom"/>
          </w:tcPr>
          <w:p>
            <w:pPr>
              <w:jc w:val="right"/>
              <w:spacing w:after="0"/>
              <w:rPr>
                <w:sz w:val="20"/>
                <w:szCs w:val="20"/>
                <w:color w:val="auto"/>
              </w:rPr>
            </w:pPr>
            <w:r>
              <w:rPr>
                <w:rFonts w:ascii="Arial" w:cs="Arial" w:eastAsia="Arial" w:hAnsi="Arial"/>
                <w:sz w:val="17"/>
                <w:szCs w:val="17"/>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400050</wp:posOffset>
            </wp:positionV>
            <wp:extent cx="3396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Signature of Holder</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9525</wp:posOffset>
            </wp:positionV>
            <wp:extent cx="29470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94703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-123190</wp:posOffset>
            </wp:positionV>
            <wp:extent cx="29470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000"/>
          </w:cols>
          <w:pgMar w:left="240" w:top="127" w:right="659"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b w:val="1"/>
          <w:bCs w:val="1"/>
          <w:color w:val="auto"/>
        </w:rPr>
        <w:t>Exhibit 4.3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NUMBER: [·] –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TO PURCHASE [·] SHARES OF COMMON STOCK</w:t>
      </w:r>
    </w:p>
    <w:p>
      <w:pPr>
        <w:spacing w:after="0" w:line="230" w:lineRule="exact"/>
        <w:rPr>
          <w:sz w:val="20"/>
          <w:szCs w:val="20"/>
          <w:color w:val="auto"/>
        </w:rPr>
      </w:pPr>
    </w:p>
    <w:p>
      <w:pPr>
        <w:ind w:left="640" w:right="80"/>
        <w:spacing w:after="0" w:line="285" w:lineRule="auto"/>
        <w:rPr>
          <w:sz w:val="20"/>
          <w:szCs w:val="20"/>
          <w:color w:val="auto"/>
        </w:rPr>
      </w:pPr>
      <w:r>
        <w:rPr>
          <w:rFonts w:ascii="Arial" w:cs="Arial" w:eastAsia="Arial" w:hAnsi="Arial"/>
          <w:sz w:val="16"/>
          <w:szCs w:val="16"/>
          <w:color w:val="auto"/>
        </w:rPr>
        <w:t>NEITHER THIS WARRANT NOR THE SHARES ISSUABLE UPON ITS EXERCISE HAVE BEEN REGISTERED UNDER EITHER THE SECURITIES ACT OF 1933, AS AMENDED (THE “SECURITIES ACT”) OR THE SECURITIES LAWS OF ANY STATE AND MAY NOT BE SOLD, OFFERED FOR SALE, TRANSFERRED, ASSIGNED, PLEDGED OR HYPOTHECATED IN THE ABSENCE OF AN EFFECTIVE REGISTRATION STATEMENT WITH RESPECT TO THE SECURITIES UNDER THE SECURITIES ACT OR ANY APPLICABLE STATE SECURITIES LAWS OR AN OPINION OF COUNSEL SATISFACTORY TO THE COMPANY THAT SUCH REGISTRATION IS NOT REQUIRED.</w:t>
      </w:r>
    </w:p>
    <w:p>
      <w:pPr>
        <w:spacing w:after="0" w:line="166"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THIS CERTIFIES THAT, for value received, as of [November 3, 2014] (the “Date of Issue”), [·] (the “Holder”), is entitled to purchase, subject to the conditions set forth below, at any time during the Exercise Period (as defined in Section 1.1 below), up to [·] shares (“Shares”) of fully paid and non-assessable common stock, $0.0001 par value (“Common Stock”), of Axsome Therapeutics, Inc., a Delaware Corporation (the “Company”), at $43.64 per share (the “Warrant Price”), subject to the further provisions of this Warrant.</w:t>
      </w:r>
    </w:p>
    <w:p>
      <w:pPr>
        <w:spacing w:after="0" w:line="170" w:lineRule="exact"/>
        <w:rPr>
          <w:sz w:val="20"/>
          <w:szCs w:val="20"/>
          <w:color w:val="auto"/>
        </w:rPr>
      </w:pPr>
    </w:p>
    <w:p>
      <w:pPr>
        <w:ind w:left="640" w:hanging="635"/>
        <w:spacing w:after="0"/>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EXERCISE OF WARRANT</w:t>
      </w:r>
    </w:p>
    <w:p>
      <w:pPr>
        <w:spacing w:after="0" w:line="230"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terms and conditions upon which this Warrant may be exercised, and the Common Stock covered hereby may be purchased, are as set forth above and as follows:</w:t>
      </w:r>
    </w:p>
    <w:p>
      <w:pPr>
        <w:spacing w:after="0" w:line="158"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The Holder of this Warrant may, at any time or from time to time, during the period ending five years from the Date of Issue, unless extended by the Company in its sole discretion (the “Exercise Period”), exercise this Warrant for all or part of the Shares that may be purchased hereunder, as that number may be adjusted pursuant to Section 4 of this Warrant. The Company agrees that the Shares purchased under this Warrant shall be and are deemed to be issued to the Holder hereof as the record owner of such Warrant Units as of the close of business on the date on which the exercise of this Warrant is effected by:</w:t>
      </w:r>
    </w:p>
    <w:p>
      <w:pPr>
        <w:spacing w:after="0" w:line="179" w:lineRule="exact"/>
        <w:rPr>
          <w:sz w:val="20"/>
          <w:szCs w:val="20"/>
          <w:color w:val="auto"/>
        </w:rPr>
      </w:pPr>
    </w:p>
    <w:p>
      <w:pPr>
        <w:ind w:left="1880" w:hanging="617"/>
        <w:spacing w:after="0"/>
        <w:tabs>
          <w:tab w:leader="none" w:pos="18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surrender of the Warrant to the Secretary of the Company at its principal offices;</w:t>
      </w:r>
    </w:p>
    <w:p>
      <w:pPr>
        <w:spacing w:after="0" w:line="224" w:lineRule="exact"/>
        <w:rPr>
          <w:rFonts w:ascii="Arial" w:cs="Arial" w:eastAsia="Arial" w:hAnsi="Arial"/>
          <w:sz w:val="17"/>
          <w:szCs w:val="17"/>
          <w:color w:val="auto"/>
        </w:rPr>
      </w:pPr>
    </w:p>
    <w:p>
      <w:pPr>
        <w:ind w:firstLine="1263"/>
        <w:spacing w:after="0" w:line="289" w:lineRule="auto"/>
        <w:tabs>
          <w:tab w:leader="none" w:pos="189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payment to the Company, by certified check or bank draft payable to its order, of an amount equal to the aggregate Warrant Price for the number of Shares for which the purchase rights hereunder are being exercised;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exercise by the Holder of a stockholder’s agreement in such form as the Board of Directors of the Company reasonably determines.</w:t>
      </w:r>
    </w:p>
    <w:p>
      <w:pPr>
        <w:spacing w:after="0" w:line="247"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Satisfaction with Requirements of Securities Act of 1933</w:t>
      </w:r>
      <w:r>
        <w:rPr>
          <w:rFonts w:ascii="Arial" w:cs="Arial" w:eastAsia="Arial" w:hAnsi="Arial"/>
          <w:sz w:val="17"/>
          <w:szCs w:val="17"/>
          <w:color w:val="auto"/>
        </w:rPr>
        <w:t>. Notwithstanding the provisions of Section 7, exercise of this Warrant is contingent upon the Company’s satisfaction that the issuance of Common Stock upon the exercise is exempt from the requirements of the Securities Act of 1933, as amended (the “Securities Act”) and all applicable state securities laws. The Holder of this Warrant agrees to execute any and all documents deemed necessary by the Company to effect the exercise of this Warrant, including an instrument executed by the Holder certifying that the Shares are being acquired for the sole account of the Holder and not with a view to any resale or distribution.</w:t>
      </w:r>
    </w:p>
    <w:p>
      <w:pPr>
        <w:spacing w:after="0" w:line="179"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Issuance of Shares</w:t>
      </w:r>
      <w:r>
        <w:rPr>
          <w:rFonts w:ascii="Arial" w:cs="Arial" w:eastAsia="Arial" w:hAnsi="Arial"/>
          <w:sz w:val="16"/>
          <w:szCs w:val="16"/>
          <w:color w:val="auto"/>
        </w:rPr>
        <w:t>. Certificates for the shares so purchased, together with any other securities or property to which the Holder is entitled upon such exercise, shall be delivered to the Holder by the Company at the Company’s expense as soon as practicable after the rights represented by this Warrant have been so exercised, but in any event not later than twenty (20) days following the date of exercise. In case of a purchase of less than all the Shares which may be purchased under this Warrant, the Company shall cancel this Warrant and execute and deliver to the Holder within a reasonable time a new Warrant or Warrants of like tenor for the balance of the Shares purchasable under the Warrant surrendered upon exercise. Each certificate delivered to Holder shall be registered in the name of Holder or Holder’s designees pursuant to the Form of Warrant Exercise attached hereto.</w:t>
      </w:r>
    </w:p>
    <w:p>
      <w:pPr>
        <w:spacing w:after="0" w:line="167"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Covenant</w:t>
      </w:r>
      <w:r>
        <w:rPr>
          <w:rFonts w:ascii="Arial" w:cs="Arial" w:eastAsia="Arial" w:hAnsi="Arial"/>
          <w:sz w:val="17"/>
          <w:szCs w:val="17"/>
          <w:color w:val="auto"/>
        </w:rPr>
        <w:t>. The Company covenants and agrees that all shares of the Company’s common stock will, upon issuance on exercise of this Warrant, be duly authorized, validly issued, fully-paid and nonassessable, and free of all preemptive rights, liens and encumbrances, except for restrictions on transfer provided for herein and in the Company’s organizational documents, as amended from time to time.</w:t>
      </w:r>
    </w:p>
    <w:p>
      <w:pPr>
        <w:spacing w:after="0" w:line="166" w:lineRule="exact"/>
        <w:rPr>
          <w:sz w:val="20"/>
          <w:szCs w:val="20"/>
          <w:color w:val="auto"/>
        </w:rPr>
      </w:pPr>
    </w:p>
    <w:p>
      <w:pPr>
        <w:ind w:left="640" w:hanging="635"/>
        <w:spacing w:after="0"/>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TRANSFERS</w:t>
      </w:r>
    </w:p>
    <w:p>
      <w:pPr>
        <w:spacing w:after="0" w:line="230" w:lineRule="exact"/>
        <w:rPr>
          <w:sz w:val="20"/>
          <w:szCs w:val="20"/>
          <w:color w:val="auto"/>
        </w:rPr>
      </w:pPr>
    </w:p>
    <w:p>
      <w:pPr>
        <w:ind w:right="100" w:firstLine="629"/>
        <w:spacing w:after="0" w:line="305" w:lineRule="auto"/>
        <w:rPr>
          <w:sz w:val="20"/>
          <w:szCs w:val="20"/>
          <w:color w:val="auto"/>
        </w:rPr>
      </w:pPr>
      <w:r>
        <w:rPr>
          <w:rFonts w:ascii="Arial" w:cs="Arial" w:eastAsia="Arial" w:hAnsi="Arial"/>
          <w:sz w:val="15"/>
          <w:szCs w:val="15"/>
          <w:color w:val="auto"/>
        </w:rPr>
        <w:t>The Holder represents that by accepting this Warrant it understands that this Warrant and any securities issuable upon exercise of this Warrant have not been registered for sale under Federal or state securities laws and are being offered and sold to the Holder pursuant to one or more exemptions from the registration requirements of such securities laws. In the absence of an effective registration of such securities or an exemption therefrom, any certificates for such securities shall bear the legend set forth on the first page hereof. The Holder understands that it must bear the economic risk of its investment in this Warrant and any securities obtainable upon exercise of this Warrant for an indefinite period of time, as this Warrant and such securities have not been registered under Federal or state securities laws and therefore cannot be sold unless subsequently registered under such laws, unless an exemption from such registration is available.</w:t>
      </w:r>
    </w:p>
    <w:p>
      <w:pPr>
        <w:spacing w:after="0" w:line="153" w:lineRule="exact"/>
        <w:rPr>
          <w:sz w:val="20"/>
          <w:szCs w:val="20"/>
          <w:color w:val="auto"/>
        </w:rPr>
      </w:pPr>
    </w:p>
    <w:p>
      <w:pPr>
        <w:ind w:firstLine="629"/>
        <w:spacing w:after="0" w:line="326" w:lineRule="auto"/>
        <w:rPr>
          <w:sz w:val="20"/>
          <w:szCs w:val="20"/>
          <w:color w:val="auto"/>
        </w:rPr>
      </w:pPr>
      <w:r>
        <w:rPr>
          <w:rFonts w:ascii="Arial" w:cs="Arial" w:eastAsia="Arial" w:hAnsi="Arial"/>
          <w:sz w:val="15"/>
          <w:szCs w:val="15"/>
          <w:color w:val="auto"/>
        </w:rPr>
        <w:t xml:space="preserve">Subject to the transfer restrictions referred to in the legend described in Section 7, this Warrant and all rights under this Warrant are transferrable, in whole or in part, without charge to the Holder, upon the surrender of this Warrant with a properly executed assignment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delivered to the Company; provided that no Holder of this Warrant may sell, transfer, negotiate or assign all or any portion of this Warrant to any other person or entity (other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7" w:gutter="0" w:footer="0" w:header="0"/>
        </w:sectPr>
      </w:pPr>
    </w:p>
    <w:bookmarkStart w:id="211" w:name="page212"/>
    <w:bookmarkEnd w:id="211"/>
    <w:p>
      <w:pPr>
        <w:spacing w:after="0" w:line="32"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than its affiliates) without the prior written consent of the Company, which consent shall not be unreasonably withheld, conditioned or delayed. Upon such surrender, the Company at its expense will execute and deliver to or upon the order of the applicable Holder a new Warrant or Warrants of like tenor, in the name of such Holder or as such Holder (upon payment by such Holder of any applicable transfer taxes) may direct, calling in the aggregate on the face or faces therefor for the number of the Shares of the Company as measured on the date of exercise called for on the face or faces of the Warrant or Warrants so surrendered.</w:t>
      </w:r>
    </w:p>
    <w:p>
      <w:pPr>
        <w:spacing w:after="0" w:line="140" w:lineRule="exact"/>
        <w:rPr>
          <w:sz w:val="20"/>
          <w:szCs w:val="20"/>
          <w:color w:val="auto"/>
        </w:rPr>
      </w:pPr>
    </w:p>
    <w:p>
      <w:pPr>
        <w:ind w:left="640" w:hanging="635"/>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FRACTIONAL SHARES</w:t>
      </w:r>
    </w:p>
    <w:p>
      <w:pPr>
        <w:spacing w:after="0" w:line="230"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Notwithstanding that the number of Shares purchasable upon the exercise of this Warrant may have been adjusted pursuant to the terms hereof, the Company shall nonetheless not be required to issue fractions of Shares upon exercise of this Warrant or to distribute certificates that evidence fractional shares nor shall the Company be required to make any cash payments in lieu thereof upon exercise of this Warrant. Holder hereby waives any right to receive fractional Shares.</w:t>
      </w:r>
    </w:p>
    <w:p>
      <w:pPr>
        <w:spacing w:after="0" w:line="170" w:lineRule="exact"/>
        <w:rPr>
          <w:sz w:val="20"/>
          <w:szCs w:val="20"/>
          <w:color w:val="auto"/>
        </w:rPr>
      </w:pPr>
    </w:p>
    <w:p>
      <w:pPr>
        <w:ind w:left="640" w:hanging="635"/>
        <w:spacing w:after="0"/>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ANTIDILUTION PROVISIONS</w:t>
      </w:r>
    </w:p>
    <w:p>
      <w:pPr>
        <w:spacing w:after="0" w:line="230"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Splits and Combinations</w:t>
      </w:r>
      <w:r>
        <w:rPr>
          <w:rFonts w:ascii="Arial" w:cs="Arial" w:eastAsia="Arial" w:hAnsi="Arial"/>
          <w:sz w:val="17"/>
          <w:szCs w:val="17"/>
          <w:color w:val="auto"/>
        </w:rPr>
        <w:t>. If the Company shall at any time subdivide or combine its outstanding shares of Common Stock, this Warrant shall, after that subdivision or combination, evidence the right to purchase the number of shares of Common Stock that would have been issuable as a result of that change with respect to the shares of Common Stock which were purchasable under this Warrant immediately before that subdivision or combination. If the Company shall at any time subdivide the outstanding shares of Common Stock, the Warrant Price then in effect immediately before that subdivision shall be proportionately decreased, and, if the Company shall at any time combine the outstanding shares of Common Stock, the Warrant Price then in effect immediately before that combination shall be proportionately increased. Any adjustment under this section shall become effective at the close of business on the date the subdivision or combination becomes effective.</w:t>
      </w:r>
    </w:p>
    <w:p>
      <w:pPr>
        <w:spacing w:after="0" w:line="18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Reclassification, Exchange And Substitution</w:t>
      </w:r>
      <w:r>
        <w:rPr>
          <w:rFonts w:ascii="Arial" w:cs="Arial" w:eastAsia="Arial" w:hAnsi="Arial"/>
          <w:sz w:val="17"/>
          <w:szCs w:val="17"/>
          <w:color w:val="auto"/>
        </w:rPr>
        <w:t>. If the Common Stock issuable upon exercise of this Warrant shall be changed into the same or a different number of shares of any other class or classes of stock, whether by capital reorganization, reclassification, or otherwise (other than a subdivision or combination of shares provided for above), the Holder of this Warrant shall, on its exercise, be entitled to purchase for the same aggregate consideration, in lieu of the Common Stock that the Holder would have become entitled to purchase but for such change, a number of shares of such other class or classes of stock equivalent to the number of shares of Common Stock that would have been subject to purchase by the Holder on exercise of this Warrant immediately before that change.</w:t>
      </w:r>
    </w:p>
    <w:p>
      <w:pPr>
        <w:spacing w:after="0" w:line="183"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Reorganizations, Mergers, Consolidations or Sale of Assets</w:t>
      </w:r>
      <w:r>
        <w:rPr>
          <w:rFonts w:ascii="Arial" w:cs="Arial" w:eastAsia="Arial" w:hAnsi="Arial"/>
          <w:sz w:val="17"/>
          <w:szCs w:val="17"/>
          <w:color w:val="auto"/>
        </w:rPr>
        <w:t>. If at any time there shall be a capital reorganization of the Company’s Common Stock (other than a combination, reclassification, exchange, or subdivision of shares provided for elsewhere above) or merger or consolidation of the Company with or into another entity, or the sale of the Company’s properties and assets as, or substantially as, an entirety to any other person or entity, then, as a part of such reorganization, merger, consolidation or sale, lawful provision shall be made so that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Holder of this Warrant shall thereafter be entitled to receive upon exercise of this Warrant, during the period specified in this Warrant and upon payment of the Warrant Price then in effect, the number of shares of Common Stock or other securities or property of the Company, or of the successor entity resulting from such merger or consolidation, to which a holder of the Common Stock deliverable upon exercise of this Warrant would have been entitled in such capital reorganization, merger, or consolidation or sale if this Warrant had been exercised immediately before that capital reorganization, merger, consolidation, or sale. In any such case, appropriate adjustment (as determined in good faith by the Company’s Board of Directors) shall be made in the application of the provisions of this Warrant with respect to the rights and interests of the Holder of this Warrant after the reorganization, merger, consolidation, or sale to the end that the provisions of this Warrant (including adjustment of the Warrant Price then in effect and number of Shares purchasable upon exercise of this Warrant) shall be applicable after that event, as near as reasonably may be, in relation to any shares or other property deliverable after that event upon exercise of this Warrant. The Company shall, within thirty</w:t>
      </w:r>
    </w:p>
    <w:p>
      <w:pPr>
        <w:spacing w:after="0" w:line="5" w:lineRule="exact"/>
        <w:rPr>
          <w:sz w:val="20"/>
          <w:szCs w:val="20"/>
          <w:color w:val="auto"/>
        </w:rPr>
      </w:pPr>
    </w:p>
    <w:p>
      <w:pPr>
        <w:ind w:right="140" w:firstLine="5"/>
        <w:spacing w:after="0" w:line="284" w:lineRule="auto"/>
        <w:tabs>
          <w:tab w:leader="none" w:pos="3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days after making such adjustment, give written notice (by first class mail, postage prepaid) to the Holder of this Warrant at the address of the Holder shown on the Company’s books. That notice shall set forth, in reasonable detail, the event requiring the adjustment and the method by which the adjustment was calculated, and specify the Warrant Price then in effect after the adjustment and the increased or decreased number of Shares purchasable upon exercise of this Warrant. When appropriate, that notice may be given in advance and include as part of the notice required under other provisions of this Warrant.</w:t>
      </w:r>
    </w:p>
    <w:p>
      <w:pPr>
        <w:spacing w:after="0" w:line="166"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Reservation of Stock Issuable Upon Exercise</w:t>
      </w:r>
      <w:r>
        <w:rPr>
          <w:rFonts w:ascii="Arial" w:cs="Arial" w:eastAsia="Arial" w:hAnsi="Arial"/>
          <w:sz w:val="17"/>
          <w:szCs w:val="17"/>
          <w:color w:val="auto"/>
        </w:rPr>
        <w:t>. The Company shall at all times reserve and keep available out of its authorized but unissued shares of Common Stock solely for the purpose of effecting the exercise of this Warrant such number of its shares of Common Stock as shall from time to time be sufficient to effect the exercise of this Warrant and if at any time the number of authorized but unissued shares of Common Stock shall not be sufficient to effect the exercise of this Warrant, in addition to such other remedies as shall be available to the Holder of this Warrant, the Company will use its best efforts to take such corporate action as may, in the opinion of its counsel, be necessary to increase its authorized but un-issued shares of Common Stock to such number of shares as shall be sufficient for such purposes.</w:t>
      </w:r>
    </w:p>
    <w:p>
      <w:pPr>
        <w:spacing w:after="0" w:line="183"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Changes to Warrant Price Upon Mandatory Conversion of Notes</w:t>
      </w:r>
      <w:r>
        <w:rPr>
          <w:rFonts w:ascii="Arial" w:cs="Arial" w:eastAsia="Arial" w:hAnsi="Arial"/>
          <w:sz w:val="17"/>
          <w:szCs w:val="17"/>
          <w:color w:val="auto"/>
        </w:rPr>
        <w:t>. The parties acknowledge that this Warrant is being issued in conjunction with the closing of a private offering in which the Company issued convertible promissory notes (the “Notes”), each of which is convertible into Shares of Common Stock, to certain accredited investors pursuant to note purchase agreements between the Company and such accredited investors. In the event of a mandatory conversion of the Notes pursuant to Section 3.1 of the Notes upon the consummation of the Company’s next Qualified Financing (as such term is defined in the Notes), then, notwithstanding anything to the contrary in this Warrant, the Warrant Price shall automatically convert to a 10% premium to the conversion price of the Notes in such mandatory conversion.</w:t>
      </w:r>
    </w:p>
    <w:p>
      <w:pPr>
        <w:spacing w:after="0" w:line="177" w:lineRule="exact"/>
        <w:rPr>
          <w:sz w:val="20"/>
          <w:szCs w:val="20"/>
          <w:color w:val="auto"/>
        </w:rPr>
      </w:pPr>
    </w:p>
    <w:p>
      <w:pPr>
        <w:ind w:left="640" w:hanging="635"/>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RIGHTS PRIOR TO EXERCISE OF WARRANT</w:t>
      </w:r>
    </w:p>
    <w:p>
      <w:pPr>
        <w:spacing w:after="0" w:line="230"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This Warrant does not entitle the Holder to any of the rights of a stockholder of the Company, including without limitation, the right to receive dividends or other distributions, to exercise any preemptive rights, to vote, or to consent or to receive notice as a stockholder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Company. If, however, at any time prior to the termination of this Warrant and prior to its exercise, any of the following events shall occur:</w:t>
      </w:r>
    </w:p>
    <w:p>
      <w:pPr>
        <w:spacing w:after="0" w:line="224" w:lineRule="exact"/>
        <w:rPr>
          <w:sz w:val="20"/>
          <w:szCs w:val="20"/>
          <w:color w:val="auto"/>
        </w:rPr>
      </w:pPr>
    </w:p>
    <w:p>
      <w:pPr>
        <w:ind w:right="340" w:firstLine="1263"/>
        <w:spacing w:after="0" w:line="289" w:lineRule="auto"/>
        <w:tabs>
          <w:tab w:leader="none" w:pos="188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 shall declare any dividend payable in any securities upon its shares of Common Stock or make any distribution (other than a regular cash dividend) to the Holders of its shares of Common Stock; or</w:t>
      </w:r>
    </w:p>
    <w:p>
      <w:pPr>
        <w:sectPr>
          <w:pgSz w:w="11900" w:h="16871" w:orient="portrait"/>
          <w:cols w:equalWidth="0" w:num="1">
            <w:col w:w="11420"/>
          </w:cols>
          <w:pgMar w:left="240" w:top="127" w:right="239" w:bottom="0" w:gutter="0" w:footer="0" w:header="0"/>
        </w:sectPr>
      </w:pPr>
    </w:p>
    <w:bookmarkStart w:id="212" w:name="page213"/>
    <w:bookmarkEnd w:id="212"/>
    <w:p>
      <w:pPr>
        <w:ind w:right="40" w:firstLine="1263"/>
        <w:spacing w:after="0" w:line="289" w:lineRule="auto"/>
        <w:tabs>
          <w:tab w:leader="none" w:pos="18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shall offer to the holders of its shares of Common Stock any additional shares of Common Stock or securities convertible into or exchangeable for shares of Common Stock or any right to subscribe for or purchase any thereof; or</w:t>
      </w:r>
    </w:p>
    <w:p>
      <w:pPr>
        <w:spacing w:after="0" w:line="158" w:lineRule="exact"/>
        <w:rPr>
          <w:rFonts w:ascii="Arial" w:cs="Arial" w:eastAsia="Arial" w:hAnsi="Arial"/>
          <w:sz w:val="17"/>
          <w:szCs w:val="17"/>
          <w:color w:val="auto"/>
        </w:rPr>
      </w:pPr>
    </w:p>
    <w:p>
      <w:pPr>
        <w:ind w:firstLine="1263"/>
        <w:spacing w:after="0" w:line="273" w:lineRule="auto"/>
        <w:tabs>
          <w:tab w:leader="none" w:pos="189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dissolution, liquidation or winding up of the Company (other than in connection with a consolidation, merger, sale, transfer or lease of all or substantially all of its property, assets and business as an entirety) shall be proposed and action by the Company with respect thereto has been approved by the Company’s Board of Directors;</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then in any one or more of said events the Company shall give notice in writing of such event to the Holder at the last address of the Holder as it shall appear on the Company’s records at least twenty (20) days prior to the date fixed as a record date or the date of closing the transfer books for the determination of the stockholders entitled to such dividends, distribution, or subscription rights, or for the determination of stockholders entitled to vote on such proposed dissolution, liquidation or winding up. Such notice shall specify such record date or the date of closing the transfer books, as the case may be. Failure to publish, mail or receive such notice or any defect therein or in the publication or mailing thereof shall not affect the validity of any action taken in connection with such dividend, distribution or subscription rights, or such proposed dissolution, liquidation or winding up. Each person in whose name any certificate for shares of Common Stock is to be issued shall for all purposes be deemed to have become the holder of record of such shares on the date on which this instrument was surrendered and payment of the Warrant Price was made, irrespective of the date of delivery of such stock certificate, except that, if the date of such surrender and payment is a date when the stock transfer books of the Company are closed, such person shall be deemed to have become the holder of such shares of Common Stock at the close of business on the next succeeding date on which the stock transfer books are open.</w:t>
      </w:r>
    </w:p>
    <w:p>
      <w:pPr>
        <w:spacing w:after="0" w:line="162" w:lineRule="exact"/>
        <w:rPr>
          <w:sz w:val="20"/>
          <w:szCs w:val="20"/>
          <w:color w:val="auto"/>
        </w:rPr>
      </w:pPr>
    </w:p>
    <w:p>
      <w:pPr>
        <w:ind w:left="640" w:hanging="635"/>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SUCCESSORS AND ASSIGNS</w:t>
      </w:r>
    </w:p>
    <w:p>
      <w:pPr>
        <w:spacing w:after="0" w:line="230"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terms and provisions of this Warrant shall inure to the benefit of, and be binding upon, the Company and the Holder hereof and their respective successors and permitted assigns.</w:t>
      </w:r>
    </w:p>
    <w:p>
      <w:pPr>
        <w:spacing w:after="0" w:line="152" w:lineRule="exact"/>
        <w:rPr>
          <w:sz w:val="20"/>
          <w:szCs w:val="20"/>
          <w:color w:val="auto"/>
        </w:rPr>
      </w:pPr>
    </w:p>
    <w:p>
      <w:pPr>
        <w:ind w:left="640" w:hanging="635"/>
        <w:spacing w:after="0"/>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RESTRICTED SECURITIES</w:t>
      </w:r>
    </w:p>
    <w:p>
      <w:pPr>
        <w:spacing w:after="0" w:line="230" w:lineRule="exact"/>
        <w:rPr>
          <w:sz w:val="20"/>
          <w:szCs w:val="20"/>
          <w:color w:val="auto"/>
        </w:rPr>
      </w:pPr>
    </w:p>
    <w:p>
      <w:pPr>
        <w:ind w:right="80" w:firstLine="669"/>
        <w:spacing w:after="0" w:line="273" w:lineRule="auto"/>
        <w:rPr>
          <w:sz w:val="20"/>
          <w:szCs w:val="20"/>
          <w:color w:val="auto"/>
        </w:rPr>
      </w:pPr>
      <w:r>
        <w:rPr>
          <w:rFonts w:ascii="Arial" w:cs="Arial" w:eastAsia="Arial" w:hAnsi="Arial"/>
          <w:sz w:val="17"/>
          <w:szCs w:val="17"/>
          <w:color w:val="auto"/>
        </w:rPr>
        <w:t>The Holder acknowledges that this Warrant is, and each of the shares of Common Stock issuable upon the due exercise hereof will be, a restricted security, that he understands the provisions of Rule 144 of the Securities and Exchange Commission, and that the certificate or certificates evidencing such shares of Common Stock will bear a legend substantially similar to the following: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spacing w:after="0" w:line="273"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or under the securities laws of any state. They may not be sold, transferred or otherwise disposed of in the absence of an effective registration statement covering these securities under the said Act or laws. A copy of this certificate is available at the offices of the Company.”</w:t>
      </w:r>
    </w:p>
    <w:p>
      <w:pPr>
        <w:spacing w:after="0" w:line="172" w:lineRule="exact"/>
        <w:rPr>
          <w:sz w:val="20"/>
          <w:szCs w:val="20"/>
          <w:color w:val="auto"/>
        </w:rPr>
      </w:pPr>
    </w:p>
    <w:p>
      <w:pPr>
        <w:ind w:firstLine="629"/>
        <w:spacing w:after="0" w:line="360" w:lineRule="auto"/>
        <w:rPr>
          <w:sz w:val="20"/>
          <w:szCs w:val="20"/>
          <w:color w:val="auto"/>
        </w:rPr>
      </w:pPr>
      <w:r>
        <w:rPr>
          <w:rFonts w:ascii="Arial" w:cs="Arial" w:eastAsia="Arial" w:hAnsi="Arial"/>
          <w:sz w:val="15"/>
          <w:szCs w:val="15"/>
          <w:color w:val="auto"/>
        </w:rPr>
        <w:t>Holder agrees that the terms of Sections 1.3 to 1.23 of the Note Purchase Agreement by and between the Company and AAR Associates, L.P. executed by the Company November 3, 2014 (the “Note Purchase Agreement”) apply to Holder as if Holder was a Subscriber (as defined in the Note Purchase Agreement).</w:t>
      </w:r>
    </w:p>
    <w:p>
      <w:pPr>
        <w:spacing w:after="0" w:line="106" w:lineRule="exact"/>
        <w:rPr>
          <w:sz w:val="20"/>
          <w:szCs w:val="20"/>
          <w:color w:val="auto"/>
        </w:rPr>
      </w:pPr>
    </w:p>
    <w:p>
      <w:pPr>
        <w:ind w:left="640" w:hanging="635"/>
        <w:spacing w:after="0"/>
        <w:tabs>
          <w:tab w:leader="none" w:pos="64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LOSS OR MUTILATION</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Upon receipt by the Company of satisfactory evidence of the ownership of and the loss, theft, destruction, or mutilation of any Warrant, and (i) in the case of loss, theft, or destruction, upon receipt by the Company of indemnity satisfactory to it, or (ii) in the case of mutilation, upon receipt of such Warrant and upon surrender and cancellation of such Warrant, the Company shall execute and deliver in lieu thereof a new Warrant representing the right to purchase an equal number of shares of Common Stock.</w:t>
      </w:r>
    </w:p>
    <w:p>
      <w:pPr>
        <w:spacing w:after="0" w:line="176" w:lineRule="exact"/>
        <w:rPr>
          <w:sz w:val="20"/>
          <w:szCs w:val="20"/>
          <w:color w:val="auto"/>
        </w:rPr>
      </w:pPr>
    </w:p>
    <w:p>
      <w:pPr>
        <w:jc w:val="both"/>
        <w:ind w:right="80" w:firstLine="629"/>
        <w:spacing w:after="0" w:line="360" w:lineRule="auto"/>
        <w:rPr>
          <w:sz w:val="20"/>
          <w:szCs w:val="20"/>
          <w:color w:val="auto"/>
        </w:rPr>
      </w:pPr>
      <w:r>
        <w:rPr>
          <w:rFonts w:ascii="Arial" w:cs="Arial" w:eastAsia="Arial" w:hAnsi="Arial"/>
          <w:sz w:val="15"/>
          <w:szCs w:val="15"/>
          <w:color w:val="auto"/>
        </w:rPr>
        <w:t>The Holder also acknowledges that each of the Shares issuable upon the due exercise hereof will be subject to any transfer restrictions in the Company’s Articles of Incorporation, including a right of first refusal to the Company, and the certificate or certificates evidencing the Shares will bear a legend to this effect.</w:t>
      </w:r>
    </w:p>
    <w:p>
      <w:pPr>
        <w:spacing w:after="0" w:line="106" w:lineRule="exact"/>
        <w:rPr>
          <w:sz w:val="20"/>
          <w:szCs w:val="20"/>
          <w:color w:val="auto"/>
        </w:rPr>
      </w:pPr>
    </w:p>
    <w:p>
      <w:pPr>
        <w:ind w:left="640" w:hanging="635"/>
        <w:spacing w:after="0"/>
        <w:tabs>
          <w:tab w:leader="none" w:pos="64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NOTICES</w:t>
      </w:r>
    </w:p>
    <w:p>
      <w:pPr>
        <w:spacing w:after="0" w:line="23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All notices, requests, demands and other communications under this Warrant shall be in writing and shall be deemed to have been duly given on the date of service if served personally on the party to whom notice is to be given, or on the date of actual receipt of registered or certified mail, postage prepaid, return receipt requested, and properly addressed as follows: if to the Holder, at his address as shown in the Company records; and if to the Company, at its principal office, to the attention of the Chief Executive Officer. Any party may change its address for purposes of this section by giving the other party written notice of the new address in the manner set forth above.</w:t>
      </w:r>
    </w:p>
    <w:p>
      <w:pPr>
        <w:spacing w:after="0" w:line="173" w:lineRule="exact"/>
        <w:rPr>
          <w:sz w:val="20"/>
          <w:szCs w:val="20"/>
          <w:color w:val="auto"/>
        </w:rPr>
      </w:pPr>
    </w:p>
    <w:p>
      <w:pPr>
        <w:ind w:left="620" w:hanging="615"/>
        <w:spacing w:after="0"/>
        <w:tabs>
          <w:tab w:leader="none" w:pos="620"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TERMINATION DATE</w:t>
      </w:r>
    </w:p>
    <w:p>
      <w:pPr>
        <w:spacing w:after="0" w:line="23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This Warrant shall terminate upon the sooner of (a) five years from the Date of Issue; or (b) the exercise of all or any portion of this Warrant pursuant to the terms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w:t>
      </w:r>
    </w:p>
    <w:p>
      <w:pPr>
        <w:spacing w:after="0" w:line="152" w:lineRule="exact"/>
        <w:rPr>
          <w:sz w:val="20"/>
          <w:szCs w:val="20"/>
          <w:color w:val="auto"/>
        </w:rPr>
      </w:pPr>
    </w:p>
    <w:p>
      <w:pPr>
        <w:ind w:left="620" w:hanging="615"/>
        <w:spacing w:after="0"/>
        <w:tabs>
          <w:tab w:leader="none" w:pos="620"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AMENDMENT AND WAIVER</w:t>
      </w:r>
    </w:p>
    <w:p>
      <w:pPr>
        <w:spacing w:after="0" w:line="23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Any term of this Warrant may be amended or waived with the written consent signed by the Company and the 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hanging="615"/>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7"/>
          <w:szCs w:val="17"/>
          <w:b w:val="1"/>
          <w:bCs w:val="1"/>
          <w:color w:val="auto"/>
        </w:rPr>
        <w:t>WARRANT REGISTER</w:t>
      </w:r>
    </w:p>
    <w:p>
      <w:pPr>
        <w:spacing w:after="0" w:line="230"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ectPr>
          <w:pgSz w:w="11900" w:h="16838" w:orient="portrait"/>
          <w:cols w:equalWidth="0" w:num="1">
            <w:col w:w="11400"/>
          </w:cols>
          <w:pgMar w:left="240" w:top="337" w:right="259" w:bottom="0" w:gutter="0" w:footer="0" w:header="0"/>
        </w:sectPr>
      </w:pPr>
    </w:p>
    <w:bookmarkStart w:id="213" w:name="page214"/>
    <w:bookmarkEnd w:id="213"/>
    <w:p>
      <w:pPr>
        <w:ind w:left="620" w:hanging="615"/>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GOVERNING LAW</w:t>
      </w:r>
    </w:p>
    <w:p>
      <w:pPr>
        <w:spacing w:after="0" w:line="230"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This Warrant and any dispute, disagreement or issue of construction or interpretation arising hereunder whether relating to its execution, its validity, the obligations provided herein or performance shall be governed or interpreted according to the internal laws of the State of Delaware without regard to conflicts of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Warrant is hereby signed effective as of the Date of Issue.</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AXSOME THERAPEUTICS, INC.</w:t>
      </w:r>
    </w:p>
    <w:p>
      <w:pPr>
        <w:spacing w:after="0" w:line="200" w:lineRule="exact"/>
        <w:rPr>
          <w:sz w:val="20"/>
          <w:szCs w:val="20"/>
          <w:color w:val="auto"/>
        </w:rPr>
      </w:pPr>
    </w:p>
    <w:p>
      <w:pPr>
        <w:spacing w:after="0" w:line="234" w:lineRule="exact"/>
        <w:rPr>
          <w:sz w:val="20"/>
          <w:szCs w:val="20"/>
          <w:color w:val="auto"/>
        </w:rPr>
      </w:pPr>
    </w:p>
    <w:tbl>
      <w:tblPr>
        <w:tblLayout w:type="fixed"/>
        <w:tblInd w:w="570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19"/>
                <w:szCs w:val="19"/>
                <w:color w:val="auto"/>
              </w:rPr>
            </w:pPr>
          </w:p>
        </w:tc>
      </w:tr>
      <w:tr>
        <w:trPr>
          <w:trHeight w:val="191"/>
        </w:trPr>
        <w:tc>
          <w:tcPr>
            <w:tcW w:w="72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5000" w:type="dxa"/>
            <w:vAlign w:val="bottom"/>
          </w:tcPr>
          <w:p>
            <w:pPr>
              <w:spacing w:after="0" w:line="191" w:lineRule="exact"/>
              <w:rPr>
                <w:sz w:val="20"/>
                <w:szCs w:val="20"/>
                <w:color w:val="auto"/>
              </w:rPr>
            </w:pPr>
            <w:r>
              <w:rPr>
                <w:rFonts w:ascii="Arial" w:cs="Arial" w:eastAsia="Arial" w:hAnsi="Arial"/>
                <w:sz w:val="17"/>
                <w:szCs w:val="17"/>
                <w:color w:val="auto"/>
              </w:rPr>
              <w:t>Herriot Tabuteau, M.D.</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Warrant Holder: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OF WARRANT EXERCISE</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Chief Executive Officer</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Axsome Therapeutics, Inc.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45 Rockefeller Plaza, Suite 2000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NY 10111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undersigned, the Holder of the attached Warrant, hereby elects to exercise the purchase right represented by such Warrant for, and to purchase</w:t>
      </w:r>
    </w:p>
    <w:p>
      <w:pPr>
        <w:spacing w:after="0" w:line="38"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thereunder, Shares of the Common Stock of Axsome Therapeutics, Inc. and such Holder herewith makes a payment of $ therefor. Capitalized terms used but not otherwise defined herein shall have the meaning ascribed to such terms in the attached Warrant.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requests that certificates for such Shares of Common Stock be issued in the name of and delivered to the address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151130</wp:posOffset>
            </wp:positionV>
            <wp:extent cx="25057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0571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9525</wp:posOffset>
            </wp:positionV>
            <wp:extent cx="25057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0571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-123190</wp:posOffset>
            </wp:positionV>
            <wp:extent cx="25057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DATED:</w:t>
            </w:r>
          </w:p>
        </w:tc>
        <w:tc>
          <w:tcPr>
            <w:tcW w:w="1000" w:type="dxa"/>
            <w:vAlign w:val="bottom"/>
          </w:tcPr>
          <w:p>
            <w:pPr>
              <w:jc w:val="right"/>
              <w:spacing w:after="0"/>
              <w:rPr>
                <w:sz w:val="20"/>
                <w:szCs w:val="20"/>
                <w:color w:val="auto"/>
              </w:rPr>
            </w:pPr>
            <w:r>
              <w:rPr>
                <w:rFonts w:ascii="Arial" w:cs="Arial" w:eastAsia="Arial" w:hAnsi="Arial"/>
                <w:sz w:val="17"/>
                <w:szCs w:val="17"/>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400050</wp:posOffset>
            </wp:positionV>
            <wp:extent cx="33966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Signature of Holder</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9525</wp:posOffset>
            </wp:positionV>
            <wp:extent cx="29470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4703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-123190</wp:posOffset>
            </wp:positionV>
            <wp:extent cx="29470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Assignment</w:t>
      </w: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(To assign the foregoing warrant, execute</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this form and supply required information.</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Do not use this form to exercise the warrant.)</w:t>
      </w:r>
    </w:p>
    <w:p>
      <w:pPr>
        <w:sectPr>
          <w:pgSz w:w="11900" w:h="16838" w:orient="portrait"/>
          <w:cols w:equalWidth="0" w:num="1">
            <w:col w:w="11420"/>
          </w:cols>
          <w:pgMar w:left="240" w:top="121" w:right="239" w:bottom="0" w:gutter="0" w:footer="0" w:header="0"/>
        </w:sect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VALUE RECEIVED, the right purchase [</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thereby are hereby assigned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549" w:right="300" w:hanging="4549"/>
        <w:spacing w:after="0" w:line="300" w:lineRule="auto"/>
        <w:tabs>
          <w:tab w:leader="none" w:pos="95" w:val="left"/>
        </w:tabs>
        <w:numPr>
          <w:ilvl w:val="0"/>
          <w:numId w:val="151"/>
        </w:numPr>
        <w:rPr>
          <w:rFonts w:ascii="Arial" w:cs="Arial" w:eastAsia="Arial" w:hAnsi="Arial"/>
          <w:sz w:val="15"/>
          <w:szCs w:val="15"/>
          <w:color w:val="auto"/>
        </w:rPr>
      </w:pPr>
      <w:r>
        <w:rPr>
          <w:rFonts w:ascii="Arial" w:cs="Arial" w:eastAsia="Arial" w:hAnsi="Arial"/>
          <w:sz w:val="15"/>
          <w:szCs w:val="15"/>
          <w:color w:val="auto"/>
        </w:rPr>
        <w:t>shares of and pursuant to the foregoing Warrant and all rights and obligations evidenced whose address</w:t>
      </w:r>
    </w:p>
    <w:p>
      <w:pPr>
        <w:ind w:left="5409"/>
        <w:spacing w:after="0"/>
        <w:rPr>
          <w:rFonts w:ascii="Arial" w:cs="Arial" w:eastAsia="Arial" w:hAnsi="Arial"/>
          <w:sz w:val="15"/>
          <w:szCs w:val="15"/>
          <w:color w:val="auto"/>
        </w:rPr>
      </w:pPr>
      <w:r>
        <w:rPr>
          <w:rFonts w:ascii="Arial" w:cs="Arial" w:eastAsia="Arial" w:hAnsi="Arial"/>
          <w:sz w:val="17"/>
          <w:szCs w:val="17"/>
          <w:color w:val="auto"/>
        </w:rPr>
        <w:t>.</w:t>
      </w:r>
    </w:p>
    <w:p>
      <w:pPr>
        <w:spacing w:after="0" w:line="212" w:lineRule="exact"/>
        <w:rPr>
          <w:sz w:val="20"/>
          <w:szCs w:val="20"/>
          <w:color w:val="auto"/>
        </w:rPr>
      </w:pPr>
    </w:p>
    <w:p>
      <w:pPr>
        <w:ind w:left="849"/>
        <w:spacing w:after="0"/>
        <w:tabs>
          <w:tab w:leader="none" w:pos="1949"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ectPr>
          <w:pgSz w:w="11900" w:h="16838" w:orient="portrait"/>
          <w:cols w:equalWidth="0" w:num="2">
            <w:col w:w="4560" w:space="311"/>
            <w:col w:w="6549"/>
          </w:cols>
          <w:pgMar w:left="240" w:top="121" w:right="239" w:bottom="0" w:gutter="0" w:footer="0" w:header="0"/>
          <w:type w:val="continuous"/>
        </w:sectPr>
      </w:pPr>
    </w:p>
    <w:bookmarkStart w:id="214" w:name="page215"/>
    <w:bookmarkEnd w:id="214"/>
    <w:p>
      <w:pPr>
        <w:ind w:left="2740"/>
        <w:spacing w:after="0"/>
        <w:rPr>
          <w:sz w:val="20"/>
          <w:szCs w:val="20"/>
          <w:color w:val="auto"/>
        </w:rPr>
      </w:pPr>
      <w:r>
        <w:rPr>
          <w:rFonts w:ascii="Arial" w:cs="Arial" w:eastAsia="Arial" w:hAnsi="Arial"/>
          <w:sz w:val="17"/>
          <w:szCs w:val="17"/>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17145</wp:posOffset>
            </wp:positionV>
            <wp:extent cx="26885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88590" cy="8255"/>
                    </a:xfrm>
                    <a:prstGeom prst="rect">
                      <a:avLst/>
                    </a:prstGeom>
                    <a:noFill/>
                  </pic:spPr>
                </pic:pic>
              </a:graphicData>
            </a:graphic>
          </wp:anchor>
        </w:drawing>
      </w:r>
    </w:p>
    <w:p>
      <w:pPr>
        <w:spacing w:after="0" w:line="217"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291465</wp:posOffset>
            </wp:positionV>
            <wp:extent cx="26885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88590" cy="8255"/>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17145</wp:posOffset>
            </wp:positionV>
            <wp:extent cx="26885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8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17145</wp:posOffset>
            </wp:positionV>
            <wp:extent cx="24974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AXSOME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2013 Equity Compensation Plan</w:t>
      </w:r>
    </w:p>
    <w:p>
      <w:pPr>
        <w:spacing w:after="0" w:line="212" w:lineRule="exact"/>
        <w:rPr>
          <w:sz w:val="20"/>
          <w:szCs w:val="20"/>
          <w:color w:val="auto"/>
        </w:rPr>
      </w:pPr>
    </w:p>
    <w:p>
      <w:pPr>
        <w:ind w:right="620" w:firstLine="629"/>
        <w:spacing w:after="0" w:line="300" w:lineRule="auto"/>
        <w:rPr>
          <w:sz w:val="20"/>
          <w:szCs w:val="20"/>
          <w:color w:val="auto"/>
        </w:rPr>
      </w:pPr>
      <w:r>
        <w:rPr>
          <w:rFonts w:ascii="Arial" w:cs="Arial" w:eastAsia="Arial" w:hAnsi="Arial"/>
          <w:sz w:val="15"/>
          <w:szCs w:val="15"/>
          <w:color w:val="auto"/>
        </w:rPr>
        <w:t>The purpose of the Axsome Therapeutics, Inc. 2013 Equity Compensation Plan (the “Plan”) is to provide (i) designated employees of Axsome Therapeutics, Inc. (the “Company”) and its subsidiaries, (ii) certain consultants and advisors who perform services for the Company or its subsidiaries and</w:t>
      </w:r>
    </w:p>
    <w:p>
      <w:pPr>
        <w:ind w:right="20" w:firstLine="5"/>
        <w:spacing w:after="0" w:line="263" w:lineRule="auto"/>
        <w:tabs>
          <w:tab w:leader="none" w:pos="30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non-employee members of the Board of Directors of the Company (the “Board”) with the opportunity to receive grants of incentive stock options, nonqualified stock options, stock awards, stock units, stock appreciation rights and other equity-based awards. The Company believes that the Plan will encourage the participants to contribute materially to the growth of the Company, thereby benefiting the Company’s stockholders, and will align the economic interests of the participants with those of the stockholders.</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w:t>
      </w:r>
      <w:r>
        <w:rPr>
          <w:sz w:val="20"/>
          <w:szCs w:val="20"/>
          <w:color w:val="auto"/>
        </w:rPr>
        <w:tab/>
      </w:r>
      <w:r>
        <w:rPr>
          <w:rFonts w:ascii="Arial" w:cs="Arial" w:eastAsia="Arial" w:hAnsi="Arial"/>
          <w:sz w:val="16"/>
          <w:szCs w:val="16"/>
          <w:i w:val="1"/>
          <w:iCs w:val="1"/>
          <w:color w:val="auto"/>
        </w:rPr>
        <w:t>Administration</w:t>
      </w:r>
    </w:p>
    <w:p>
      <w:pPr>
        <w:spacing w:after="0" w:line="224" w:lineRule="exact"/>
        <w:rPr>
          <w:sz w:val="20"/>
          <w:szCs w:val="20"/>
          <w:color w:val="auto"/>
        </w:rPr>
      </w:pPr>
    </w:p>
    <w:p>
      <w:pPr>
        <w:ind w:right="100" w:firstLine="634"/>
        <w:spacing w:after="0" w:line="268" w:lineRule="auto"/>
        <w:tabs>
          <w:tab w:leader="none" w:pos="125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and interpreted by the Board or by a committee consisting of members of the Board, which shall be appointed by the Board. However, the Board shall approve and administer all grants made to non-employee directors. The committee may delegate authority to one or more subcommittees, as it deems appropriate. To the extent the Board, committee or subcommittee administers the Plan, references in the Plan to the “Committee” shall be deemed to refer to such Board, committee or subcommittee.</w:t>
      </w:r>
    </w:p>
    <w:p>
      <w:pPr>
        <w:spacing w:after="0" w:line="175" w:lineRule="exact"/>
        <w:rPr>
          <w:rFonts w:ascii="Arial" w:cs="Arial" w:eastAsia="Arial" w:hAnsi="Arial"/>
          <w:sz w:val="17"/>
          <w:szCs w:val="17"/>
          <w:color w:val="auto"/>
        </w:rPr>
      </w:pPr>
    </w:p>
    <w:p>
      <w:pPr>
        <w:ind w:firstLine="634"/>
        <w:spacing w:after="0" w:line="268" w:lineRule="auto"/>
        <w:tabs>
          <w:tab w:leader="none" w:pos="126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Committee Authority</w:t>
      </w:r>
      <w:r>
        <w:rPr>
          <w:rFonts w:ascii="Arial" w:cs="Arial" w:eastAsia="Arial" w:hAnsi="Arial"/>
          <w:sz w:val="17"/>
          <w:szCs w:val="17"/>
          <w:color w:val="auto"/>
        </w:rPr>
        <w:t>. The Committee shall have the sole authority to (i) determine the individuals to whom grants shall be made under the Plan, (ii) determine the type, size and terms of the grants to be made to each such individual, (iii) determine the time when the grants will be made and the duration of any applicable exercise or restriction period, including the criteria for exercisability and the acceleration of exercisability, (iv) amend the terms of any previously issued grant, and (v) deal with any other matters arising under the Plan.</w:t>
      </w:r>
    </w:p>
    <w:p>
      <w:pPr>
        <w:spacing w:after="0" w:line="175" w:lineRule="exact"/>
        <w:rPr>
          <w:rFonts w:ascii="Arial" w:cs="Arial" w:eastAsia="Arial" w:hAnsi="Arial"/>
          <w:sz w:val="17"/>
          <w:szCs w:val="17"/>
          <w:color w:val="auto"/>
        </w:rPr>
      </w:pPr>
    </w:p>
    <w:p>
      <w:pPr>
        <w:ind w:firstLine="634"/>
        <w:spacing w:after="0" w:line="263" w:lineRule="auto"/>
        <w:tabs>
          <w:tab w:leader="none" w:pos="1269"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Committee Determinations</w:t>
      </w:r>
      <w:r>
        <w:rPr>
          <w:rFonts w:ascii="Arial" w:cs="Arial" w:eastAsia="Arial" w:hAnsi="Arial"/>
          <w:sz w:val="17"/>
          <w:szCs w:val="17"/>
          <w:color w:val="auto"/>
        </w:rPr>
        <w:t>. The Committee shall have full power and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18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2</w:t>
      </w:r>
      <w:r>
        <w:rPr>
          <w:sz w:val="20"/>
          <w:szCs w:val="20"/>
          <w:color w:val="auto"/>
        </w:rPr>
        <w:tab/>
      </w:r>
      <w:r>
        <w:rPr>
          <w:rFonts w:ascii="Arial" w:cs="Arial" w:eastAsia="Arial" w:hAnsi="Arial"/>
          <w:sz w:val="15"/>
          <w:szCs w:val="15"/>
          <w:i w:val="1"/>
          <w:iCs w:val="1"/>
          <w:color w:val="auto"/>
        </w:rPr>
        <w:t>Grants</w:t>
      </w:r>
    </w:p>
    <w:p>
      <w:pPr>
        <w:spacing w:after="0" w:line="22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Awards under the Plan may consist of grants of incentive stock options as described in Section 5 (“Incentive Stock Options”), nonqualified stock options as described in Section 5 (“Nonqualified Stock Options”) (Incentive Stock Options and Nonqualified Stock Options are collectively referred to as “Options”), stock awards as described in Section 6 (“Stock Awards”), stock units as described in Section 7 (“Stock Units”), stock appreciation rights (“SARs”) as described in Section 8, and other equity-based awards as described in Section 9 (“Other Equity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Awards”) (collectively referred to herein as “Grants”). All Grants shall be subject to the terms and conditions set forth herein and to such other terms and conditions consistent with this Plan as the Committee deems appropriate and as are specified in writing by the Committee to the individual in a grant instrument or an amendment to the grant instrument (the “Grant Instrument”). All Grants shall be made conditional upon the Grantee’s (as defined below in Section 4(b)) acknowledgement, in writing or by acceptance of the Grant, that all decisions and determinations of the Committee shall be final and binding on the Grantee, his beneficiaries and any other person having or claiming an interest under such Grant. Grants under a particular Section of the Plan need not be uniform as among the Grantees.</w:t>
      </w:r>
    </w:p>
    <w:p>
      <w:pPr>
        <w:spacing w:after="0" w:line="18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3</w:t>
      </w:r>
      <w:r>
        <w:rPr>
          <w:sz w:val="20"/>
          <w:szCs w:val="20"/>
          <w:color w:val="auto"/>
        </w:rPr>
        <w:tab/>
      </w:r>
      <w:r>
        <w:rPr>
          <w:rFonts w:ascii="Arial" w:cs="Arial" w:eastAsia="Arial" w:hAnsi="Arial"/>
          <w:sz w:val="15"/>
          <w:szCs w:val="15"/>
          <w:i w:val="1"/>
          <w:iCs w:val="1"/>
          <w:color w:val="auto"/>
        </w:rPr>
        <w:t>Shares Subject to the Plan</w:t>
      </w:r>
    </w:p>
    <w:p>
      <w:pPr>
        <w:spacing w:after="0" w:line="224" w:lineRule="exact"/>
        <w:rPr>
          <w:sz w:val="20"/>
          <w:szCs w:val="20"/>
          <w:color w:val="auto"/>
        </w:rPr>
      </w:pPr>
    </w:p>
    <w:p>
      <w:pPr>
        <w:ind w:right="240" w:firstLine="634"/>
        <w:spacing w:after="0" w:line="289" w:lineRule="auto"/>
        <w:tabs>
          <w:tab w:leader="none" w:pos="1256"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Shares Authorized</w:t>
      </w:r>
      <w:r>
        <w:rPr>
          <w:rFonts w:ascii="Arial" w:cs="Arial" w:eastAsia="Arial" w:hAnsi="Arial"/>
          <w:sz w:val="17"/>
          <w:szCs w:val="17"/>
          <w:color w:val="auto"/>
        </w:rPr>
        <w:t>. Subject to adjustment as described below, the aggregate number of shares of Common Stock of the Company (“Company Stock”) that may be issued or transferred under the Plan is 110,000(1) shares.</w:t>
      </w:r>
    </w:p>
    <w:p>
      <w:pPr>
        <w:spacing w:after="0" w:line="158" w:lineRule="exact"/>
        <w:rPr>
          <w:rFonts w:ascii="Arial" w:cs="Arial" w:eastAsia="Arial" w:hAnsi="Arial"/>
          <w:sz w:val="17"/>
          <w:szCs w:val="17"/>
          <w:color w:val="auto"/>
        </w:rPr>
      </w:pPr>
    </w:p>
    <w:p>
      <w:pPr>
        <w:jc w:val="both"/>
        <w:ind w:right="140" w:firstLine="634"/>
        <w:spacing w:after="0" w:line="268" w:lineRule="auto"/>
        <w:tabs>
          <w:tab w:leader="none" w:pos="1266"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Determination of Authorized Shares</w:t>
      </w:r>
      <w:r>
        <w:rPr>
          <w:rFonts w:ascii="Arial" w:cs="Arial" w:eastAsia="Arial" w:hAnsi="Arial"/>
          <w:sz w:val="17"/>
          <w:szCs w:val="17"/>
          <w:color w:val="auto"/>
        </w:rPr>
        <w:t>. The shares may be authorized but unissued shares of Company Stock or reacquired shares of Company Stock. If and to the extent Options or SARs granted under the Plan terminate, expire, or are canceled, forfeited, exchanged or surrendered without having been exercised or if any Stock Awards, Stock Units, or Other Equity Awards are forfeited, the shares subject to such Grants shall again be available for purposes of the Plan.</w:t>
      </w:r>
    </w:p>
    <w:p>
      <w:pPr>
        <w:spacing w:after="0" w:line="175" w:lineRule="exact"/>
        <w:rPr>
          <w:rFonts w:ascii="Arial" w:cs="Arial" w:eastAsia="Arial" w:hAnsi="Arial"/>
          <w:sz w:val="17"/>
          <w:szCs w:val="17"/>
          <w:color w:val="auto"/>
        </w:rPr>
      </w:pPr>
    </w:p>
    <w:p>
      <w:pPr>
        <w:jc w:val="both"/>
        <w:ind w:right="200" w:firstLine="634"/>
        <w:spacing w:after="0" w:line="300" w:lineRule="auto"/>
        <w:tabs>
          <w:tab w:leader="none" w:pos="1269" w:val="left"/>
        </w:tabs>
        <w:numPr>
          <w:ilvl w:val="1"/>
          <w:numId w:val="154"/>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If there is any change in the number or kind of shares of Company Stock outstanding by reason of (i) a stock dividend, spinoff, recapitalization, stock split, or combination or exchange of shares, (ii) a merger, reorganization or consolidation, (iii) a reclassification or change in par value, or</w:t>
      </w:r>
    </w:p>
    <w:p>
      <w:pPr>
        <w:ind w:right="20" w:firstLine="5"/>
        <w:spacing w:after="0" w:line="277" w:lineRule="auto"/>
        <w:tabs>
          <w:tab w:leader="none" w:pos="29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and the price per share or the applicable market value of such Grants shall be equitably adjusted by the Committee, in such a manner as the Committee deems appropriate,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In addition, in the event of a Change of Control (as defined below in Section 13) of the Company, the provisions of Section 14 of the Plan shall apply. Any adjustments to outstanding Grants shall be consistent with section 409A or 424 of the Internal Revenue Code of 1986, as amended (the “Code”), to the extent applicable. Any adjustments determined by the Committee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18313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75" w:lineRule="exact"/>
        <w:rPr>
          <w:sz w:val="20"/>
          <w:szCs w:val="20"/>
          <w:color w:val="auto"/>
        </w:rPr>
      </w:pPr>
    </w:p>
    <w:p>
      <w:pPr>
        <w:ind w:left="640" w:hanging="635"/>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This number was subsequently increased to 135,000 by resolution of the Board on June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24" w:gutter="0" w:footer="0" w:header="0"/>
        </w:sectPr>
      </w:pPr>
    </w:p>
    <w:bookmarkStart w:id="216" w:name="page217"/>
    <w:bookmarkEnd w:id="216"/>
    <w:p>
      <w:pPr>
        <w:spacing w:after="0"/>
        <w:tabs>
          <w:tab w:leader="none" w:pos="1260" w:val="left"/>
        </w:tabs>
        <w:rPr>
          <w:sz w:val="20"/>
          <w:szCs w:val="20"/>
          <w:color w:val="auto"/>
        </w:rPr>
      </w:pPr>
      <w:r>
        <w:rPr>
          <w:rFonts w:ascii="Arial" w:cs="Arial" w:eastAsia="Arial" w:hAnsi="Arial"/>
          <w:sz w:val="17"/>
          <w:szCs w:val="17"/>
          <w:i w:val="1"/>
          <w:iCs w:val="1"/>
          <w:color w:val="auto"/>
        </w:rPr>
        <w:t>SECTION 4</w:t>
      </w:r>
      <w:r>
        <w:rPr>
          <w:sz w:val="20"/>
          <w:szCs w:val="20"/>
          <w:color w:val="auto"/>
        </w:rPr>
        <w:tab/>
      </w:r>
      <w:r>
        <w:rPr>
          <w:rFonts w:ascii="Arial" w:cs="Arial" w:eastAsia="Arial" w:hAnsi="Arial"/>
          <w:sz w:val="17"/>
          <w:szCs w:val="17"/>
          <w:i w:val="1"/>
          <w:iCs w:val="1"/>
          <w:color w:val="auto"/>
        </w:rPr>
        <w:t>Eligibility for Participation</w:t>
      </w:r>
    </w:p>
    <w:p>
      <w:pPr>
        <w:spacing w:after="0" w:line="224" w:lineRule="exact"/>
        <w:rPr>
          <w:sz w:val="20"/>
          <w:szCs w:val="20"/>
          <w:color w:val="auto"/>
        </w:rPr>
      </w:pPr>
    </w:p>
    <w:p>
      <w:pPr>
        <w:jc w:val="both"/>
        <w:ind w:right="140" w:firstLine="634"/>
        <w:spacing w:after="0" w:line="265" w:lineRule="auto"/>
        <w:tabs>
          <w:tab w:leader="none" w:pos="125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Eligible Persons</w:t>
      </w:r>
      <w:r>
        <w:rPr>
          <w:rFonts w:ascii="Arial" w:cs="Arial" w:eastAsia="Arial" w:hAnsi="Arial"/>
          <w:sz w:val="17"/>
          <w:szCs w:val="17"/>
          <w:color w:val="auto"/>
        </w:rPr>
        <w:t>. All employees of the Company and its subsidiaries (“Employees”), including Employees who are officers or members of the Board, and members of the Board who are not Employees (“Non-Employee Directors”) shall be eligible to participate in the Plan. Consultants and advisors who perform services for the Company or any of its subsidiaries (“Key Advisors”) shall be eligible to participate in the Plan if the Key Advisors render bona fide services to the Company or its subsidiaries, the services are not in connection with the offer and sale of securities in a capital-raising transaction and the Key Advisors do not directly or indirectly promote or maintain a market for the Company’s securities.</w:t>
      </w:r>
    </w:p>
    <w:p>
      <w:pPr>
        <w:spacing w:after="0" w:line="179" w:lineRule="exact"/>
        <w:rPr>
          <w:rFonts w:ascii="Arial" w:cs="Arial" w:eastAsia="Arial" w:hAnsi="Arial"/>
          <w:sz w:val="17"/>
          <w:szCs w:val="17"/>
          <w:color w:val="auto"/>
        </w:rPr>
      </w:pPr>
    </w:p>
    <w:p>
      <w:pPr>
        <w:ind w:firstLine="634"/>
        <w:spacing w:after="0" w:line="273" w:lineRule="auto"/>
        <w:tabs>
          <w:tab w:leader="none" w:pos="126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Selection of Grantees</w:t>
      </w:r>
      <w:r>
        <w:rPr>
          <w:rFonts w:ascii="Arial" w:cs="Arial" w:eastAsia="Arial" w:hAnsi="Arial"/>
          <w:sz w:val="17"/>
          <w:szCs w:val="17"/>
          <w:color w:val="auto"/>
        </w:rPr>
        <w:t>. The Committee shall select the Employees, Non-Employee Directors and Key Advisors to receive Grants and shall determine the number of shares of Company Stock subject to a particular Grant in such manner as the Committee determines. Employees, Key Advisors and Non-Employee Directors who receive Grants under this Plan shall be referred to herein as “Grantees.”</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5</w:t>
      </w:r>
      <w:r>
        <w:rPr>
          <w:sz w:val="20"/>
          <w:szCs w:val="20"/>
          <w:color w:val="auto"/>
        </w:rPr>
        <w:tab/>
      </w:r>
      <w:r>
        <w:rPr>
          <w:rFonts w:ascii="Arial" w:cs="Arial" w:eastAsia="Arial" w:hAnsi="Arial"/>
          <w:sz w:val="16"/>
          <w:szCs w:val="16"/>
          <w:i w:val="1"/>
          <w:iCs w:val="1"/>
          <w:color w:val="auto"/>
        </w:rPr>
        <w:t>Options</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Committee may grant Options to an Employee, Non-Employee Director or Key Advisor, upon such terms as the Committee deems appropriate. The following provisions are applicable to Options:</w:t>
      </w:r>
    </w:p>
    <w:p>
      <w:pPr>
        <w:spacing w:after="0" w:line="158" w:lineRule="exact"/>
        <w:rPr>
          <w:sz w:val="20"/>
          <w:szCs w:val="20"/>
          <w:color w:val="auto"/>
        </w:rPr>
      </w:pPr>
    </w:p>
    <w:p>
      <w:pPr>
        <w:ind w:right="360" w:firstLine="634"/>
        <w:spacing w:after="0" w:line="289" w:lineRule="auto"/>
        <w:tabs>
          <w:tab w:leader="none" w:pos="1256"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Committee shall determine the number of shares of Company Stock that will be subject to each Grant of Options to Employees, Non-Employee Directors and Key Advisors.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Type of Option and Price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68" w:lineRule="auto"/>
        <w:tabs>
          <w:tab w:leader="none" w:pos="190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Committee may grant Incentive Stock Options that are intended to qualify as “incentive stock options” within the meaning of section 422 of the Code or Nonqualified Stock Options that are not intended so to qualify or any combination of Incentive Stock Options and Nonqualified Stock Options, all in accordance with the terms and conditions set forth herein. Incentive Stock Options may be granted only to Employees. Nonqualified Stock Options may be granted to Employees, Non-Employee Directors and Key Advisors.</w:t>
      </w:r>
    </w:p>
    <w:p>
      <w:pPr>
        <w:spacing w:after="0" w:line="175" w:lineRule="exact"/>
        <w:rPr>
          <w:rFonts w:ascii="Arial" w:cs="Arial" w:eastAsia="Arial" w:hAnsi="Arial"/>
          <w:sz w:val="17"/>
          <w:szCs w:val="17"/>
          <w:color w:val="auto"/>
        </w:rPr>
      </w:pPr>
    </w:p>
    <w:p>
      <w:pPr>
        <w:ind w:right="20" w:firstLine="1263"/>
        <w:spacing w:after="0" w:line="265" w:lineRule="auto"/>
        <w:tabs>
          <w:tab w:leader="none" w:pos="1918"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purchase price (the “Exercise Price”) of Company Stock subject to an Option shall be determined by the Committee and may be equal to or greater than the Fair Market Value (as defined below in Section 5(b)(iii)) of a share of Company Stock on the date the Option is granted. However, an Incentive Stock Option may not be granted to an Employee who, at the time of grant, owns stock possessing more than 10% of the total combined voting power of all classes of stock of the Company or any subsidiary of the Company, unless the Exercise Price per share is not less than 110% of the Fair Market Value of Company Stock on the date of grant.</w:t>
      </w:r>
    </w:p>
    <w:p>
      <w:pPr>
        <w:spacing w:after="0" w:line="179" w:lineRule="exact"/>
        <w:rPr>
          <w:rFonts w:ascii="Arial" w:cs="Arial" w:eastAsia="Arial" w:hAnsi="Arial"/>
          <w:sz w:val="17"/>
          <w:szCs w:val="17"/>
          <w:color w:val="auto"/>
        </w:rPr>
      </w:pPr>
    </w:p>
    <w:p>
      <w:pPr>
        <w:ind w:right="60" w:firstLine="1263"/>
        <w:spacing w:after="0" w:line="289" w:lineRule="auto"/>
        <w:tabs>
          <w:tab w:leader="none" w:pos="192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“Fair Market Value” of Company Stock means, unless the Committee determines otherwise with respect to a particular Grant, (i) if the principal trading market for the Company Stock is a national securities exchange, the last reported sale price during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trading hours of Company Stock on the relevant date or (if there were no trades on that date) the last reported sale price during the regular trading hours on the latest preceding date upon which a sale was reported, (ii) if the Company Stock is not principally traded on such exchange, the mean between the last reported “bid” and “asked” prices of Company Stock during regular trading hours on the relevant date, as reported on the OTC Bulletin Board, or (iii) if the Company Stock is not publicly traded or, if publicly traded, is not so reported, the Fair Market Value per share shall be as determined by the Committee through any reasonable valuation method authorized under the Code.</w:t>
      </w:r>
    </w:p>
    <w:p>
      <w:pPr>
        <w:spacing w:after="0" w:line="179" w:lineRule="exact"/>
        <w:rPr>
          <w:sz w:val="20"/>
          <w:szCs w:val="20"/>
          <w:color w:val="auto"/>
        </w:rPr>
      </w:pPr>
    </w:p>
    <w:p>
      <w:pPr>
        <w:ind w:right="120" w:firstLine="634"/>
        <w:spacing w:after="0" w:line="326" w:lineRule="auto"/>
        <w:tabs>
          <w:tab w:leader="none" w:pos="1269"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Option Term</w:t>
      </w:r>
      <w:r>
        <w:rPr>
          <w:rFonts w:ascii="Arial" w:cs="Arial" w:eastAsia="Arial" w:hAnsi="Arial"/>
          <w:sz w:val="15"/>
          <w:szCs w:val="15"/>
          <w:color w:val="auto"/>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subsidiary of the Company, may not have a term that exceeds five years from the date of grant.</w:t>
      </w:r>
    </w:p>
    <w:p>
      <w:pPr>
        <w:spacing w:after="0" w:line="136" w:lineRule="exact"/>
        <w:rPr>
          <w:rFonts w:ascii="Arial" w:cs="Arial" w:eastAsia="Arial" w:hAnsi="Arial"/>
          <w:sz w:val="15"/>
          <w:szCs w:val="15"/>
          <w:color w:val="auto"/>
        </w:rPr>
      </w:pPr>
    </w:p>
    <w:p>
      <w:pPr>
        <w:ind w:left="1280" w:hanging="646"/>
        <w:spacing w:after="0"/>
        <w:tabs>
          <w:tab w:leader="none" w:pos="128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Exercisability of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360" w:lineRule="auto"/>
        <w:tabs>
          <w:tab w:leader="none" w:pos="1909" w:val="left"/>
        </w:tabs>
        <w:numPr>
          <w:ilvl w:val="1"/>
          <w:numId w:val="159"/>
        </w:numPr>
        <w:rPr>
          <w:rFonts w:ascii="Arial" w:cs="Arial" w:eastAsia="Arial" w:hAnsi="Arial"/>
          <w:sz w:val="15"/>
          <w:szCs w:val="15"/>
          <w:color w:val="auto"/>
        </w:rPr>
      </w:pPr>
      <w:r>
        <w:rPr>
          <w:rFonts w:ascii="Arial" w:cs="Arial" w:eastAsia="Arial" w:hAnsi="Arial"/>
          <w:sz w:val="15"/>
          <w:szCs w:val="15"/>
          <w:color w:val="auto"/>
        </w:rPr>
        <w:t>Options shall become exercisable in accordance with such terms and conditions, consistent with the Plan, as may be determined by the Committee and specified in the Grant Instrument. The Committee may accelerate the exercisability of any or all outstanding Options at any time for any reason.</w:t>
      </w:r>
    </w:p>
    <w:p>
      <w:pPr>
        <w:spacing w:after="0" w:line="111" w:lineRule="exact"/>
        <w:rPr>
          <w:rFonts w:ascii="Arial" w:cs="Arial" w:eastAsia="Arial" w:hAnsi="Arial"/>
          <w:sz w:val="15"/>
          <w:szCs w:val="15"/>
          <w:color w:val="auto"/>
        </w:rPr>
      </w:pPr>
    </w:p>
    <w:p>
      <w:pPr>
        <w:ind w:right="180" w:firstLine="1263"/>
        <w:spacing w:after="0" w:line="268" w:lineRule="auto"/>
        <w:tabs>
          <w:tab w:leader="none" w:pos="191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Committee may provide in a Grant Instrument that the Grantee may elect to exercise part or all of an Option before it otherwise has become exercisable. Any shares so purchased shall be restricted shares and shall be subject to a repurchase right in favor of the Company during a specified restriction period, with the repurchase price equal to the lesser of (A) the Exercise Price or (B) the Fair Market Value of such shares at the time of repurchase, or such other restrictions as the Committee deems appropriate.</w:t>
      </w:r>
    </w:p>
    <w:p>
      <w:pPr>
        <w:spacing w:after="0" w:line="175" w:lineRule="exact"/>
        <w:rPr>
          <w:rFonts w:ascii="Arial" w:cs="Arial" w:eastAsia="Arial" w:hAnsi="Arial"/>
          <w:sz w:val="17"/>
          <w:szCs w:val="17"/>
          <w:color w:val="auto"/>
        </w:rPr>
      </w:pPr>
    </w:p>
    <w:p>
      <w:pPr>
        <w:ind w:firstLine="634"/>
        <w:spacing w:after="0" w:line="268" w:lineRule="auto"/>
        <w:tabs>
          <w:tab w:leader="none" w:pos="1269"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Grants to Non-Exempt Employees</w:t>
      </w:r>
      <w:r>
        <w:rPr>
          <w:rFonts w:ascii="Arial" w:cs="Arial" w:eastAsia="Arial" w:hAnsi="Arial"/>
          <w:sz w:val="17"/>
          <w:szCs w:val="17"/>
          <w:color w:val="auto"/>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Grantee’s death, Disability (as defined below in Section 5(f)(vi)(B)) or retirement, or upon a Change of Control or other circumstances permitted by applicable regulations).</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Disability or Death</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289" w:lineRule="auto"/>
        <w:tabs>
          <w:tab w:leader="none" w:pos="1909"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Except as provided below, an Option may only be exercised while the Grantee is employed by, or providing service to, the Employer (as defined below in Section 5(f)(vi)(C)) as an Employee, Non-Employee Director or Key Advisor.</w:t>
      </w:r>
    </w:p>
    <w:p>
      <w:pPr>
        <w:spacing w:after="0" w:line="158" w:lineRule="exact"/>
        <w:rPr>
          <w:rFonts w:ascii="Arial" w:cs="Arial" w:eastAsia="Arial" w:hAnsi="Arial"/>
          <w:sz w:val="17"/>
          <w:szCs w:val="17"/>
          <w:color w:val="auto"/>
        </w:rPr>
      </w:pPr>
    </w:p>
    <w:p>
      <w:pPr>
        <w:jc w:val="both"/>
        <w:ind w:firstLine="1263"/>
        <w:spacing w:after="0" w:line="268" w:lineRule="auto"/>
        <w:tabs>
          <w:tab w:leader="none" w:pos="191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In the event that a Grantee ceases to be employed by, or provide service to, the Employer for any reason other than on account of the Grantee’s Disability, death, or on account of a termination by the Employer (as defined below in Section 5(f)(vi)(D)) for Cause (as defined below in Section 5(f) (vi)(A)), any Option which is otherwise exercisable by the Grantee shall terminate unless exercised within 90 days after the date on which the Grantee ceases to be employed by, or provide service to, the Employer (or within such other period of time as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525" w:gutter="0" w:footer="0" w:header="0"/>
        </w:sectPr>
      </w:pPr>
    </w:p>
    <w:bookmarkStart w:id="217" w:name="page218"/>
    <w:bookmarkEnd w:id="217"/>
    <w:p>
      <w:pPr>
        <w:spacing w:after="0" w:line="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specified by the Committee), but in any event no later than the date of expiration of the Option term. Except as otherwise provided by the Committee, any of the Grantee’s Options that are not otherwise exercisable as of the date on which the Grantee ceases to be employed by, or provide service to, the Employer shall terminate as of such date.</w:t>
      </w:r>
    </w:p>
    <w:p>
      <w:pPr>
        <w:spacing w:after="0" w:line="172" w:lineRule="exact"/>
        <w:rPr>
          <w:sz w:val="20"/>
          <w:szCs w:val="20"/>
          <w:color w:val="auto"/>
        </w:rPr>
      </w:pPr>
    </w:p>
    <w:p>
      <w:pPr>
        <w:ind w:firstLine="1263"/>
        <w:spacing w:after="0" w:line="281" w:lineRule="auto"/>
        <w:tabs>
          <w:tab w:leader="none" w:pos="192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the Grantee ceases to be employed by, or provide service to, the Employer on account of a termination by the Employer for Cause, any Option held by the Grantee shall terminate as of the date the Grantee ceases to be employed by, or provide service to, the Employer. In addition, notwithstanding any other provisions of this Section 5, if the Committee determines that the Grantee has engaged in conduct that constitutes Cause at any time while the Grantee is employed by, or providing service to, the Employer or after the Grantee’s termination of employment or service, any Option held by the Grantee shall immediately terminate and the Grantee shall automatically forfeit all shares underlying any exercised portion of an Option for which the Employer has not yet delivered the share certificates, upon refund by the Employer of the Exercise Price paid by the Grantee for such shares. Upon any exercise of an Option, the Employer may withhold delivery of share certificates pending resolution of an inquiry that could lead to a finding resulting in a forfeiture.</w:t>
      </w:r>
    </w:p>
    <w:p>
      <w:pPr>
        <w:spacing w:after="0" w:line="170" w:lineRule="exact"/>
        <w:rPr>
          <w:rFonts w:ascii="Arial" w:cs="Arial" w:eastAsia="Arial" w:hAnsi="Arial"/>
          <w:sz w:val="16"/>
          <w:szCs w:val="16"/>
          <w:color w:val="auto"/>
        </w:rPr>
      </w:pPr>
    </w:p>
    <w:p>
      <w:pPr>
        <w:ind w:right="40" w:firstLine="1263"/>
        <w:spacing w:after="0" w:line="285" w:lineRule="auto"/>
        <w:tabs>
          <w:tab w:leader="none" w:pos="1904"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the Grantee ceases to be employed by, or provide service to, the Employer on account of the Grantee’s Disability, any Option which is otherwise exercisable by the Grantee shall terminate unless exercised within one year after the date on which the Grantee ceases to be employed by, or provide service to, the Employer (or within such other period of time as may be specified by the Committee), but in any event no later than the date of expiration of the Option term. Except as otherwise provided by the Committee, any of the Grantee’s Options which are not otherwise exercisable as of the date on which the Grantee ceases to be employed by, or provide service to, the Employer shall terminate as of such date.</w:t>
      </w:r>
    </w:p>
    <w:p>
      <w:pPr>
        <w:spacing w:after="0" w:line="166" w:lineRule="exact"/>
        <w:rPr>
          <w:rFonts w:ascii="Arial" w:cs="Arial" w:eastAsia="Arial" w:hAnsi="Arial"/>
          <w:sz w:val="16"/>
          <w:szCs w:val="16"/>
          <w:color w:val="auto"/>
        </w:rPr>
      </w:pPr>
    </w:p>
    <w:p>
      <w:pPr>
        <w:ind w:firstLine="1263"/>
        <w:spacing w:after="0" w:line="283" w:lineRule="auto"/>
        <w:tabs>
          <w:tab w:leader="none" w:pos="189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the Grantee dies while employed by, or providing service to, the Employer or within 90 days after the date on which the Grantee ceases to be employed or provide service on account of a termination specified in Section 5(f)(ii) above (or within such other period of time as may be specified by the Committee), any Option that is otherwise exercisable by the Grantee shall terminate unless exercised within one year after the date on which the Grantee ceases to be employed by, or provide service to, the Employer (or within such other period of time as may be specified by the Committee), but in any event no later than the date of expiration of the Option term. Except as otherwise provided by the Committee, any of the Grantee’s Options that are not otherwise exercisable as of the date on which the Grantee ceases to be employed by, or provide service to, the Employer shall terminate as of such date.</w:t>
      </w:r>
    </w:p>
    <w:p>
      <w:pPr>
        <w:spacing w:after="0" w:line="166" w:lineRule="exact"/>
        <w:rPr>
          <w:rFonts w:ascii="Arial" w:cs="Arial" w:eastAsia="Arial" w:hAnsi="Arial"/>
          <w:sz w:val="16"/>
          <w:szCs w:val="16"/>
          <w:color w:val="auto"/>
        </w:rPr>
      </w:pPr>
    </w:p>
    <w:p>
      <w:pPr>
        <w:ind w:left="1900" w:hanging="637"/>
        <w:spacing w:after="0"/>
        <w:tabs>
          <w:tab w:leader="none" w:pos="19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For purposes of the Plan: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“Cause” shall mean, except to the extent otherwise specified by the Committee, a finding by the Committee that the Grantee</w:t>
      </w:r>
    </w:p>
    <w:p>
      <w:pPr>
        <w:spacing w:after="0" w:line="37" w:lineRule="exact"/>
        <w:rPr>
          <w:rFonts w:ascii="Arial" w:cs="Arial" w:eastAsia="Arial" w:hAnsi="Arial"/>
          <w:sz w:val="16"/>
          <w:szCs w:val="16"/>
          <w:color w:val="auto"/>
        </w:rPr>
      </w:pPr>
    </w:p>
    <w:p>
      <w:pPr>
        <w:ind w:left="640" w:right="20" w:hanging="6"/>
        <w:spacing w:after="0" w:line="263" w:lineRule="auto"/>
        <w:tabs>
          <w:tab w:leader="none" w:pos="84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has materially breached his or her employment or service contract with the Employer, which breach has not been remedied by the Grantee after written notice has been provided to the Grantee of such breach, (ii) has engaged in disloyalty to the Employer, including, without limitation, fraud, embezzlement, theft, commission of a felony or proven dishonesty, (iii) has disclosed trade secrets or confidential information of the Employer to persons not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receive such information, (iv) has breached any written non-competition or non-solicitation agreement between the Grantee and the Employer, or</w:t>
      </w:r>
    </w:p>
    <w:p>
      <w:pPr>
        <w:spacing w:after="0" w:line="38" w:lineRule="exact"/>
        <w:rPr>
          <w:sz w:val="20"/>
          <w:szCs w:val="20"/>
          <w:color w:val="auto"/>
        </w:rPr>
      </w:pPr>
    </w:p>
    <w:p>
      <w:pPr>
        <w:ind w:left="880" w:hanging="246"/>
        <w:spacing w:after="0"/>
        <w:tabs>
          <w:tab w:leader="none" w:pos="8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has engaged in such other behavior detrimental to the interests of the Employer as the Committee determines.</w:t>
      </w:r>
    </w:p>
    <w:p>
      <w:pPr>
        <w:spacing w:after="0" w:line="212" w:lineRule="exact"/>
        <w:rPr>
          <w:rFonts w:ascii="Arial" w:cs="Arial" w:eastAsia="Arial" w:hAnsi="Arial"/>
          <w:sz w:val="17"/>
          <w:szCs w:val="17"/>
          <w:color w:val="auto"/>
        </w:rPr>
      </w:pPr>
    </w:p>
    <w:p>
      <w:pPr>
        <w:ind w:left="640" w:right="20" w:firstLine="1253"/>
        <w:spacing w:after="0" w:line="289" w:lineRule="auto"/>
        <w:tabs>
          <w:tab w:leader="none" w:pos="253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“Disability” shall mean a Grantee’s becoming disabled within the meaning of section 22(e)(3) of the Code, within the meaning of the Employer’s long-term disability plan applicable to the Grantee, or as otherwise determined by the Committee.</w:t>
      </w:r>
    </w:p>
    <w:p>
      <w:pPr>
        <w:spacing w:after="0" w:line="158" w:lineRule="exact"/>
        <w:rPr>
          <w:rFonts w:ascii="Arial" w:cs="Arial" w:eastAsia="Arial" w:hAnsi="Arial"/>
          <w:sz w:val="17"/>
          <w:szCs w:val="17"/>
          <w:color w:val="auto"/>
        </w:rPr>
      </w:pPr>
    </w:p>
    <w:p>
      <w:pPr>
        <w:ind w:left="640" w:right="240" w:firstLine="1253"/>
        <w:spacing w:after="0" w:line="268" w:lineRule="auto"/>
        <w:tabs>
          <w:tab w:leader="none" w:pos="253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“Employed by, or provide service to, the Employer” shall mean employment or service as an Employee, Non-Employee Director or Key Advisor (so that, for purposes of exercising Options and satisfying conditions with respect to other Grants, a Grantee shall not be considered to have terminated employment or service until the Grantee ceases to be an Employee, Non-Employee Director or Key Advisor), unless the Committee determines otherwise.</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“Employer” shall mean the Company and its affiliates, as determined by the Committee.</w:t>
      </w:r>
    </w:p>
    <w:p>
      <w:pPr>
        <w:spacing w:after="0" w:line="224" w:lineRule="exact"/>
        <w:rPr>
          <w:sz w:val="20"/>
          <w:szCs w:val="20"/>
          <w:color w:val="auto"/>
        </w:rPr>
      </w:pPr>
    </w:p>
    <w:p>
      <w:pPr>
        <w:ind w:right="60" w:firstLine="634"/>
        <w:spacing w:after="0" w:line="261" w:lineRule="auto"/>
        <w:tabs>
          <w:tab w:leader="none" w:pos="1279"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Exercise of Options</w:t>
      </w:r>
      <w:r>
        <w:rPr>
          <w:rFonts w:ascii="Arial" w:cs="Arial" w:eastAsia="Arial" w:hAnsi="Arial"/>
          <w:sz w:val="17"/>
          <w:szCs w:val="17"/>
          <w:color w:val="auto"/>
        </w:rPr>
        <w:t>. A Grantee may exercise an Option that has become exercisable, in whole or in part, by delivering a notice of exercise to the Company. The Grantee shall pay the Exercise Price for an Option as specified by the Committee (i) in cash, (ii) with the approval of the Committee, by delivering shares of Company Stock owned by the Grantee (including Company Stock acquired in connection with the exercise of an Option, subject to such restrictions as the Committee deems appropriate) and having an aggregate Fair Market Value on the date of exercise equal to the Exercise Price or by attestation (on a form prescribed by the Committee) to ownership of shares of Company Stock having an aggregate Fair Market Value on the date of exercise equal to the Exercise Price, (iii) after a Public Offering (as defined below in Section 20) of the Company’s stock, by payment through a broker in accordance with procedures permitted by Regulation T of the Federal Reserve Board, or (iv) by such other method as the Committee may approve. Shares of Company Stock used to exercise an Option shall have been held by the Grantee for the requisite period of time to avoid adverse accounting consequences to the Company with respect to the Option. The Grantee shall pay the Exercise Price and the amount of any withholding tax due (pursuant to Section 10 below) at such time as may be specified by the Committee.</w:t>
      </w:r>
    </w:p>
    <w:p>
      <w:pPr>
        <w:spacing w:after="0" w:line="181" w:lineRule="exact"/>
        <w:rPr>
          <w:rFonts w:ascii="Arial" w:cs="Arial" w:eastAsia="Arial" w:hAnsi="Arial"/>
          <w:sz w:val="17"/>
          <w:szCs w:val="17"/>
          <w:color w:val="auto"/>
        </w:rPr>
      </w:pPr>
    </w:p>
    <w:p>
      <w:pPr>
        <w:ind w:right="180" w:firstLine="634"/>
        <w:spacing w:after="0" w:line="268" w:lineRule="auto"/>
        <w:tabs>
          <w:tab w:leader="none" w:pos="1266"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Each Incentive Stock Option shall provide that, if the aggregate Fair Market Value of the stock on the date of the grant with respect to which Incentive Stock Options are exercisable for the first time by a Grantee during any calendar year, under the Plan or any other stock option plan of the Company or a subsidiary, exceeds $100,000, then the Option, as to the excess, shall be treated as a Nonqualified Stock Option. An Incentive Stock Option shall not be granted to any person who is not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6</w:t>
      </w:r>
      <w:r>
        <w:rPr>
          <w:sz w:val="20"/>
          <w:szCs w:val="20"/>
          <w:color w:val="auto"/>
        </w:rPr>
        <w:tab/>
      </w:r>
      <w:r>
        <w:rPr>
          <w:rFonts w:ascii="Arial" w:cs="Arial" w:eastAsia="Arial" w:hAnsi="Arial"/>
          <w:sz w:val="15"/>
          <w:szCs w:val="15"/>
          <w:i w:val="1"/>
          <w:iCs w:val="1"/>
          <w:color w:val="auto"/>
        </w:rPr>
        <w:t>Stock Awards</w:t>
      </w:r>
    </w:p>
    <w:p>
      <w:pPr>
        <w:spacing w:after="0" w:line="224"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The Committee may issue or transfer shares of Company Stock to an Employee, Non-Employee Director or Key Advisor under a Stock Award, upon such terms as the Committee deems appropriate. The following provisions are applicable to Stock Awards:</w:t>
      </w:r>
    </w:p>
    <w:p>
      <w:pPr>
        <w:spacing w:after="0" w:line="158" w:lineRule="exact"/>
        <w:rPr>
          <w:sz w:val="20"/>
          <w:szCs w:val="20"/>
          <w:color w:val="auto"/>
        </w:rPr>
      </w:pPr>
    </w:p>
    <w:p>
      <w:pPr>
        <w:ind w:right="260" w:firstLine="634"/>
        <w:spacing w:after="0" w:line="285" w:lineRule="auto"/>
        <w:tabs>
          <w:tab w:leader="none" w:pos="1256"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General Requirements</w:t>
      </w:r>
      <w:r>
        <w:rPr>
          <w:rFonts w:ascii="Arial" w:cs="Arial" w:eastAsia="Arial" w:hAnsi="Arial"/>
          <w:sz w:val="16"/>
          <w:szCs w:val="16"/>
          <w:color w:val="auto"/>
        </w:rPr>
        <w:t>. Shares of Company Stock issued or transferred pursuant to Stock Awards may be issued or transferred for cash consideration or for no cash consideration, and subject to restrictions 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upon the achievement of specific performance goals. The period of time during which the Stock Awards will remain subject to restrictions will be designated in the Grant Instrument as the “Restriction Period.”</w:t>
      </w:r>
    </w:p>
    <w:p>
      <w:pPr>
        <w:sectPr>
          <w:pgSz w:w="11900" w:h="16863" w:orient="portrait"/>
          <w:cols w:equalWidth="0" w:num="1">
            <w:col w:w="11420"/>
          </w:cols>
          <w:pgMar w:left="240" w:top="127" w:right="239" w:bottom="0" w:gutter="0" w:footer="0" w:header="0"/>
        </w:sectPr>
      </w:pPr>
    </w:p>
    <w:bookmarkStart w:id="218" w:name="page219"/>
    <w:bookmarkEnd w:id="218"/>
    <w:p>
      <w:pPr>
        <w:ind w:right="420" w:firstLine="634"/>
        <w:spacing w:after="0" w:line="289" w:lineRule="auto"/>
        <w:tabs>
          <w:tab w:leader="none" w:pos="1266"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Committee shall determine the number of shares of Company Stock to be issued or transferred pursuant to a Stock Award and the restrictions applicable to such shares.</w:t>
      </w:r>
    </w:p>
    <w:p>
      <w:pPr>
        <w:spacing w:after="0" w:line="158" w:lineRule="exact"/>
        <w:rPr>
          <w:rFonts w:ascii="Arial" w:cs="Arial" w:eastAsia="Arial" w:hAnsi="Arial"/>
          <w:sz w:val="17"/>
          <w:szCs w:val="17"/>
          <w:color w:val="auto"/>
        </w:rPr>
      </w:pPr>
    </w:p>
    <w:p>
      <w:pPr>
        <w:ind w:right="20" w:firstLine="634"/>
        <w:spacing w:after="0" w:line="290" w:lineRule="auto"/>
        <w:tabs>
          <w:tab w:leader="none" w:pos="1269"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Requirement of Employment or Service</w:t>
      </w:r>
      <w:r>
        <w:rPr>
          <w:rFonts w:ascii="Arial" w:cs="Arial" w:eastAsia="Arial" w:hAnsi="Arial"/>
          <w:sz w:val="16"/>
          <w:szCs w:val="16"/>
          <w:color w:val="auto"/>
        </w:rPr>
        <w:t>. Unless the Committee determines otherwise, if the Grantee ceases to be employed by, or provide service to, the Employer during a period designated in the Grant Instrument as the Restriction Period, or if other specified conditions are not met, the Stock Award shall terminate as to all shares covered by the Grant as to which the restrictions have not lapsed, and those shares of Company Stock must be immediately returned to the Company. The Committee may, however, provide for complete or partial exceptions to this requirement as it deems appropriate.</w:t>
      </w:r>
    </w:p>
    <w:p>
      <w:pPr>
        <w:spacing w:after="0" w:line="159" w:lineRule="exact"/>
        <w:rPr>
          <w:rFonts w:ascii="Arial" w:cs="Arial" w:eastAsia="Arial" w:hAnsi="Arial"/>
          <w:sz w:val="16"/>
          <w:szCs w:val="16"/>
          <w:color w:val="auto"/>
        </w:rPr>
      </w:pPr>
    </w:p>
    <w:p>
      <w:pPr>
        <w:ind w:right="140" w:firstLine="634"/>
        <w:spacing w:after="0" w:line="263" w:lineRule="auto"/>
        <w:tabs>
          <w:tab w:leader="none" w:pos="1266"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and Legend on Stock Certificate</w:t>
      </w:r>
      <w:r>
        <w:rPr>
          <w:rFonts w:ascii="Arial" w:cs="Arial" w:eastAsia="Arial" w:hAnsi="Arial"/>
          <w:sz w:val="17"/>
          <w:szCs w:val="17"/>
          <w:color w:val="auto"/>
        </w:rPr>
        <w:t>. During the Restriction Period, a Grantee may not sell, assign, transfer, pledge or otherwise dispose of the shares of a Stock Award except to a successor under Section 11(a). Each certificate for a share of a Stock Award shall contain a legend giving appropriate notice of the restrictions in the Grant. The Grantee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 or that the Company will retain possession of certificates for shares of Stock Awards until all restrictions on such shares have lapsed.</w:t>
      </w:r>
    </w:p>
    <w:p>
      <w:pPr>
        <w:spacing w:after="0" w:line="183" w:lineRule="exact"/>
        <w:rPr>
          <w:rFonts w:ascii="Arial" w:cs="Arial" w:eastAsia="Arial" w:hAnsi="Arial"/>
          <w:sz w:val="17"/>
          <w:szCs w:val="17"/>
          <w:color w:val="auto"/>
        </w:rPr>
      </w:pPr>
    </w:p>
    <w:p>
      <w:pPr>
        <w:jc w:val="both"/>
        <w:ind w:right="80" w:firstLine="634"/>
        <w:spacing w:after="0" w:line="273" w:lineRule="auto"/>
        <w:tabs>
          <w:tab w:leader="none" w:pos="126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Right to Vote and to Receive Dividends</w:t>
      </w:r>
      <w:r>
        <w:rPr>
          <w:rFonts w:ascii="Arial" w:cs="Arial" w:eastAsia="Arial" w:hAnsi="Arial"/>
          <w:sz w:val="17"/>
          <w:szCs w:val="17"/>
          <w:color w:val="auto"/>
        </w:rPr>
        <w:t>. Unless the Committee determines otherwise, during the Restriction Period, the Grantee shall have the right to vote shares of Stock Awards and to receive any dividends or other distributions paid on such shares, subject to any restrictions deemed appropriate by the Committee, including, without limitation, the achievement of specific performance goals.</w:t>
      </w:r>
    </w:p>
    <w:p>
      <w:pPr>
        <w:spacing w:after="0" w:line="171" w:lineRule="exact"/>
        <w:rPr>
          <w:rFonts w:ascii="Arial" w:cs="Arial" w:eastAsia="Arial" w:hAnsi="Arial"/>
          <w:sz w:val="17"/>
          <w:szCs w:val="17"/>
          <w:color w:val="auto"/>
        </w:rPr>
      </w:pPr>
    </w:p>
    <w:p>
      <w:pPr>
        <w:ind w:right="260" w:firstLine="634"/>
        <w:spacing w:after="0" w:line="273" w:lineRule="auto"/>
        <w:tabs>
          <w:tab w:leader="none" w:pos="126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Lapse of Restrictions</w:t>
      </w:r>
      <w:r>
        <w:rPr>
          <w:rFonts w:ascii="Arial" w:cs="Arial" w:eastAsia="Arial" w:hAnsi="Arial"/>
          <w:sz w:val="17"/>
          <w:szCs w:val="17"/>
          <w:color w:val="auto"/>
        </w:rPr>
        <w:t>. All restrictions imposed on Stock Awards shall lapse upon the expiration of the applicable Restriction Period and the satisfaction of all conditions imposed by the Committee. The Committee may determine, as to any or all Stock Awards, that the restrictions shall lapse without regard to any Restriction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7</w:t>
      </w:r>
      <w:r>
        <w:rPr>
          <w:sz w:val="20"/>
          <w:szCs w:val="20"/>
          <w:color w:val="auto"/>
        </w:rPr>
        <w:tab/>
      </w:r>
      <w:r>
        <w:rPr>
          <w:rFonts w:ascii="Arial" w:cs="Arial" w:eastAsia="Arial" w:hAnsi="Arial"/>
          <w:sz w:val="15"/>
          <w:szCs w:val="15"/>
          <w:i w:val="1"/>
          <w:iCs w:val="1"/>
          <w:color w:val="auto"/>
        </w:rPr>
        <w:t>Stock Units</w:t>
      </w:r>
    </w:p>
    <w:p>
      <w:pPr>
        <w:spacing w:after="0" w:line="224"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The Committee may grant Stock Units representing one or more shares of Company Stock to an Employee, Non-Employee Director or Key Advisor, upon such terms and conditions as the Committee deems appropriate. The following provisions are applicable to Stock Units:</w:t>
      </w:r>
    </w:p>
    <w:p>
      <w:pPr>
        <w:spacing w:after="0" w:line="158" w:lineRule="exact"/>
        <w:rPr>
          <w:sz w:val="20"/>
          <w:szCs w:val="20"/>
          <w:color w:val="auto"/>
        </w:rPr>
      </w:pPr>
    </w:p>
    <w:p>
      <w:pPr>
        <w:ind w:right="160" w:firstLine="634"/>
        <w:spacing w:after="0" w:line="360" w:lineRule="auto"/>
        <w:tabs>
          <w:tab w:leader="none" w:pos="1256"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Crediting of Units</w:t>
      </w:r>
      <w:r>
        <w:rPr>
          <w:rFonts w:ascii="Arial" w:cs="Arial" w:eastAsia="Arial" w:hAnsi="Arial"/>
          <w:sz w:val="15"/>
          <w:szCs w:val="15"/>
          <w:color w:val="auto"/>
        </w:rPr>
        <w:t>. Each Stock Unit shall represent the right of the Grantee to receive an amount based on the value of a share of Company Stock, if specified conditions are met. All Stock Units shall be credited to bookkeeping accounts established on the Company’s records for purposes of the Plan.</w:t>
      </w:r>
    </w:p>
    <w:p>
      <w:pPr>
        <w:spacing w:after="0" w:line="111" w:lineRule="exact"/>
        <w:rPr>
          <w:rFonts w:ascii="Arial" w:cs="Arial" w:eastAsia="Arial" w:hAnsi="Arial"/>
          <w:sz w:val="15"/>
          <w:szCs w:val="15"/>
          <w:color w:val="auto"/>
        </w:rPr>
      </w:pPr>
    </w:p>
    <w:p>
      <w:pPr>
        <w:ind w:right="40" w:firstLine="634"/>
        <w:spacing w:after="0" w:line="298" w:lineRule="auto"/>
        <w:tabs>
          <w:tab w:leader="none" w:pos="1266"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Terms of Stock Units</w:t>
      </w:r>
      <w:r>
        <w:rPr>
          <w:rFonts w:ascii="Arial" w:cs="Arial" w:eastAsia="Arial" w:hAnsi="Arial"/>
          <w:sz w:val="16"/>
          <w:szCs w:val="16"/>
          <w:color w:val="auto"/>
        </w:rPr>
        <w:t>. The Committee may grant Stock Units that are payable if specified performance goals or other conditions are met, or under other circumstances. Stock Units may be paid at the end of a specified performance period or other period, or payment may be deferred to a date authorized by the Committee. The Committee shall determine the number of Stock Units to be granted and the requirements applicable to such Stock Units.</w:t>
      </w:r>
    </w:p>
    <w:p>
      <w:pPr>
        <w:spacing w:after="0" w:line="153" w:lineRule="exact"/>
        <w:rPr>
          <w:rFonts w:ascii="Arial" w:cs="Arial" w:eastAsia="Arial" w:hAnsi="Arial"/>
          <w:sz w:val="16"/>
          <w:szCs w:val="16"/>
          <w:color w:val="auto"/>
        </w:rPr>
      </w:pPr>
    </w:p>
    <w:p>
      <w:pPr>
        <w:ind w:right="240" w:firstLine="634"/>
        <w:spacing w:after="0" w:line="273" w:lineRule="auto"/>
        <w:tabs>
          <w:tab w:leader="none" w:pos="1269"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Requirement of Employment or Service</w:t>
      </w:r>
      <w:r>
        <w:rPr>
          <w:rFonts w:ascii="Arial" w:cs="Arial" w:eastAsia="Arial" w:hAnsi="Arial"/>
          <w:sz w:val="17"/>
          <w:szCs w:val="17"/>
          <w:color w:val="auto"/>
        </w:rPr>
        <w:t>. Unless the Committee determines otherwise, if the Grantee ceases to be employed by, or provide service to, the Employer during a specified period, or if other conditions established by the Committee are not met, the Grantee’s Stock Units shall be forfeited. The Committee may, however, provide for complete or partial exceptions to this requirement as it deems appropriate.</w:t>
      </w:r>
    </w:p>
    <w:p>
      <w:pPr>
        <w:spacing w:after="0" w:line="171" w:lineRule="exact"/>
        <w:rPr>
          <w:rFonts w:ascii="Arial" w:cs="Arial" w:eastAsia="Arial" w:hAnsi="Arial"/>
          <w:sz w:val="17"/>
          <w:szCs w:val="17"/>
          <w:color w:val="auto"/>
        </w:rPr>
      </w:pPr>
    </w:p>
    <w:p>
      <w:pPr>
        <w:ind w:right="200" w:firstLine="634"/>
        <w:spacing w:after="0" w:line="289" w:lineRule="auto"/>
        <w:tabs>
          <w:tab w:leader="none" w:pos="1266"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Payment With Respect to Stock Units</w:t>
      </w:r>
      <w:r>
        <w:rPr>
          <w:rFonts w:ascii="Arial" w:cs="Arial" w:eastAsia="Arial" w:hAnsi="Arial"/>
          <w:sz w:val="17"/>
          <w:szCs w:val="17"/>
          <w:color w:val="auto"/>
        </w:rPr>
        <w:t>. Payments with respect to Stock Units may be made in cash, in Company Stock, or in a combination of the two, as determined by the Committee.</w:t>
      </w:r>
    </w:p>
    <w:p>
      <w:pPr>
        <w:spacing w:after="0" w:line="15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8</w:t>
      </w:r>
      <w:r>
        <w:rPr>
          <w:sz w:val="20"/>
          <w:szCs w:val="20"/>
          <w:color w:val="auto"/>
        </w:rPr>
        <w:tab/>
      </w:r>
      <w:r>
        <w:rPr>
          <w:rFonts w:ascii="Arial" w:cs="Arial" w:eastAsia="Arial" w:hAnsi="Arial"/>
          <w:sz w:val="15"/>
          <w:szCs w:val="15"/>
          <w:i w:val="1"/>
          <w:iCs w:val="1"/>
          <w:color w:val="auto"/>
        </w:rPr>
        <w:t>Stock Appreciation Rights</w:t>
      </w:r>
    </w:p>
    <w:p>
      <w:pPr>
        <w:spacing w:after="0" w:line="224"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Committee may grant SARs to an Employee, Non-Employee Director or Key Advisor separately or in tandem with any Option. The following provisions are applicable to SARs:</w:t>
      </w:r>
    </w:p>
    <w:p>
      <w:pPr>
        <w:spacing w:after="0" w:line="158" w:lineRule="exact"/>
        <w:rPr>
          <w:sz w:val="20"/>
          <w:szCs w:val="20"/>
          <w:color w:val="auto"/>
        </w:rPr>
      </w:pPr>
    </w:p>
    <w:p>
      <w:pPr>
        <w:ind w:right="140" w:firstLine="634"/>
        <w:spacing w:after="0" w:line="289" w:lineRule="auto"/>
        <w:tabs>
          <w:tab w:leader="none" w:pos="1256"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Base Amount</w:t>
      </w:r>
      <w:r>
        <w:rPr>
          <w:rFonts w:ascii="Arial" w:cs="Arial" w:eastAsia="Arial" w:hAnsi="Arial"/>
          <w:sz w:val="17"/>
          <w:szCs w:val="17"/>
          <w:color w:val="auto"/>
        </w:rPr>
        <w:t>. The Committee shall establish the base amount of the SAR at the time the SAR is granted. The base amount of each SAR shall not be less than the Fair Market Value of a share of Company Stock on the date of Grant of the SAR.</w:t>
      </w:r>
    </w:p>
    <w:p>
      <w:pPr>
        <w:spacing w:after="0" w:line="158" w:lineRule="exact"/>
        <w:rPr>
          <w:rFonts w:ascii="Arial" w:cs="Arial" w:eastAsia="Arial" w:hAnsi="Arial"/>
          <w:sz w:val="17"/>
          <w:szCs w:val="17"/>
          <w:color w:val="auto"/>
        </w:rPr>
      </w:pPr>
    </w:p>
    <w:p>
      <w:pPr>
        <w:ind w:right="100" w:firstLine="634"/>
        <w:spacing w:after="0" w:line="268" w:lineRule="auto"/>
        <w:tabs>
          <w:tab w:leader="none" w:pos="1266"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Tandem SARs</w:t>
      </w:r>
      <w:r>
        <w:rPr>
          <w:rFonts w:ascii="Arial" w:cs="Arial" w:eastAsia="Arial" w:hAnsi="Arial"/>
          <w:sz w:val="17"/>
          <w:szCs w:val="17"/>
          <w:color w:val="auto"/>
        </w:rPr>
        <w:t>. In the case of tandem SARs, the number of SARs granted to a Grantee that shall be exercisable during a specified period shall not exceed the number of shares of Company Stock that the Grantee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175" w:lineRule="exact"/>
        <w:rPr>
          <w:rFonts w:ascii="Arial" w:cs="Arial" w:eastAsia="Arial" w:hAnsi="Arial"/>
          <w:sz w:val="17"/>
          <w:szCs w:val="17"/>
          <w:color w:val="auto"/>
        </w:rPr>
      </w:pPr>
    </w:p>
    <w:p>
      <w:pPr>
        <w:ind w:right="60" w:firstLine="634"/>
        <w:spacing w:after="0" w:line="273" w:lineRule="auto"/>
        <w:tabs>
          <w:tab w:leader="none" w:pos="126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An SAR shall be exercisable during the period specified by the Committee in the Grant Instrument and shall be subject to such vesting and other restrictions as may be specified in the Grant Instrument. The Committee may accelerate the exercisability of any or all outstanding SARs at any time for any reason. SARs may only be exercised while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00"/>
        <w:spacing w:after="0" w:line="322" w:lineRule="auto"/>
        <w:rPr>
          <w:sz w:val="20"/>
          <w:szCs w:val="20"/>
          <w:color w:val="auto"/>
        </w:rPr>
      </w:pPr>
      <w:r>
        <w:rPr>
          <w:rFonts w:ascii="Arial" w:cs="Arial" w:eastAsia="Arial" w:hAnsi="Arial"/>
          <w:sz w:val="16"/>
          <w:szCs w:val="16"/>
          <w:color w:val="auto"/>
        </w:rPr>
        <w:t>Grantee is employed by, or providing service to, the Employer or during the applicable period after termination of employment or service as described in Section 5(f) above. A tandem SAR shall be exercisable only during the period when the Option to which it is related is also exercisable.</w:t>
      </w:r>
    </w:p>
    <w:p>
      <w:pPr>
        <w:spacing w:after="0" w:line="136" w:lineRule="exact"/>
        <w:rPr>
          <w:sz w:val="20"/>
          <w:szCs w:val="20"/>
          <w:color w:val="auto"/>
        </w:rPr>
      </w:pPr>
    </w:p>
    <w:p>
      <w:pPr>
        <w:ind w:right="140" w:firstLine="634"/>
        <w:spacing w:after="0" w:line="268" w:lineRule="auto"/>
        <w:tabs>
          <w:tab w:leader="none" w:pos="1266"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Grants to Non-Exempt Employees</w:t>
      </w:r>
      <w:r>
        <w:rPr>
          <w:rFonts w:ascii="Arial" w:cs="Arial" w:eastAsia="Arial" w:hAnsi="Arial"/>
          <w:sz w:val="17"/>
          <w:szCs w:val="17"/>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Grantee’s death, Disability or retirement, or upon a Change of Control or other circumstances permitted by applicable regulations).</w:t>
      </w:r>
    </w:p>
    <w:p>
      <w:pPr>
        <w:spacing w:after="0" w:line="175" w:lineRule="exact"/>
        <w:rPr>
          <w:rFonts w:ascii="Arial" w:cs="Arial" w:eastAsia="Arial" w:hAnsi="Arial"/>
          <w:sz w:val="17"/>
          <w:szCs w:val="17"/>
          <w:color w:val="auto"/>
        </w:rPr>
      </w:pPr>
    </w:p>
    <w:p>
      <w:pPr>
        <w:ind w:firstLine="634"/>
        <w:spacing w:after="0" w:line="273" w:lineRule="auto"/>
        <w:tabs>
          <w:tab w:leader="none" w:pos="1269"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Value of SARs</w:t>
      </w:r>
      <w:r>
        <w:rPr>
          <w:rFonts w:ascii="Arial" w:cs="Arial" w:eastAsia="Arial" w:hAnsi="Arial"/>
          <w:sz w:val="17"/>
          <w:szCs w:val="17"/>
          <w:color w:val="auto"/>
        </w:rPr>
        <w:t>. When a Grantee exercises SARs, the Grantee shall receive in settlement of such SARs an amount equal to the value of the stock appreciation for the number of SARs exercised. The stock appreciation for an SAR is the amount by which the Fair Market Value of the underlying Company Stock on the date of exercise of the SAR exceeds the base amount of the SAR as described in subsection (a).</w:t>
      </w:r>
    </w:p>
    <w:p>
      <w:pPr>
        <w:sectPr>
          <w:pgSz w:w="11900" w:h="16838" w:orient="portrait"/>
          <w:cols w:equalWidth="0" w:num="1">
            <w:col w:w="11400"/>
          </w:cols>
          <w:pgMar w:left="240" w:top="337" w:right="259" w:bottom="0" w:gutter="0" w:footer="0" w:header="0"/>
        </w:sectPr>
      </w:pPr>
    </w:p>
    <w:bookmarkStart w:id="219" w:name="page220"/>
    <w:bookmarkEnd w:id="219"/>
    <w:p>
      <w:pPr>
        <w:ind w:right="100" w:firstLine="634"/>
        <w:spacing w:after="0" w:line="273" w:lineRule="auto"/>
        <w:tabs>
          <w:tab w:leader="none" w:pos="1263"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The appreciation in an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9</w:t>
      </w:r>
      <w:r>
        <w:rPr>
          <w:sz w:val="20"/>
          <w:szCs w:val="20"/>
          <w:color w:val="auto"/>
        </w:rPr>
        <w:tab/>
      </w:r>
      <w:r>
        <w:rPr>
          <w:rFonts w:ascii="Arial" w:cs="Arial" w:eastAsia="Arial" w:hAnsi="Arial"/>
          <w:sz w:val="15"/>
          <w:szCs w:val="15"/>
          <w:i w:val="1"/>
          <w:iCs w:val="1"/>
          <w:color w:val="auto"/>
        </w:rPr>
        <w:t>Other Equity Awards</w:t>
      </w:r>
    </w:p>
    <w:p>
      <w:pPr>
        <w:spacing w:after="0" w:line="224"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The Committee may grant Other Equity Awards, which are awards (other than those described in Sections 5, 6, 7 and 8 of the Plan) that are based on, measured by or payable in Company Stock, including, without limitation, stock appreciation rights, to any Employee, Non-Employee Director or Key Advisor, on such terms and conditions as the Committee shall determine. Other Equity Awards may be awarded subject to the achievement of performance goals or other conditions and may be payable in cash, Company Stock or any combination of the foregoing, as the Committee shall determine.</w:t>
      </w:r>
    </w:p>
    <w:p>
      <w:pPr>
        <w:spacing w:after="0" w:line="15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10</w:t>
      </w:r>
      <w:r>
        <w:rPr>
          <w:sz w:val="20"/>
          <w:szCs w:val="20"/>
          <w:color w:val="auto"/>
        </w:rPr>
        <w:tab/>
      </w:r>
      <w:r>
        <w:rPr>
          <w:rFonts w:ascii="Arial" w:cs="Arial" w:eastAsia="Arial" w:hAnsi="Arial"/>
          <w:sz w:val="15"/>
          <w:szCs w:val="15"/>
          <w:i w:val="1"/>
          <w:iCs w:val="1"/>
          <w:color w:val="auto"/>
        </w:rPr>
        <w:t>Withholding of Taxes</w:t>
      </w:r>
    </w:p>
    <w:p>
      <w:pPr>
        <w:spacing w:after="0" w:line="224" w:lineRule="exact"/>
        <w:rPr>
          <w:sz w:val="20"/>
          <w:szCs w:val="20"/>
          <w:color w:val="auto"/>
        </w:rPr>
      </w:pPr>
    </w:p>
    <w:p>
      <w:pPr>
        <w:ind w:right="80" w:firstLine="634"/>
        <w:spacing w:after="0" w:line="268" w:lineRule="auto"/>
        <w:tabs>
          <w:tab w:leader="none" w:pos="1256"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Required Withholding</w:t>
      </w:r>
      <w:r>
        <w:rPr>
          <w:rFonts w:ascii="Arial" w:cs="Arial" w:eastAsia="Arial" w:hAnsi="Arial"/>
          <w:sz w:val="17"/>
          <w:szCs w:val="17"/>
          <w:color w:val="auto"/>
        </w:rPr>
        <w:t>. All Grants under the Plan shall be subject to applicable federal (including FICA), state and local tax withholding requirements. The Employer may require that the Grantee or other person receiving or exercising Grants pay to the Employer the amount of any federal, state or local taxes that the Employer is required to withhold with respect to such Grants, or the Employer may deduct from other wages paid by the Employer the amount of any withholding taxes due with respect to such Grants.</w:t>
      </w:r>
    </w:p>
    <w:p>
      <w:pPr>
        <w:spacing w:after="0" w:line="175" w:lineRule="exact"/>
        <w:rPr>
          <w:rFonts w:ascii="Arial" w:cs="Arial" w:eastAsia="Arial" w:hAnsi="Arial"/>
          <w:sz w:val="17"/>
          <w:szCs w:val="17"/>
          <w:color w:val="auto"/>
        </w:rPr>
      </w:pPr>
    </w:p>
    <w:p>
      <w:pPr>
        <w:ind w:right="20" w:firstLine="634"/>
        <w:spacing w:after="0" w:line="268" w:lineRule="auto"/>
        <w:tabs>
          <w:tab w:leader="none" w:pos="1266"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Election to Withhold Shares</w:t>
      </w:r>
      <w:r>
        <w:rPr>
          <w:rFonts w:ascii="Arial" w:cs="Arial" w:eastAsia="Arial" w:hAnsi="Arial"/>
          <w:sz w:val="17"/>
          <w:szCs w:val="17"/>
          <w:color w:val="auto"/>
        </w:rPr>
        <w:t>. If the Committee so permits, a Grantee may elect to satisfy the Employer’s tax withholding obligation with respect to Grants paid in Company Stock by having shares withheld up to an amount that does not exceed the minimum applicable withholding tax rate for federal (including FICA), state and local tax liabilities. The election must be in a form and manner prescribed by the Committee and may be subject to the prior approval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i w:val="1"/>
          <w:iCs w:val="1"/>
          <w:color w:val="auto"/>
        </w:rPr>
        <w:t>SECTION 11</w:t>
      </w:r>
      <w:r>
        <w:rPr>
          <w:sz w:val="20"/>
          <w:szCs w:val="20"/>
          <w:color w:val="auto"/>
        </w:rPr>
        <w:tab/>
      </w:r>
      <w:r>
        <w:rPr>
          <w:rFonts w:ascii="Arial" w:cs="Arial" w:eastAsia="Arial" w:hAnsi="Arial"/>
          <w:sz w:val="16"/>
          <w:szCs w:val="16"/>
          <w:i w:val="1"/>
          <w:iCs w:val="1"/>
          <w:color w:val="auto"/>
        </w:rPr>
        <w:t>Transferability of Grants</w:t>
      </w:r>
    </w:p>
    <w:p>
      <w:pPr>
        <w:spacing w:after="0" w:line="224" w:lineRule="exact"/>
        <w:rPr>
          <w:sz w:val="20"/>
          <w:szCs w:val="20"/>
          <w:color w:val="auto"/>
        </w:rPr>
      </w:pPr>
    </w:p>
    <w:p>
      <w:pPr>
        <w:ind w:right="100" w:firstLine="634"/>
        <w:spacing w:after="0" w:line="308" w:lineRule="auto"/>
        <w:tabs>
          <w:tab w:leader="none" w:pos="1256"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Nontransferability of Grants</w:t>
      </w:r>
      <w:r>
        <w:rPr>
          <w:rFonts w:ascii="Arial" w:cs="Arial" w:eastAsia="Arial" w:hAnsi="Arial"/>
          <w:sz w:val="15"/>
          <w:szCs w:val="15"/>
          <w:color w:val="auto"/>
        </w:rPr>
        <w:t>. Except as provided below, only the Grantee may exercise rights under a Grant during the Grantee’s lifetime. A Grantee may not transfer those rights except (i) by will or by the laws of descent and distribution or (ii) with respect to Grants other than Incentive Stock Options, if permitted in any specific case by the Committee, pursuant to a domestic relations order or otherwise as permitted by the Committee.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spacing w:after="0" w:line="151" w:lineRule="exact"/>
        <w:rPr>
          <w:rFonts w:ascii="Arial" w:cs="Arial" w:eastAsia="Arial" w:hAnsi="Arial"/>
          <w:sz w:val="15"/>
          <w:szCs w:val="15"/>
          <w:color w:val="auto"/>
        </w:rPr>
      </w:pPr>
    </w:p>
    <w:p>
      <w:pPr>
        <w:ind w:right="60" w:firstLine="634"/>
        <w:spacing w:after="0" w:line="314" w:lineRule="auto"/>
        <w:tabs>
          <w:tab w:leader="none" w:pos="1266"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Transfer of Nonqualified Stock Options</w:t>
      </w:r>
      <w:r>
        <w:rPr>
          <w:rFonts w:ascii="Arial" w:cs="Arial" w:eastAsia="Arial" w:hAnsi="Arial"/>
          <w:sz w:val="15"/>
          <w:szCs w:val="15"/>
          <w:color w:val="auto"/>
        </w:rPr>
        <w:t>. Notwithstanding the foregoing, the Committee may provide, in a Grant Instrument, that a Grantee may transfer Nonqualified Stock Options to family members, or one or more trusts or other entities for the benefit of or owned by family members, consistent with the applicable securities laws, according to such terms as the Committee may determine; provided that the Grantee receives no consideration for the transfer of an Option and the transferred Option shall continue to be subject to the same terms and conditions as were applicable to the Option immediately before the transfer.</w:t>
      </w:r>
    </w:p>
    <w:p>
      <w:pPr>
        <w:spacing w:after="0" w:line="14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12</w:t>
      </w:r>
      <w:r>
        <w:rPr>
          <w:sz w:val="20"/>
          <w:szCs w:val="20"/>
          <w:color w:val="auto"/>
        </w:rPr>
        <w:tab/>
      </w:r>
      <w:r>
        <w:rPr>
          <w:rFonts w:ascii="Arial" w:cs="Arial" w:eastAsia="Arial" w:hAnsi="Arial"/>
          <w:sz w:val="15"/>
          <w:szCs w:val="15"/>
          <w:i w:val="1"/>
          <w:iCs w:val="1"/>
          <w:color w:val="auto"/>
        </w:rPr>
        <w:t>Right of First Refusal; Repurchase Right</w:t>
      </w:r>
    </w:p>
    <w:p>
      <w:pPr>
        <w:spacing w:after="0" w:line="224" w:lineRule="exact"/>
        <w:rPr>
          <w:sz w:val="20"/>
          <w:szCs w:val="20"/>
          <w:color w:val="auto"/>
        </w:rPr>
      </w:pPr>
    </w:p>
    <w:p>
      <w:pPr>
        <w:ind w:right="180" w:firstLine="634"/>
        <w:spacing w:after="0" w:line="281" w:lineRule="auto"/>
        <w:tabs>
          <w:tab w:leader="none" w:pos="1256"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Offer</w:t>
      </w:r>
      <w:r>
        <w:rPr>
          <w:rFonts w:ascii="Arial" w:cs="Arial" w:eastAsia="Arial" w:hAnsi="Arial"/>
          <w:sz w:val="16"/>
          <w:szCs w:val="16"/>
          <w:color w:val="auto"/>
        </w:rPr>
        <w:t>. Prior to the consummation of a Public Offering, if at any time an individual desires to sell, encumber, or otherwise dispose of shares of Company Stock that were distributed to him or her under this Plan and that are transferable, the individual may do so only pursuant to a bona fide written offer, and the individual shall first offer the shares to the Company by giving the Company written notice disclosing: (i) the name of the proposed transferee of the Company Stock, (ii) the certificate number and number of shares of Company Stock proposed to be transferred or encumbered, (iii) the proposed price, (iv) all other terms of the proposed transfer, and (v) a written copy of the proposed offer. Within 60 days after receipt of such notice, the Company shall have the option to purchase all or part of such Company Stock at the price and on the terms described in the written notice; provided that the Company may pay such price in installments over a period not to exceed four years, at the discretion of the Committee.</w:t>
      </w:r>
    </w:p>
    <w:p>
      <w:pPr>
        <w:spacing w:after="0" w:line="170" w:lineRule="exact"/>
        <w:rPr>
          <w:rFonts w:ascii="Arial" w:cs="Arial" w:eastAsia="Arial" w:hAnsi="Arial"/>
          <w:sz w:val="16"/>
          <w:szCs w:val="16"/>
          <w:color w:val="auto"/>
        </w:rPr>
      </w:pPr>
    </w:p>
    <w:p>
      <w:pPr>
        <w:ind w:firstLine="634"/>
        <w:spacing w:after="0" w:line="290" w:lineRule="auto"/>
        <w:tabs>
          <w:tab w:leader="none" w:pos="1266"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Sale</w:t>
      </w:r>
      <w:r>
        <w:rPr>
          <w:rFonts w:ascii="Arial" w:cs="Arial" w:eastAsia="Arial" w:hAnsi="Arial"/>
          <w:sz w:val="16"/>
          <w:szCs w:val="16"/>
          <w:color w:val="auto"/>
        </w:rPr>
        <w:t>. In the event the Company (or a stockholder, as described below) does not exercise the option to purchase Company Stock, as provided above, the individual shall have the right to sell, encumber, or otherwise dispose of the shares of Company Stock described in subsection (a) at the price and on the terms of the transfer set forth in the written notice to the Company, provided such transfer is effected within 15 days after the expiration of the option period. If the transfer is not effected within such period, the Company must again be given an option to purchase, as provided above.</w:t>
      </w:r>
    </w:p>
    <w:p>
      <w:pPr>
        <w:spacing w:after="0" w:line="159" w:lineRule="exact"/>
        <w:rPr>
          <w:rFonts w:ascii="Arial" w:cs="Arial" w:eastAsia="Arial" w:hAnsi="Arial"/>
          <w:sz w:val="16"/>
          <w:szCs w:val="16"/>
          <w:color w:val="auto"/>
        </w:rPr>
      </w:pPr>
    </w:p>
    <w:p>
      <w:pPr>
        <w:ind w:left="1280" w:hanging="646"/>
        <w:spacing w:after="0"/>
        <w:tabs>
          <w:tab w:leader="none" w:pos="128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The Board, in its sole discretion, may waive the Company’s right of first refusal and repurchase right under this</w:t>
      </w:r>
    </w:p>
    <w:p>
      <w:pPr>
        <w:spacing w:after="0" w:line="26"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Section 12. If the Company’s right of first refusal or repurchase right is so waived, the Board may, in its sole discretion, assign such right to the remaining stockholders of the Company in the same proportion that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360" w:lineRule="auto"/>
        <w:rPr>
          <w:sz w:val="20"/>
          <w:szCs w:val="20"/>
          <w:color w:val="auto"/>
        </w:rPr>
      </w:pPr>
      <w:r>
        <w:rPr>
          <w:rFonts w:ascii="Arial" w:cs="Arial" w:eastAsia="Arial" w:hAnsi="Arial"/>
          <w:sz w:val="15"/>
          <w:szCs w:val="15"/>
          <w:color w:val="auto"/>
        </w:rPr>
        <w:t>stockholder’s stock ownership bears to the stock ownership of all the stockholders of the Company, as determined by the Board. To the extent that a stockholder has been given such right and does not purchase his or her allotment, the other stockholders shall have the right to purchase such allotment on the same basis.</w:t>
      </w:r>
    </w:p>
    <w:p>
      <w:pPr>
        <w:spacing w:after="0" w:line="112" w:lineRule="exact"/>
        <w:rPr>
          <w:sz w:val="20"/>
          <w:szCs w:val="20"/>
          <w:color w:val="auto"/>
        </w:rPr>
      </w:pPr>
    </w:p>
    <w:p>
      <w:pPr>
        <w:ind w:right="60" w:firstLine="634"/>
        <w:spacing w:after="0" w:line="268" w:lineRule="auto"/>
        <w:tabs>
          <w:tab w:leader="none" w:pos="126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Purchase by the Company</w:t>
      </w:r>
      <w:r>
        <w:rPr>
          <w:rFonts w:ascii="Arial" w:cs="Arial" w:eastAsia="Arial" w:hAnsi="Arial"/>
          <w:sz w:val="17"/>
          <w:szCs w:val="17"/>
          <w:color w:val="auto"/>
        </w:rPr>
        <w:t>. Prior to the consummation of a Public Offering, if a Grantee ceases to be employed by, or provide service to, the Employer, the Company shall have the right to purchase all or part of any Company Stock distributed to the Grantee under this Plan at its then current Fair Market Value or at such other price as may be established in the Grant Instrument; provided, however, that such repurchase shall be made in accordance with applicable law and shall be made in accordance with applicable accounting rules to avoid adverse accounting treatment.</w:t>
      </w:r>
    </w:p>
    <w:p>
      <w:pPr>
        <w:spacing w:after="0" w:line="175" w:lineRule="exact"/>
        <w:rPr>
          <w:rFonts w:ascii="Arial" w:cs="Arial" w:eastAsia="Arial" w:hAnsi="Arial"/>
          <w:sz w:val="17"/>
          <w:szCs w:val="17"/>
          <w:color w:val="auto"/>
        </w:rPr>
      </w:pPr>
    </w:p>
    <w:p>
      <w:pPr>
        <w:ind w:right="160" w:firstLine="634"/>
        <w:spacing w:after="0" w:line="289" w:lineRule="auto"/>
        <w:tabs>
          <w:tab w:leader="none" w:pos="1269"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Public Offering</w:t>
      </w:r>
      <w:r>
        <w:rPr>
          <w:rFonts w:ascii="Arial" w:cs="Arial" w:eastAsia="Arial" w:hAnsi="Arial"/>
          <w:sz w:val="17"/>
          <w:szCs w:val="17"/>
          <w:color w:val="auto"/>
        </w:rPr>
        <w:t>. On and after the consummation of a Public Offering, the Company shall have no further right to purchase shares of Company Stock under this Section 12. The requirements of this Section 12 shall lapse and cease to be effective upon a Public Offering.</w:t>
      </w:r>
    </w:p>
    <w:p>
      <w:pPr>
        <w:spacing w:after="0" w:line="158" w:lineRule="exact"/>
        <w:rPr>
          <w:rFonts w:ascii="Arial" w:cs="Arial" w:eastAsia="Arial" w:hAnsi="Arial"/>
          <w:sz w:val="17"/>
          <w:szCs w:val="17"/>
          <w:color w:val="auto"/>
        </w:rPr>
      </w:pPr>
    </w:p>
    <w:p>
      <w:pPr>
        <w:ind w:right="180" w:firstLine="634"/>
        <w:spacing w:after="0" w:line="273" w:lineRule="auto"/>
        <w:tabs>
          <w:tab w:leader="none" w:pos="1263"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Notwithstanding the provisions of this Section 12, if the Committee requires that a Grantee execute a stockholder’s agreement with respect to any Company Stock distributed pursuant to this Plan, which contains a right of first refusal or repurchase right, the provisions of this Section 12 shall not apply to such Company Stock, unless the Committee determines otherwise.</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13</w:t>
      </w:r>
      <w:r>
        <w:rPr>
          <w:sz w:val="20"/>
          <w:szCs w:val="20"/>
          <w:color w:val="auto"/>
        </w:rPr>
        <w:tab/>
      </w:r>
      <w:r>
        <w:rPr>
          <w:rFonts w:ascii="Arial" w:cs="Arial" w:eastAsia="Arial" w:hAnsi="Arial"/>
          <w:sz w:val="15"/>
          <w:szCs w:val="15"/>
          <w:i w:val="1"/>
          <w:iCs w:val="1"/>
          <w:color w:val="auto"/>
        </w:rPr>
        <w:t>Change of Control of the Company</w:t>
      </w:r>
    </w:p>
    <w:p>
      <w:pPr>
        <w:spacing w:after="0" w:line="224" w:lineRule="exact"/>
        <w:rPr>
          <w:sz w:val="20"/>
          <w:szCs w:val="20"/>
          <w:color w:val="auto"/>
        </w:rPr>
      </w:pPr>
    </w:p>
    <w:p>
      <w:pPr>
        <w:ind w:left="1260" w:hanging="626"/>
        <w:spacing w:after="0"/>
        <w:tabs>
          <w:tab w:leader="none" w:pos="126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As used herein, a “Change of Control” shall be deemed to have occurred if:</w:t>
      </w:r>
    </w:p>
    <w:p>
      <w:pPr>
        <w:sectPr>
          <w:pgSz w:w="11900" w:h="16838" w:orient="portrait"/>
          <w:cols w:equalWidth="0" w:num="1">
            <w:col w:w="11420"/>
          </w:cols>
          <w:pgMar w:left="240" w:top="128" w:right="239" w:bottom="0" w:gutter="0" w:footer="0" w:header="0"/>
        </w:sectPr>
      </w:pPr>
    </w:p>
    <w:bookmarkStart w:id="220" w:name="page221"/>
    <w:bookmarkEnd w:id="220"/>
    <w:p>
      <w:pPr>
        <w:ind w:right="80" w:firstLine="1263"/>
        <w:spacing w:after="0" w:line="262" w:lineRule="auto"/>
        <w:tabs>
          <w:tab w:leader="none" w:pos="190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Securities Exchange Act of 1934, as amended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a transaction or series of related transactions pursuant to which the Company issues securities in a bona fide sale to raise funds for operations, (B) a Public Offering or (C)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or</w:t>
      </w:r>
    </w:p>
    <w:p>
      <w:pPr>
        <w:spacing w:after="0" w:line="184" w:lineRule="exact"/>
        <w:rPr>
          <w:rFonts w:ascii="Arial" w:cs="Arial" w:eastAsia="Arial" w:hAnsi="Arial"/>
          <w:sz w:val="17"/>
          <w:szCs w:val="17"/>
          <w:color w:val="auto"/>
        </w:rPr>
      </w:pPr>
    </w:p>
    <w:p>
      <w:pPr>
        <w:ind w:right="60" w:firstLine="1263"/>
        <w:spacing w:after="0" w:line="326" w:lineRule="auto"/>
        <w:tabs>
          <w:tab w:leader="none" w:pos="1918"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consummation of (A) a merger or consolidation of the Company with another corporation where the stockholders of the Company,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(B) a sale or other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of all or substantially all of the assets of the Company, or (C) a liquidation or dissolution of the Company.</w:t>
      </w:r>
    </w:p>
    <w:p>
      <w:pPr>
        <w:spacing w:after="0" w:line="224" w:lineRule="exact"/>
        <w:rPr>
          <w:sz w:val="20"/>
          <w:szCs w:val="20"/>
          <w:color w:val="auto"/>
        </w:rPr>
      </w:pPr>
    </w:p>
    <w:p>
      <w:pPr>
        <w:ind w:right="60" w:firstLine="634"/>
        <w:spacing w:after="0" w:line="289" w:lineRule="auto"/>
        <w:tabs>
          <w:tab w:leader="none" w:pos="1266"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Other Definition</w:t>
      </w:r>
      <w:r>
        <w:rPr>
          <w:rFonts w:ascii="Arial" w:cs="Arial" w:eastAsia="Arial" w:hAnsi="Arial"/>
          <w:sz w:val="17"/>
          <w:szCs w:val="17"/>
          <w:color w:val="auto"/>
        </w:rPr>
        <w:t>. The Committee may modify the definition of Change of Control for a particular Grant as the Committee deems appropriate to comply with section 409A of the Code or otherwise.</w:t>
      </w:r>
    </w:p>
    <w:p>
      <w:pPr>
        <w:spacing w:after="0" w:line="15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14</w:t>
      </w:r>
      <w:r>
        <w:rPr>
          <w:sz w:val="20"/>
          <w:szCs w:val="20"/>
          <w:color w:val="auto"/>
        </w:rPr>
        <w:tab/>
      </w:r>
      <w:r>
        <w:rPr>
          <w:rFonts w:ascii="Arial" w:cs="Arial" w:eastAsia="Arial" w:hAnsi="Arial"/>
          <w:sz w:val="15"/>
          <w:szCs w:val="15"/>
          <w:i w:val="1"/>
          <w:iCs w:val="1"/>
          <w:color w:val="auto"/>
        </w:rPr>
        <w:t>Consequences of a Change of Control</w:t>
      </w:r>
    </w:p>
    <w:p>
      <w:pPr>
        <w:spacing w:after="0" w:line="224"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In the event of a Change of Control, the Committee may take any of the following actions with respect to any or all outstanding Grants: the Committee may (i) determine that all outstanding Options and SARs shall accelerate and become fully exercisable, and all outstanding Stock Awards, Stock Units and Other Equity Awards shall become fully vested and shall be payable on terms determined by the Committee (ii) determine that all outstanding Options and SARs that are not exercised shall be assumed by, or replaced with comparable options by the surviving corporation (or a parent or subsidiary of the surviving corporation), and other outstanding Grants that remain in effect after the Change of Control shall be converted to similar grants of the surviving corporation (or a parent or subsidiary of the surviving corporation), (iii) require that Grantees surrender their outstanding Options and SARs in exchange for one or more payments, in cash or Company Stock as determined by the Committee, in an amount, if any, equal to the amount by which the then Fair Market Value of the shares of Company Stock subject to the Grantee’s unexercised Options and SARs exceeds the Exercise Price or base amount of the Options and SARs, on such terms as the Committee determines, or (iv) after giving Grantees an opportunity to exercise their outstanding Options and SARs, terminate any or all unexercised Options and SARs at such time as the Committee deems appropriate. Such acceleration, assumption, surrender or termination shall take place as of the date of the Change of Control (or, immediately prior thereto in the case of acceleration) or such other date as the Committee may specify.</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15</w:t>
      </w:r>
      <w:r>
        <w:rPr>
          <w:sz w:val="20"/>
          <w:szCs w:val="20"/>
          <w:color w:val="auto"/>
        </w:rPr>
        <w:tab/>
      </w:r>
      <w:r>
        <w:rPr>
          <w:rFonts w:ascii="Arial" w:cs="Arial" w:eastAsia="Arial" w:hAnsi="Arial"/>
          <w:sz w:val="15"/>
          <w:szCs w:val="15"/>
          <w:i w:val="1"/>
          <w:iCs w:val="1"/>
          <w:color w:val="auto"/>
        </w:rPr>
        <w:t>Limitations on Issuance or Transfer of Shares</w:t>
      </w:r>
    </w:p>
    <w:p>
      <w:pPr>
        <w:spacing w:after="0" w:line="224" w:lineRule="exact"/>
        <w:rPr>
          <w:sz w:val="20"/>
          <w:szCs w:val="20"/>
          <w:color w:val="auto"/>
        </w:rPr>
      </w:pPr>
    </w:p>
    <w:p>
      <w:pPr>
        <w:ind w:right="340" w:firstLine="634"/>
        <w:spacing w:after="0" w:line="289" w:lineRule="auto"/>
        <w:tabs>
          <w:tab w:leader="none" w:pos="1256"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 Committee may require that a Grantee execute a stockholder’s agreement, with such terms as the Committee deems appropriate, with respect to any Company Stock issued or distributed pursuant to this Plan.</w:t>
      </w:r>
    </w:p>
    <w:p>
      <w:pPr>
        <w:spacing w:after="0" w:line="158" w:lineRule="exact"/>
        <w:rPr>
          <w:rFonts w:ascii="Arial" w:cs="Arial" w:eastAsia="Arial" w:hAnsi="Arial"/>
          <w:sz w:val="17"/>
          <w:szCs w:val="17"/>
          <w:color w:val="auto"/>
        </w:rPr>
      </w:pPr>
    </w:p>
    <w:p>
      <w:pPr>
        <w:ind w:firstLine="634"/>
        <w:spacing w:after="0" w:line="262" w:lineRule="auto"/>
        <w:tabs>
          <w:tab w:leader="none" w:pos="1266"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Limitations on Issuance or Transfer of Shares</w:t>
      </w:r>
      <w:r>
        <w:rPr>
          <w:rFonts w:ascii="Arial" w:cs="Arial" w:eastAsia="Arial" w:hAnsi="Arial"/>
          <w:sz w:val="17"/>
          <w:szCs w:val="17"/>
          <w:color w:val="auto"/>
        </w:rPr>
        <w:t>. 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made to any Grantee hereunder on such Grantee’s undertaking in writing to comply with such restrictions on his or her subsequent disposition of such shares of Company Stock as the Committee shall deem necessary or advisable, and certificates representing such shares may be legended to reflect any such restrictions. Certificates representing shares of Company Stock issued or transferred under the Plan will be subject to such stop-transfer orders and other restrictions as may be required by applicable laws, regulations and interpretations, including any requirement that a legend be placed thereon.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right="20" w:firstLine="634"/>
        <w:spacing w:after="0" w:line="308" w:lineRule="auto"/>
        <w:tabs>
          <w:tab w:leader="none" w:pos="1269"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Lock-Up Period</w:t>
      </w:r>
      <w:r>
        <w:rPr>
          <w:rFonts w:ascii="Arial" w:cs="Arial" w:eastAsia="Arial" w:hAnsi="Arial"/>
          <w:sz w:val="15"/>
          <w:szCs w:val="15"/>
          <w:color w:val="auto"/>
        </w:rPr>
        <w:t>. If so requested by the Company or any representative of the underwriters (the “Managing Underwriter”) in connection with any underwritten offering of securities of the Company, a Grantee (including any successor or assigns) shall not sell or otherwise transfer any shares or other securities of the Company during the 30-day period preceding and the 180-day period following the effective date of a registration statement filed by the Company for such underwriting (or such shorter period as may be requested by the Managing Underwriter and agreed to by the Company) (the “Market Standoff Period”). The Company may impose stop-transfer instructions with respect to securities subject to the foregoing restrictions until the end of such Market Standoff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-1071245</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16</w:t>
      </w:r>
      <w:r>
        <w:rPr>
          <w:sz w:val="20"/>
          <w:szCs w:val="20"/>
          <w:color w:val="auto"/>
        </w:rPr>
        <w:tab/>
      </w:r>
      <w:r>
        <w:rPr>
          <w:rFonts w:ascii="Arial" w:cs="Arial" w:eastAsia="Arial" w:hAnsi="Arial"/>
          <w:sz w:val="15"/>
          <w:szCs w:val="15"/>
          <w:i w:val="1"/>
          <w:iCs w:val="1"/>
          <w:color w:val="auto"/>
        </w:rPr>
        <w:t>Amendment and Termination of the Plan</w:t>
      </w:r>
    </w:p>
    <w:p>
      <w:pPr>
        <w:spacing w:after="0" w:line="224" w:lineRule="exact"/>
        <w:rPr>
          <w:sz w:val="20"/>
          <w:szCs w:val="20"/>
          <w:color w:val="auto"/>
        </w:rPr>
      </w:pPr>
    </w:p>
    <w:p>
      <w:pPr>
        <w:ind w:right="440" w:firstLine="634"/>
        <w:spacing w:after="0" w:line="289" w:lineRule="auto"/>
        <w:tabs>
          <w:tab w:leader="none" w:pos="1256"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Board may amend or terminate the Plan at any time; provided, however, that the Board shall not amend the Plan without stockholder approval if such approval is required in order to comply with the Code or to other applicable law.</w:t>
      </w:r>
    </w:p>
    <w:p>
      <w:pPr>
        <w:spacing w:after="0" w:line="158" w:lineRule="exact"/>
        <w:rPr>
          <w:rFonts w:ascii="Arial" w:cs="Arial" w:eastAsia="Arial" w:hAnsi="Arial"/>
          <w:sz w:val="17"/>
          <w:szCs w:val="17"/>
          <w:color w:val="auto"/>
        </w:rPr>
      </w:pPr>
    </w:p>
    <w:p>
      <w:pPr>
        <w:ind w:right="320" w:firstLine="634"/>
        <w:spacing w:after="0" w:line="289" w:lineRule="auto"/>
        <w:tabs>
          <w:tab w:leader="none" w:pos="1266"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Termination of Plan</w:t>
      </w:r>
      <w:r>
        <w:rPr>
          <w:rFonts w:ascii="Arial" w:cs="Arial" w:eastAsia="Arial" w:hAnsi="Arial"/>
          <w:sz w:val="17"/>
          <w:szCs w:val="17"/>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58" w:lineRule="exact"/>
        <w:rPr>
          <w:rFonts w:ascii="Arial" w:cs="Arial" w:eastAsia="Arial" w:hAnsi="Arial"/>
          <w:sz w:val="17"/>
          <w:szCs w:val="17"/>
          <w:color w:val="auto"/>
        </w:rPr>
      </w:pPr>
    </w:p>
    <w:p>
      <w:pPr>
        <w:ind w:right="420" w:firstLine="634"/>
        <w:spacing w:after="0" w:line="290" w:lineRule="auto"/>
        <w:tabs>
          <w:tab w:leader="none" w:pos="1269"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Termination and Amendment of Outstanding Grants</w:t>
      </w:r>
      <w:r>
        <w:rPr>
          <w:rFonts w:ascii="Arial" w:cs="Arial" w:eastAsia="Arial" w:hAnsi="Arial"/>
          <w:sz w:val="16"/>
          <w:szCs w:val="16"/>
          <w:color w:val="auto"/>
        </w:rPr>
        <w:t>. A termination or amendment of the Plan that occurs after a Grant is made shall not materially impair the rights of a Grantee unless the Grantee consents or unless the Committee acts under Section 21(b). The termination of the Plan shall not impair the power and authority of the Committee with respect to an outstanding Grant. Whether or not the Plan has terminated, an outstanding Grant may be terminated or amended under Section 21(b) or may be amended by agreement of the Company and the Grantee consistent with the Plan.</w:t>
      </w:r>
    </w:p>
    <w:p>
      <w:pPr>
        <w:spacing w:after="0" w:line="159" w:lineRule="exact"/>
        <w:rPr>
          <w:rFonts w:ascii="Arial" w:cs="Arial" w:eastAsia="Arial" w:hAnsi="Arial"/>
          <w:sz w:val="16"/>
          <w:szCs w:val="16"/>
          <w:color w:val="auto"/>
        </w:rPr>
      </w:pPr>
    </w:p>
    <w:p>
      <w:pPr>
        <w:ind w:right="280" w:firstLine="634"/>
        <w:spacing w:after="0" w:line="360" w:lineRule="auto"/>
        <w:tabs>
          <w:tab w:leader="none" w:pos="1266"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Governing Document</w:t>
      </w:r>
      <w:r>
        <w:rPr>
          <w:rFonts w:ascii="Arial" w:cs="Arial" w:eastAsia="Arial" w:hAnsi="Arial"/>
          <w:sz w:val="15"/>
          <w:szCs w:val="15"/>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17</w:t>
      </w:r>
      <w:r>
        <w:rPr>
          <w:sz w:val="20"/>
          <w:szCs w:val="20"/>
          <w:color w:val="auto"/>
        </w:rPr>
        <w:tab/>
      </w:r>
      <w:r>
        <w:rPr>
          <w:rFonts w:ascii="Arial" w:cs="Arial" w:eastAsia="Arial" w:hAnsi="Arial"/>
          <w:sz w:val="16"/>
          <w:szCs w:val="16"/>
          <w:i w:val="1"/>
          <w:iCs w:val="1"/>
          <w:color w:val="auto"/>
        </w:rPr>
        <w:t>Funding of the Plan</w:t>
      </w:r>
    </w:p>
    <w:p>
      <w:pPr>
        <w:spacing w:after="0" w:line="224" w:lineRule="exact"/>
        <w:rPr>
          <w:sz w:val="20"/>
          <w:szCs w:val="20"/>
          <w:color w:val="auto"/>
        </w:rPr>
      </w:pPr>
    </w:p>
    <w:p>
      <w:pPr>
        <w:ind w:right="240" w:firstLine="629"/>
        <w:spacing w:after="0" w:line="322" w:lineRule="auto"/>
        <w:rPr>
          <w:sz w:val="20"/>
          <w:szCs w:val="20"/>
          <w:color w:val="auto"/>
        </w:rPr>
      </w:pPr>
      <w:r>
        <w:rPr>
          <w:rFonts w:ascii="Arial" w:cs="Arial" w:eastAsia="Arial" w:hAnsi="Arial"/>
          <w:sz w:val="16"/>
          <w:szCs w:val="16"/>
          <w:color w:val="auto"/>
        </w:rPr>
        <w:t>This Plan shall be unfunded. The Company shall not be required to establish any special or separate fund or to make any other segregation of assets to assure the payment of any Grants under this Plan. In no event shall interest be paid or accrued on any Grant, including unpaid installments of Grants.</w:t>
      </w:r>
    </w:p>
    <w:p>
      <w:pPr>
        <w:sectPr>
          <w:pgSz w:w="11900" w:h="16838" w:orient="portrait"/>
          <w:cols w:equalWidth="0" w:num="1">
            <w:col w:w="11420"/>
          </w:cols>
          <w:pgMar w:left="240" w:top="337" w:right="239" w:bottom="0" w:gutter="0" w:footer="0" w:header="0"/>
        </w:sectPr>
      </w:pPr>
    </w:p>
    <w:bookmarkStart w:id="221" w:name="page222"/>
    <w:bookmarkEnd w:id="221"/>
    <w:p>
      <w:pPr>
        <w:spacing w:after="0"/>
        <w:tabs>
          <w:tab w:leader="none" w:pos="1260" w:val="left"/>
        </w:tabs>
        <w:rPr>
          <w:sz w:val="20"/>
          <w:szCs w:val="20"/>
          <w:color w:val="auto"/>
        </w:rPr>
      </w:pPr>
      <w:r>
        <w:rPr>
          <w:rFonts w:ascii="Arial" w:cs="Arial" w:eastAsia="Arial" w:hAnsi="Arial"/>
          <w:sz w:val="17"/>
          <w:szCs w:val="17"/>
          <w:i w:val="1"/>
          <w:iCs w:val="1"/>
          <w:color w:val="auto"/>
        </w:rPr>
        <w:t>SECTION 18</w:t>
      </w:r>
      <w:r>
        <w:rPr>
          <w:sz w:val="20"/>
          <w:szCs w:val="20"/>
          <w:color w:val="auto"/>
        </w:rPr>
        <w:tab/>
      </w:r>
      <w:r>
        <w:rPr>
          <w:rFonts w:ascii="Arial" w:cs="Arial" w:eastAsia="Arial" w:hAnsi="Arial"/>
          <w:sz w:val="16"/>
          <w:szCs w:val="16"/>
          <w:i w:val="1"/>
          <w:iCs w:val="1"/>
          <w:color w:val="auto"/>
        </w:rPr>
        <w:t>Rights of Participants</w:t>
      </w:r>
    </w:p>
    <w:p>
      <w:pPr>
        <w:spacing w:after="0" w:line="22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Nothing in this Plan shall entitle any Employee, Key Advisor, Non-Employee Director or other person to any claim or right to be granted a Grant under this Plan. Neither this Plan nor any action taken hereunder shall be construed as giving any individual any rights to be retained by or in the employ of the Employer or any other employment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19</w:t>
      </w:r>
      <w:r>
        <w:rPr>
          <w:sz w:val="20"/>
          <w:szCs w:val="20"/>
          <w:color w:val="auto"/>
        </w:rPr>
        <w:tab/>
      </w:r>
      <w:r>
        <w:rPr>
          <w:rFonts w:ascii="Arial" w:cs="Arial" w:eastAsia="Arial" w:hAnsi="Arial"/>
          <w:sz w:val="15"/>
          <w:szCs w:val="15"/>
          <w:i w:val="1"/>
          <w:iCs w:val="1"/>
          <w:color w:val="auto"/>
        </w:rPr>
        <w:t>No Fractional Shares</w:t>
      </w:r>
    </w:p>
    <w:p>
      <w:pPr>
        <w:spacing w:after="0" w:line="224"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No fractional shares of Company Stock shall be issued or delivered pursuant to the Plan or any Grant. The Committee shall determine whether cash, other awards or other property shall be issued or paid in lieu of such fractional shares or whether such fractional shares or any rights thereto shall be forfeited or otherwise eliminated.</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20</w:t>
      </w:r>
      <w:r>
        <w:rPr>
          <w:sz w:val="20"/>
          <w:szCs w:val="20"/>
          <w:color w:val="auto"/>
        </w:rPr>
        <w:tab/>
      </w:r>
      <w:r>
        <w:rPr>
          <w:rFonts w:ascii="Arial" w:cs="Arial" w:eastAsia="Arial" w:hAnsi="Arial"/>
          <w:sz w:val="15"/>
          <w:szCs w:val="15"/>
          <w:i w:val="1"/>
          <w:iCs w:val="1"/>
          <w:color w:val="auto"/>
        </w:rPr>
        <w:t>Effective Date of the Plan</w:t>
      </w:r>
    </w:p>
    <w:p>
      <w:pPr>
        <w:spacing w:after="0" w:line="224" w:lineRule="exact"/>
        <w:rPr>
          <w:sz w:val="20"/>
          <w:szCs w:val="20"/>
          <w:color w:val="auto"/>
        </w:rPr>
      </w:pPr>
    </w:p>
    <w:p>
      <w:pPr>
        <w:ind w:left="1260" w:hanging="626"/>
        <w:spacing w:after="0"/>
        <w:tabs>
          <w:tab w:leader="none" w:pos="126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Plan shall be effective as of March 22, 2013, subject to stockholder approval of the Plan.</w:t>
      </w:r>
    </w:p>
    <w:p>
      <w:pPr>
        <w:spacing w:after="0" w:line="224" w:lineRule="exact"/>
        <w:rPr>
          <w:rFonts w:ascii="Arial" w:cs="Arial" w:eastAsia="Arial" w:hAnsi="Arial"/>
          <w:sz w:val="17"/>
          <w:szCs w:val="17"/>
          <w:color w:val="auto"/>
        </w:rPr>
      </w:pPr>
    </w:p>
    <w:p>
      <w:pPr>
        <w:ind w:firstLine="634"/>
        <w:spacing w:after="0" w:line="289" w:lineRule="auto"/>
        <w:tabs>
          <w:tab w:leader="none" w:pos="1266"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Public Offering</w:t>
      </w:r>
      <w:r>
        <w:rPr>
          <w:rFonts w:ascii="Arial" w:cs="Arial" w:eastAsia="Arial" w:hAnsi="Arial"/>
          <w:sz w:val="17"/>
          <w:szCs w:val="17"/>
          <w:color w:val="auto"/>
        </w:rPr>
        <w:t>. The provisions of the Plan that refer to a Public Offering shall be effective, if at all, upon the initial registration of the Company Stock under section 12(g) of the Exchange Act, and shall remain effective thereafter for so long as such stock is so registered.</w:t>
      </w:r>
    </w:p>
    <w:p>
      <w:pPr>
        <w:spacing w:after="0" w:line="15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i w:val="1"/>
          <w:iCs w:val="1"/>
          <w:color w:val="auto"/>
        </w:rPr>
        <w:t>SECTION 21</w:t>
      </w:r>
      <w:r>
        <w:rPr>
          <w:sz w:val="20"/>
          <w:szCs w:val="20"/>
          <w:color w:val="auto"/>
        </w:rPr>
        <w:tab/>
      </w:r>
      <w:r>
        <w:rPr>
          <w:rFonts w:ascii="Arial" w:cs="Arial" w:eastAsia="Arial" w:hAnsi="Arial"/>
          <w:sz w:val="15"/>
          <w:szCs w:val="15"/>
          <w:i w:val="1"/>
          <w:iCs w:val="1"/>
          <w:color w:val="auto"/>
        </w:rPr>
        <w:t>Miscellaneous</w:t>
      </w:r>
    </w:p>
    <w:p>
      <w:pPr>
        <w:spacing w:after="0" w:line="224" w:lineRule="exact"/>
        <w:rPr>
          <w:sz w:val="20"/>
          <w:szCs w:val="20"/>
          <w:color w:val="auto"/>
        </w:rPr>
      </w:pPr>
    </w:p>
    <w:p>
      <w:pPr>
        <w:ind w:right="120" w:firstLine="634"/>
        <w:spacing w:after="0" w:line="280" w:lineRule="auto"/>
        <w:tabs>
          <w:tab w:leader="none" w:pos="125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Grants in Connection with Corporate Transactions and Otherwise</w:t>
      </w:r>
      <w:r>
        <w:rPr>
          <w:rFonts w:ascii="Arial" w:cs="Arial" w:eastAsia="Arial" w:hAnsi="Arial"/>
          <w:sz w:val="16"/>
          <w:szCs w:val="16"/>
          <w:color w:val="auto"/>
        </w:rPr>
        <w:t>. Nothing contained in this Plan shall be construed to (i) limit the right of the Committee to make Grants under this Plan in connection with the acquisition, by purchase, lease, merger, consolidation or otherwise, of the business or assets of any corporation, firm or association, including Grants to employees thereof who become Employees, or for other proper corporate purposes, or (ii) limit the right of the Company to grant stock options or make other awards outside of this Plan. Without limiting the foregoing, the Committee may make a Grant to an employee, director or advisor of another corporation who becomes an Employee, Non-Employee Director or Key Advisor by reason of a corporate merger, consolidation, acquisition of stock or property, reorganization or liquidation involving the Company or any of its affiliates in substitution for a stock option or stock awards grant made by such corporation. The terms and conditions of the substitute grants may vary from the terms and conditions required by the Plan and from those of the substituted stock incentives. The Committee shall prescribe the provisions of the substitute grants.</w:t>
      </w:r>
    </w:p>
    <w:p>
      <w:pPr>
        <w:spacing w:after="0" w:line="170" w:lineRule="exact"/>
        <w:rPr>
          <w:rFonts w:ascii="Arial" w:cs="Arial" w:eastAsia="Arial" w:hAnsi="Arial"/>
          <w:sz w:val="16"/>
          <w:szCs w:val="16"/>
          <w:color w:val="auto"/>
        </w:rPr>
      </w:pPr>
    </w:p>
    <w:p>
      <w:pPr>
        <w:ind w:right="40" w:firstLine="634"/>
        <w:spacing w:after="0" w:line="280" w:lineRule="auto"/>
        <w:tabs>
          <w:tab w:leader="none" w:pos="126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The Plan, the exercise of Options and the obligations of the Company to issue or transfer shares of Company Stock under Grants shall be subject to all applicable laws and to approvals by any governmental or regulatory agency as may be required. After a Public Offering of the Company, with respect to persons subject to section 16 of the Exchange Act, it is the intent of the Company that the Plan and all transactions under the Plan comply with all applicable provisions of Rule 16b-3 or its successors under the Exchange Act and section 162(m) of the Code. It is the intent of the Company that the Plan and Incentive Stock Options granted under the Plan comply with the applicable provisions of section 422 of the Code and that, to the extent applicable, Grants made under the Plan comply with the requirements of section 409A of the Code and the regulations thereunder. To the extent that any legal requirement as set forth in the Plan ceases to be required under applicable law, the Committee may determine that such Plan provision shall cease to apply. The Committee may revoke any Grant if it is contrary to law or modify a Grant or the Plan to bring a Grant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Plan into compliance with any applicable law or regulation. The Committee may, in its sole discretion, agree to limit its authority under this Section.</w:t>
      </w:r>
    </w:p>
    <w:p>
      <w:pPr>
        <w:spacing w:after="0" w:line="224" w:lineRule="exact"/>
        <w:rPr>
          <w:sz w:val="20"/>
          <w:szCs w:val="20"/>
          <w:color w:val="auto"/>
        </w:rPr>
      </w:pPr>
    </w:p>
    <w:p>
      <w:pPr>
        <w:ind w:right="20" w:firstLine="634"/>
        <w:spacing w:after="0" w:line="326" w:lineRule="auto"/>
        <w:tabs>
          <w:tab w:leader="none" w:pos="1269"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Employees Subject to Taxation outside the United States</w:t>
      </w:r>
      <w:r>
        <w:rPr>
          <w:rFonts w:ascii="Arial" w:cs="Arial" w:eastAsia="Arial" w:hAnsi="Arial"/>
          <w:sz w:val="15"/>
          <w:szCs w:val="15"/>
          <w:color w:val="auto"/>
        </w:rPr>
        <w:t>. With respect to Grantees who are subject to taxation in countries other than the United States, the Committee may make Grants on such terms and conditions as the Committee deems appropriate to comply with the laws of the applicable countries, and the Committee may create such procedures, addenda and subplans and make such modifications as may be necessary or advisable to comply with such laws.</w:t>
      </w:r>
    </w:p>
    <w:p>
      <w:pPr>
        <w:spacing w:after="0" w:line="136" w:lineRule="exact"/>
        <w:rPr>
          <w:rFonts w:ascii="Arial" w:cs="Arial" w:eastAsia="Arial" w:hAnsi="Arial"/>
          <w:sz w:val="15"/>
          <w:szCs w:val="15"/>
          <w:color w:val="auto"/>
        </w:rPr>
      </w:pPr>
    </w:p>
    <w:p>
      <w:pPr>
        <w:ind w:right="140" w:firstLine="634"/>
        <w:spacing w:after="0" w:line="285" w:lineRule="auto"/>
        <w:tabs>
          <w:tab w:leader="none" w:pos="1266"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In the event there are at any time 500 or more holders of outstanding Options under the Plan, the Company shall provide to each such Option holder, at the time the outstanding Options first become held by 500 holders and at successive six month intervals thereafter, financial statements that meet the requirements of Rule 701(e)(4) under the Securities Act of 1933, as amended, and that are at the time of distribution not more than 180 days old. Such obligation shall continue until such time as the Company becomes subject to the reporting requirements of Section 13 or 15(d) of the Exchange Act or (if earlier) no longer relies on the exemption from such reporting requirements provided by Rule 12h-1(g) under the Exchange Act.</w:t>
      </w:r>
    </w:p>
    <w:p>
      <w:pPr>
        <w:spacing w:after="0" w:line="166" w:lineRule="exact"/>
        <w:rPr>
          <w:rFonts w:ascii="Arial" w:cs="Arial" w:eastAsia="Arial" w:hAnsi="Arial"/>
          <w:sz w:val="16"/>
          <w:szCs w:val="16"/>
          <w:color w:val="auto"/>
        </w:rPr>
      </w:pPr>
    </w:p>
    <w:p>
      <w:pPr>
        <w:ind w:right="140" w:firstLine="634"/>
        <w:spacing w:after="0" w:line="322" w:lineRule="auto"/>
        <w:tabs>
          <w:tab w:leader="none" w:pos="1269"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AXSOME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2013 EQUITY COMPENSATION PLAN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NONQUALIFIED STOCK OPTION GRANT</w:t>
            </w:r>
          </w:p>
        </w:tc>
        <w:tc>
          <w:tcPr>
            <w:tcW w:w="3020" w:type="dxa"/>
            <w:vAlign w:val="bottom"/>
          </w:tcPr>
          <w:p>
            <w:pPr>
              <w:spacing w:after="0"/>
              <w:rPr>
                <w:sz w:val="16"/>
                <w:szCs w:val="16"/>
                <w:color w:val="auto"/>
              </w:rPr>
            </w:pPr>
          </w:p>
        </w:tc>
      </w:tr>
      <w:tr>
        <w:trPr>
          <w:trHeight w:val="20"/>
        </w:trPr>
        <w:tc>
          <w:tcPr>
            <w:tcW w:w="4080" w:type="dxa"/>
            <w:vAlign w:val="bottom"/>
            <w:gridSpan w:val="2"/>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26"/>
        </w:trPr>
        <w:tc>
          <w:tcPr>
            <w:tcW w:w="7980" w:type="dxa"/>
            <w:vAlign w:val="bottom"/>
            <w:gridSpan w:val="4"/>
          </w:tcPr>
          <w:p>
            <w:pPr>
              <w:ind w:left="640"/>
              <w:spacing w:after="0"/>
              <w:rPr>
                <w:sz w:val="20"/>
                <w:szCs w:val="20"/>
                <w:color w:val="auto"/>
              </w:rPr>
            </w:pPr>
            <w:r>
              <w:rPr>
                <w:rFonts w:ascii="Arial" w:cs="Arial" w:eastAsia="Arial" w:hAnsi="Arial"/>
                <w:sz w:val="17"/>
                <w:szCs w:val="17"/>
                <w:color w:val="auto"/>
              </w:rPr>
              <w:t>This NONQUALIFIED STOCK OPTION GRANT AGREEMENT (the “Agreement”), dated as of</w:t>
            </w:r>
          </w:p>
        </w:tc>
        <w:tc>
          <w:tcPr>
            <w:tcW w:w="3020" w:type="dxa"/>
            <w:vAlign w:val="bottom"/>
          </w:tcPr>
          <w:p>
            <w:pPr>
              <w:ind w:left="400"/>
              <w:spacing w:after="0"/>
              <w:rPr>
                <w:sz w:val="20"/>
                <w:szCs w:val="20"/>
                <w:color w:val="auto"/>
              </w:rPr>
            </w:pPr>
            <w:r>
              <w:rPr>
                <w:rFonts w:ascii="Arial" w:cs="Arial" w:eastAsia="Arial" w:hAnsi="Arial"/>
                <w:sz w:val="17"/>
                <w:szCs w:val="17"/>
                <w:color w:val="auto"/>
                <w:w w:val="95"/>
              </w:rPr>
              <w:t>(the “Date of Grant”), is delivered by</w:t>
            </w:r>
          </w:p>
        </w:tc>
      </w:tr>
      <w:tr>
        <w:trPr>
          <w:trHeight w:val="222"/>
        </w:trPr>
        <w:tc>
          <w:tcPr>
            <w:tcW w:w="3680" w:type="dxa"/>
            <w:vAlign w:val="bottom"/>
          </w:tcPr>
          <w:p>
            <w:pPr>
              <w:spacing w:after="0"/>
              <w:rPr>
                <w:sz w:val="20"/>
                <w:szCs w:val="20"/>
                <w:color w:val="auto"/>
              </w:rPr>
            </w:pPr>
            <w:r>
              <w:rPr>
                <w:rFonts w:ascii="Arial" w:cs="Arial" w:eastAsia="Arial" w:hAnsi="Arial"/>
                <w:sz w:val="17"/>
                <w:szCs w:val="17"/>
                <w:color w:val="auto"/>
              </w:rPr>
              <w:t>Axsome Therapeutics, Inc. (the “Company”) to</w:t>
            </w:r>
          </w:p>
        </w:tc>
        <w:tc>
          <w:tcPr>
            <w:tcW w:w="4300" w:type="dxa"/>
            <w:vAlign w:val="bottom"/>
            <w:gridSpan w:val="3"/>
          </w:tcPr>
          <w:p>
            <w:pPr>
              <w:ind w:left="380"/>
              <w:spacing w:after="0"/>
              <w:rPr>
                <w:sz w:val="20"/>
                <w:szCs w:val="20"/>
                <w:color w:val="auto"/>
              </w:rPr>
            </w:pPr>
            <w:r>
              <w:rPr>
                <w:rFonts w:ascii="Arial" w:cs="Arial" w:eastAsia="Arial" w:hAnsi="Arial"/>
                <w:sz w:val="17"/>
                <w:szCs w:val="17"/>
                <w:color w:val="auto"/>
              </w:rPr>
              <w:t>(the “Grantee”).</w:t>
            </w:r>
          </w:p>
        </w:tc>
        <w:tc>
          <w:tcPr>
            <w:tcW w:w="3020" w:type="dxa"/>
            <w:vAlign w:val="bottom"/>
          </w:tcPr>
          <w:p>
            <w:pPr>
              <w:spacing w:after="0"/>
              <w:rPr>
                <w:sz w:val="19"/>
                <w:szCs w:val="19"/>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80" w:firstLine="634"/>
        <w:spacing w:after="0" w:line="268" w:lineRule="auto"/>
        <w:tabs>
          <w:tab w:leader="none" w:pos="127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Axsome Therapeutics, Inc. 2013 Equity Compensation Plan (the “Plan”) provides for the grant of stock options to purchase shares of common stock of the Company (“Company Stock”). The Board of Directors of the Company (the “Board”) has decided to make this nonqualified stock option grant as an inducement for the Grantee to promote the best interests of the Company and its stockholders. All capitalized terms used but not defined herein shall have the meanings ascribed to them in the Plan. A copy of the Plan is attached.</w:t>
      </w:r>
    </w:p>
    <w:p>
      <w:pPr>
        <w:sectPr>
          <w:pgSz w:w="11900" w:h="16838" w:orient="portrait"/>
          <w:cols w:equalWidth="0" w:num="1">
            <w:col w:w="11420"/>
          </w:cols>
          <w:pgMar w:left="240" w:top="127" w:right="239" w:bottom="1" w:gutter="0" w:footer="0" w:header="0"/>
        </w:sectPr>
      </w:pPr>
    </w:p>
    <w:bookmarkStart w:id="222" w:name="page223"/>
    <w:bookmarkEnd w:id="222"/>
    <w:p>
      <w:pPr>
        <w:ind w:right="480" w:firstLine="634"/>
        <w:spacing w:after="0" w:line="289" w:lineRule="auto"/>
        <w:tabs>
          <w:tab w:leader="none" w:pos="126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Board is authorized to appoint a committee to administer the Plan. If a committee is appointed, all references in this Agreement to the “Board” shall be deemed to refer to the committee.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to this Agreement, intending to be legally bound hereby, agree as follows:</w:t>
      </w:r>
    </w:p>
    <w:p>
      <w:pPr>
        <w:spacing w:after="0" w:line="43" w:lineRule="exact"/>
        <w:rPr>
          <w:sz w:val="20"/>
          <w:szCs w:val="20"/>
          <w:color w:val="auto"/>
        </w:rPr>
      </w:pPr>
    </w:p>
    <w:p>
      <w:pPr>
        <w:ind w:left="640" w:hanging="635"/>
        <w:spacing w:after="0"/>
        <w:tabs>
          <w:tab w:leader="none" w:pos="640"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Subject to the terms and conditions set forth in this Agreement and in the Plan, the Company hereby grants to the Grantee a</w:t>
      </w:r>
    </w:p>
    <w:p>
      <w:pPr>
        <w:spacing w:after="0" w:line="19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nonqualified stock option (the “Option”) to purchase shares of Company Stock (“Shares”) at an Exercise Price of $ per Share. The Option shall become exercisable according to Paragraph 2 below.</w:t>
      </w:r>
    </w:p>
    <w:p>
      <w:pPr>
        <w:spacing w:after="0" w:line="158" w:lineRule="exact"/>
        <w:rPr>
          <w:sz w:val="20"/>
          <w:szCs w:val="20"/>
          <w:color w:val="auto"/>
        </w:rPr>
      </w:pPr>
    </w:p>
    <w:p>
      <w:pPr>
        <w:ind w:left="640" w:hanging="635"/>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Exercisability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80" w:firstLine="634"/>
        <w:spacing w:after="0" w:line="289" w:lineRule="auto"/>
        <w:tabs>
          <w:tab w:leader="none" w:pos="1256"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Option shall become vested and exercisable on the following dates, provided that the Grantee is employed by, or providing service to, the Employer on the applicable vesting date (each, a “Vesting Date”):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for Which the Option is</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4580" w:type="dxa"/>
            <w:vAlign w:val="bottom"/>
            <w:gridSpan w:val="2"/>
            <w:vMerge w:val="continue"/>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 as of Vesting Date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94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00" w:firstLine="634"/>
        <w:spacing w:after="0" w:line="273" w:lineRule="auto"/>
        <w:tabs>
          <w:tab w:leader="none" w:pos="1266"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vesting and exercisability of the Option is cumulative, but shall not exceed 100% of the Shares subject to the Option. If the foregoing schedule would produce fractional Shares, the number of Shares for which the Option becomes vested and exercisable shall be rounded down to the nearest whole Share.</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634"/>
        <w:spacing w:after="0" w:line="289" w:lineRule="auto"/>
        <w:tabs>
          <w:tab w:leader="none" w:pos="1256"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Option shall have a term of ten years from the Date of Grant and shall terminate at the expiration of that period, unless it is terminated at an earlier date pursuant to the provisions of this Agreement or the Plan.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Option shall automatically terminate upon the happening of the first of the following events:</w:t>
      </w:r>
    </w:p>
    <w:p>
      <w:pPr>
        <w:spacing w:after="0" w:line="224" w:lineRule="exact"/>
        <w:rPr>
          <w:rFonts w:ascii="Arial" w:cs="Arial" w:eastAsia="Arial" w:hAnsi="Arial"/>
          <w:sz w:val="17"/>
          <w:szCs w:val="17"/>
          <w:color w:val="auto"/>
        </w:rPr>
      </w:pPr>
    </w:p>
    <w:p>
      <w:pPr>
        <w:ind w:left="640" w:right="160" w:firstLine="623"/>
        <w:spacing w:after="0" w:line="289" w:lineRule="auto"/>
        <w:tabs>
          <w:tab w:leader="none" w:pos="1919"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expiration of the 90-day period after the Grantee ceases to be employed by, or provide service to, the Employer, if the termination is for any reason other than Disability, death or Cause.</w:t>
      </w:r>
    </w:p>
    <w:p>
      <w:pPr>
        <w:spacing w:after="0" w:line="158" w:lineRule="exact"/>
        <w:rPr>
          <w:rFonts w:ascii="Arial" w:cs="Arial" w:eastAsia="Arial" w:hAnsi="Arial"/>
          <w:sz w:val="17"/>
          <w:szCs w:val="17"/>
          <w:color w:val="auto"/>
        </w:rPr>
      </w:pPr>
    </w:p>
    <w:p>
      <w:pPr>
        <w:ind w:left="640" w:right="80" w:firstLine="623"/>
        <w:spacing w:after="0" w:line="289" w:lineRule="auto"/>
        <w:tabs>
          <w:tab w:leader="none" w:pos="1928"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expiration of the one-year period after the Grantee ceases to be employed by, or provide service to, the Employer on account of the Grantee’s Disability.</w:t>
      </w:r>
    </w:p>
    <w:p>
      <w:pPr>
        <w:spacing w:after="0" w:line="158" w:lineRule="exact"/>
        <w:rPr>
          <w:rFonts w:ascii="Arial" w:cs="Arial" w:eastAsia="Arial" w:hAnsi="Arial"/>
          <w:sz w:val="17"/>
          <w:szCs w:val="17"/>
          <w:color w:val="auto"/>
        </w:rPr>
      </w:pPr>
    </w:p>
    <w:p>
      <w:pPr>
        <w:jc w:val="both"/>
        <w:ind w:left="640" w:right="220" w:firstLine="623"/>
        <w:spacing w:after="0" w:line="273" w:lineRule="auto"/>
        <w:tabs>
          <w:tab w:leader="none" w:pos="1938"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expiration of the one-year period after the Grantee ceases to be employed by, or provide service to, the Employer, if the Grantee dies while employed by, or providing service to, the Employer or within 90 days after the Grantee ceases to be so employed or provide such services on account of a termination described in subparagraph (i) above.</w:t>
      </w:r>
    </w:p>
    <w:p>
      <w:pPr>
        <w:spacing w:after="0" w:line="171" w:lineRule="exact"/>
        <w:rPr>
          <w:rFonts w:ascii="Arial" w:cs="Arial" w:eastAsia="Arial" w:hAnsi="Arial"/>
          <w:sz w:val="17"/>
          <w:szCs w:val="17"/>
          <w:color w:val="auto"/>
        </w:rPr>
      </w:pPr>
    </w:p>
    <w:p>
      <w:pPr>
        <w:ind w:left="640" w:right="40" w:firstLine="623"/>
        <w:spacing w:after="0" w:line="273" w:lineRule="auto"/>
        <w:tabs>
          <w:tab w:leader="none" w:pos="1915"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date on which the Grantee ceases to be employed by, or provide service to, the Employer for Cause. In addition, notwithstanding the prior provisions of this Paragraph 3, if the Grantee engages in conduct that constitutes Cause after the Grantee’s employment or service terminates, the Option shall immediately terminate.</w:t>
      </w:r>
    </w:p>
    <w:p>
      <w:pPr>
        <w:spacing w:after="0" w:line="172"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Notwithstanding the foregoing, in no event may the Option be exercised after the date that is immediately before the tenth anniversary of the Date of Grant. Any portion of the Option that is not exercisable at the time the Grantee ceases to be employed by, or provide service to, the Employer shall immediately terminate.</w:t>
      </w:r>
    </w:p>
    <w:p>
      <w:pPr>
        <w:spacing w:after="0" w:line="136" w:lineRule="exact"/>
        <w:rPr>
          <w:sz w:val="20"/>
          <w:szCs w:val="20"/>
          <w:color w:val="auto"/>
        </w:rPr>
      </w:pPr>
    </w:p>
    <w:p>
      <w:pPr>
        <w:ind w:left="640" w:hanging="635"/>
        <w:spacing w:after="0"/>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Exercise Procedures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634"/>
        <w:spacing w:after="0" w:line="263" w:lineRule="auto"/>
        <w:tabs>
          <w:tab w:leader="none" w:pos="125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Subject to the provisions of Paragraphs 2 and 3 above, the Grantee may exercise part or all of the exercisable Option by giving the Company written notice of intent to exercise in the manner provided in this Agreement, specifying the number of Shares as to which the Option is to be exercised and the method of payment. Payment of the Exercise Price shall be made in accordance with procedures established by the Board from time to time based on the type of payment being made but, in any event, prior to issuance of the Shares. The Grantee shall pay the Exercise Price (i) in cash, (ii) with the approval of the Board, by delivering Shares of the Company, which shall be valued at their Fair Market Value on the date of delivery, or by attestation (on a form prescribed by the Board) to ownership of Shares having an aggregate Fair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Market Value on the date of exercise equal to the Exercise Price, (iii) after a Public Offering, by payment through a broker in accordance with procedures permitted by Regulation T of the Federal Reserve Board, or (iv) by such other method as the Board may approve. The Board may impose from time to time such limitations as it deems appropriate on the use of Shares of the Company to exercise the Option.</w:t>
      </w:r>
    </w:p>
    <w:p>
      <w:pPr>
        <w:spacing w:after="0" w:line="172" w:lineRule="exact"/>
        <w:rPr>
          <w:sz w:val="20"/>
          <w:szCs w:val="20"/>
          <w:color w:val="auto"/>
        </w:rPr>
      </w:pPr>
    </w:p>
    <w:p>
      <w:pPr>
        <w:ind w:right="260" w:firstLine="634"/>
        <w:spacing w:after="0" w:line="265" w:lineRule="auto"/>
        <w:tabs>
          <w:tab w:leader="none" w:pos="126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obligation of the Company to deliver Shares upon exercise of the Option shall be subject to all applicable laws, rules, and regulations and such approvals by governmental agencies as may be deemed appropriate by the Board, including such actions as Company counsel shall deem necessary or appropriate to comply with relevant securities laws and regulations. The Company may require that the Grantee (or other person exercising the Option after the Grantee’s death) represent that the Grantee is purchasing Shares for the Grantee’s own account and not with a view to or for sale in connection with any distribution of the Shares, or such other representation as the Board deems appropriate.</w:t>
      </w:r>
    </w:p>
    <w:p>
      <w:pPr>
        <w:spacing w:after="0" w:line="179" w:lineRule="exact"/>
        <w:rPr>
          <w:rFonts w:ascii="Arial" w:cs="Arial" w:eastAsia="Arial" w:hAnsi="Arial"/>
          <w:sz w:val="17"/>
          <w:szCs w:val="17"/>
          <w:color w:val="auto"/>
        </w:rPr>
      </w:pPr>
    </w:p>
    <w:p>
      <w:pPr>
        <w:ind w:right="160" w:firstLine="634"/>
        <w:spacing w:after="0" w:line="268" w:lineRule="auto"/>
        <w:tabs>
          <w:tab w:leader="none" w:pos="126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All obligations of the Company under this Agreement shall be subject to the rights of the Company as set forth in the Plan to withhold amounts required to be withheld for any taxes, if applicable. Subject to Board approval, the Grantee may elect to satisfy any tax withholding obligation of the Employer with respect to the Option by having Shares withheld up to an amount that does not exceed the minimum applicable withholding tax rate for federal (including FICA), state and local tax liabilities.</w:t>
      </w:r>
    </w:p>
    <w:p>
      <w:pPr>
        <w:sectPr>
          <w:pgSz w:w="11900" w:h="16838" w:orient="portrait"/>
          <w:cols w:equalWidth="0" w:num="1">
            <w:col w:w="11460"/>
          </w:cols>
          <w:pgMar w:left="240" w:top="127" w:right="199" w:bottom="0" w:gutter="0" w:footer="0" w:header="0"/>
        </w:sectPr>
      </w:pPr>
    </w:p>
    <w:bookmarkStart w:id="223" w:name="page224"/>
    <w:bookmarkEnd w:id="223"/>
    <w:p>
      <w:pPr>
        <w:ind w:right="120" w:firstLine="5"/>
        <w:spacing w:after="0" w:line="289" w:lineRule="auto"/>
        <w:tabs>
          <w:tab w:leader="none" w:pos="629"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The provisions of the Plan applicable to a Change of Control shall apply to the Option, and, in the event of a Change of Control, the Board may take such actions as it deems appropriate pursuant to the Plan.</w:t>
      </w:r>
    </w:p>
    <w:p>
      <w:pPr>
        <w:spacing w:after="0" w:line="158" w:lineRule="exact"/>
        <w:rPr>
          <w:rFonts w:ascii="Arial" w:cs="Arial" w:eastAsia="Arial" w:hAnsi="Arial"/>
          <w:sz w:val="17"/>
          <w:szCs w:val="17"/>
          <w:color w:val="auto"/>
        </w:rPr>
      </w:pPr>
    </w:p>
    <w:p>
      <w:pPr>
        <w:ind w:right="140" w:firstLine="5"/>
        <w:spacing w:after="0" w:line="268" w:lineRule="auto"/>
        <w:tabs>
          <w:tab w:leader="none" w:pos="629"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Right of First Refusal; Repurchase Right; Stockholder’s Agreement</w:t>
      </w:r>
      <w:r>
        <w:rPr>
          <w:rFonts w:ascii="Arial" w:cs="Arial" w:eastAsia="Arial" w:hAnsi="Arial"/>
          <w:sz w:val="17"/>
          <w:szCs w:val="17"/>
          <w:color w:val="auto"/>
        </w:rPr>
        <w:t>. As a condition of receiving this Option, the Grantee hereby agrees that all Shares issued under the Plan shall be subject to a right of first refusal and repurchase right as described in the Plan, and the Board may require that the Grantee (or other person exercising the Option) execute a stockholder’s agreement, in such form as the Board determines, with respect to all Shares issued upon the exercise of the Option before a Public Offering.</w:t>
      </w:r>
    </w:p>
    <w:p>
      <w:pPr>
        <w:spacing w:after="0" w:line="175" w:lineRule="exact"/>
        <w:rPr>
          <w:rFonts w:ascii="Arial" w:cs="Arial" w:eastAsia="Arial" w:hAnsi="Arial"/>
          <w:sz w:val="17"/>
          <w:szCs w:val="17"/>
          <w:color w:val="auto"/>
        </w:rPr>
      </w:pPr>
    </w:p>
    <w:p>
      <w:pPr>
        <w:ind w:right="60" w:firstLine="5"/>
        <w:spacing w:after="0" w:line="268" w:lineRule="auto"/>
        <w:tabs>
          <w:tab w:leader="none" w:pos="629"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Restrictions on Exercise</w:t>
      </w:r>
      <w:r>
        <w:rPr>
          <w:rFonts w:ascii="Arial" w:cs="Arial" w:eastAsia="Arial" w:hAnsi="Arial"/>
          <w:sz w:val="17"/>
          <w:szCs w:val="17"/>
          <w:color w:val="auto"/>
        </w:rPr>
        <w:t>. Except as the Board may otherwise permit pursuant to the Plan, only the Grantee may exercise the Option during the Grantee’s lifetime and, after the Grantee’s death, the Option shall be exercisable (subject to the limitations specified in the Plan) solely by the legal representatives of the Grantee, or by the person who acquires the right to exercise the Option by will or by the laws of descent and distribution, to the extent that the Option is exercisable pursuant to this Agreement.</w:t>
      </w:r>
    </w:p>
    <w:p>
      <w:pPr>
        <w:spacing w:after="0" w:line="175" w:lineRule="exact"/>
        <w:rPr>
          <w:rFonts w:ascii="Arial" w:cs="Arial" w:eastAsia="Arial" w:hAnsi="Arial"/>
          <w:sz w:val="17"/>
          <w:szCs w:val="17"/>
          <w:color w:val="auto"/>
        </w:rPr>
      </w:pPr>
    </w:p>
    <w:p>
      <w:pPr>
        <w:ind w:right="200" w:firstLine="5"/>
        <w:spacing w:after="0" w:line="265" w:lineRule="auto"/>
        <w:tabs>
          <w:tab w:leader="none" w:pos="629"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Grant Subject to Plan Provisions</w:t>
      </w:r>
      <w:r>
        <w:rPr>
          <w:rFonts w:ascii="Arial" w:cs="Arial" w:eastAsia="Arial" w:hAnsi="Arial"/>
          <w:sz w:val="17"/>
          <w:szCs w:val="17"/>
          <w:color w:val="auto"/>
        </w:rPr>
        <w:t>. This grant is made pursuant to the Plan, the terms of which are incorporated herein by reference, and in all respects shall be interpreted in accordance with the Plan. The grant and exercise of the Option are subject to the provisions of the Plan and to interpretations, regulations and determinations concerning the Plan established from time to time by the Board in accordance with the provisions of the Plan, including, but not limited to, provisions pertaining to (a) rights and obligations with respect to withholding taxes, (b) the registration, qualification or listing of the Shares, (c) changes in capitalization of the Company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and (d) other requirements of applicable law. The Board shall have the authority to interpret and construe the Option pursuant to the terms of the Plan, and its decisions shall be conclusive as to any questions arising hereunder.</w:t>
      </w:r>
    </w:p>
    <w:p>
      <w:pPr>
        <w:spacing w:after="0" w:line="158" w:lineRule="exact"/>
        <w:rPr>
          <w:sz w:val="20"/>
          <w:szCs w:val="20"/>
          <w:color w:val="auto"/>
        </w:rPr>
      </w:pPr>
    </w:p>
    <w:p>
      <w:pPr>
        <w:ind w:right="60" w:firstLine="5"/>
        <w:spacing w:after="0" w:line="273" w:lineRule="auto"/>
        <w:tabs>
          <w:tab w:leader="none" w:pos="629"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No Employment or Other Rights</w:t>
      </w:r>
      <w:r>
        <w:rPr>
          <w:rFonts w:ascii="Arial" w:cs="Arial" w:eastAsia="Arial" w:hAnsi="Arial"/>
          <w:sz w:val="17"/>
          <w:szCs w:val="17"/>
          <w:color w:val="auto"/>
        </w:rPr>
        <w:t>. The grant of the Option shall not confer upon the Grantee any right to be retained by or in the employ or service of the Employer and shall not interfere in any way with the right of the Employer to terminate the Grantee’s employment or service at any time. The right of the Employer to terminate at will the Grantee’s employment or service at any time for any reason is specifically reserved.</w:t>
      </w:r>
    </w:p>
    <w:p>
      <w:pPr>
        <w:spacing w:after="0" w:line="171" w:lineRule="exact"/>
        <w:rPr>
          <w:rFonts w:ascii="Arial" w:cs="Arial" w:eastAsia="Arial" w:hAnsi="Arial"/>
          <w:sz w:val="17"/>
          <w:szCs w:val="17"/>
          <w:color w:val="auto"/>
        </w:rPr>
      </w:pPr>
    </w:p>
    <w:p>
      <w:pPr>
        <w:ind w:right="40" w:firstLine="5"/>
        <w:spacing w:after="0" w:line="273" w:lineRule="auto"/>
        <w:tabs>
          <w:tab w:leader="none" w:pos="62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No Stockholder Rights</w:t>
      </w:r>
      <w:r>
        <w:rPr>
          <w:rFonts w:ascii="Arial" w:cs="Arial" w:eastAsia="Arial" w:hAnsi="Arial"/>
          <w:sz w:val="17"/>
          <w:szCs w:val="17"/>
          <w:color w:val="auto"/>
        </w:rPr>
        <w:t>. Neither the Grantee, nor any person entitled to exercise the Grantee’s rights in the event of the Grantee’s death, shall have any of the rights and privileges of a stockholder with respect to the Shares subject to the Option, until certificates for Shares have been issued upon the exercise of the Option.</w:t>
      </w:r>
    </w:p>
    <w:p>
      <w:pPr>
        <w:spacing w:after="0" w:line="171" w:lineRule="exact"/>
        <w:rPr>
          <w:rFonts w:ascii="Arial" w:cs="Arial" w:eastAsia="Arial" w:hAnsi="Arial"/>
          <w:sz w:val="17"/>
          <w:szCs w:val="17"/>
          <w:color w:val="auto"/>
        </w:rPr>
      </w:pPr>
    </w:p>
    <w:p>
      <w:pPr>
        <w:ind w:right="80" w:firstLine="5"/>
        <w:spacing w:after="0" w:line="262" w:lineRule="auto"/>
        <w:tabs>
          <w:tab w:leader="none" w:pos="61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Assignment and Transfers</w:t>
      </w:r>
      <w:r>
        <w:rPr>
          <w:rFonts w:ascii="Arial" w:cs="Arial" w:eastAsia="Arial" w:hAnsi="Arial"/>
          <w:sz w:val="17"/>
          <w:szCs w:val="17"/>
          <w:color w:val="auto"/>
        </w:rPr>
        <w:t>. Except as the Board may otherwise permit pursuant to the Plan, the rights and interests of the Grantee under this Agreement may not be sold, assigned, encumbered or otherwise transferred except, in the event of the death of the Grantee, by will or by the laws of descent and distribution. In the event of any attempt by the Grantee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Grantee, and the Option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Grantee’s consent.</w:t>
      </w:r>
    </w:p>
    <w:p>
      <w:pPr>
        <w:spacing w:after="0" w:line="184" w:lineRule="exact"/>
        <w:rPr>
          <w:rFonts w:ascii="Arial" w:cs="Arial" w:eastAsia="Arial" w:hAnsi="Arial"/>
          <w:sz w:val="17"/>
          <w:szCs w:val="17"/>
          <w:color w:val="auto"/>
        </w:rPr>
      </w:pPr>
    </w:p>
    <w:p>
      <w:pPr>
        <w:ind w:firstLine="5"/>
        <w:spacing w:after="0" w:line="289" w:lineRule="auto"/>
        <w:tabs>
          <w:tab w:leader="none" w:pos="62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construction, interpretation and effect of this instrument shall be governed by and construed in accordance with the laws of the State of Delaware, without giving effect to the conflicts of laws provisions thereof.</w:t>
      </w:r>
    </w:p>
    <w:p>
      <w:pPr>
        <w:spacing w:after="0" w:line="158" w:lineRule="exact"/>
        <w:rPr>
          <w:rFonts w:ascii="Arial" w:cs="Arial" w:eastAsia="Arial" w:hAnsi="Arial"/>
          <w:sz w:val="17"/>
          <w:szCs w:val="17"/>
          <w:color w:val="auto"/>
        </w:rPr>
      </w:pPr>
    </w:p>
    <w:p>
      <w:pPr>
        <w:ind w:right="120" w:firstLine="5"/>
        <w:spacing w:after="0" w:line="314" w:lineRule="auto"/>
        <w:tabs>
          <w:tab w:leader="none" w:pos="625"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to the Company provided for in this instrument shall be addressed to the Company in care of the President at the corporate headquarters of the Company, and any notice to the Grantee shall be addressed to such Grantee at the current address shown on the payroll of the Employer, or to such other address as the Grantee may designate to the Employer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Signature Page Follows</w:t>
      </w:r>
      <w:r>
        <w:rPr>
          <w:rFonts w:ascii="Arial" w:cs="Arial" w:eastAsia="Arial" w:hAnsi="Arial"/>
          <w:sz w:val="17"/>
          <w:szCs w:val="17"/>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IN WITNESS WHEREOF, the Company has caused its duly authorized officers to execute and attest this Agreement, and the Grantee has executed this Agreement, effective as of the Date of Grant.</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I hereby accept the Option described in this Agreement, and I agree to be bound by the terms of the Plan and this Agreement. I hereby further agree that all the decisions and determinations of the Board shall be final and binding.</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9525</wp:posOffset>
            </wp:positionV>
            <wp:extent cx="32632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63265" cy="825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-123190</wp:posOffset>
            </wp:positionV>
            <wp:extent cx="31051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482" w:gutter="0" w:footer="0" w:header="0"/>
        </w:sectPr>
      </w:pPr>
    </w:p>
    <w:bookmarkStart w:id="224" w:name="page225"/>
    <w:bookmarkEnd w:id="224"/>
    <w:p>
      <w:pPr>
        <w:ind w:left="10520"/>
        <w:spacing w:after="0"/>
        <w:rPr>
          <w:sz w:val="20"/>
          <w:szCs w:val="20"/>
          <w:color w:val="auto"/>
        </w:rPr>
      </w:pPr>
      <w:r>
        <w:rPr>
          <w:rFonts w:ascii="Arial" w:cs="Arial" w:eastAsia="Arial" w:hAnsi="Arial"/>
          <w:sz w:val="16"/>
          <w:szCs w:val="16"/>
          <w:b w:val="1"/>
          <w:bCs w:val="1"/>
          <w:color w:val="auto"/>
        </w:rPr>
        <w:t>Exhibit 21.1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960" w:type="dxa"/>
            <w:vAlign w:val="bottom"/>
            <w:gridSpan w:val="3"/>
          </w:tcPr>
          <w:p>
            <w:pPr>
              <w:ind w:left="680"/>
              <w:spacing w:after="0"/>
              <w:rPr>
                <w:sz w:val="20"/>
                <w:szCs w:val="20"/>
                <w:color w:val="auto"/>
              </w:rPr>
            </w:pPr>
            <w:r>
              <w:rPr>
                <w:rFonts w:ascii="Arial" w:cs="Arial" w:eastAsia="Arial" w:hAnsi="Arial"/>
                <w:sz w:val="17"/>
                <w:szCs w:val="17"/>
                <w:b w:val="1"/>
                <w:bCs w:val="1"/>
                <w:color w:val="auto"/>
              </w:rPr>
              <w:t>Subsidiaries of Axsome Therapeutics,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Legal Name</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Pr>
          <w:p>
            <w:pPr>
              <w:ind w:left="1440"/>
              <w:spacing w:after="0"/>
              <w:rPr>
                <w:sz w:val="20"/>
                <w:szCs w:val="20"/>
                <w:color w:val="auto"/>
              </w:rPr>
            </w:pPr>
            <w:r>
              <w:rPr>
                <w:rFonts w:ascii="Arial" w:cs="Arial" w:eastAsia="Arial" w:hAnsi="Arial"/>
                <w:sz w:val="14"/>
                <w:szCs w:val="14"/>
                <w:b w:val="1"/>
                <w:bCs w:val="1"/>
                <w:color w:val="auto"/>
              </w:rPr>
              <w:t>Jurisdiction of Organization or Incorporation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Axsome Therapeutics Limited</w:t>
            </w:r>
          </w:p>
        </w:tc>
        <w:tc>
          <w:tcPr>
            <w:tcW w:w="2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Axsome Therapeutics Australia Pty Ltd</w:t>
            </w:r>
          </w:p>
        </w:tc>
        <w:tc>
          <w:tcPr>
            <w:tcW w:w="214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1)"/>
      <w:numFmt w:val="decimal"/>
      <w:start w:val="1"/>
    </w:lvl>
  </w:abstractNum>
  <w:abstractNum w:abstractNumId="11">
    <w:nsid w:val="73A1821B"/>
    <w:multiLevelType w:val="hybridMultilevel"/>
    <w:lvl w:ilvl="0">
      <w:lvlJc w:val="left"/>
      <w:lvlText w:val="(%1)"/>
      <w:numFmt w:val="decimal"/>
      <w:start w:val="2"/>
    </w:lvl>
  </w:abstractNum>
  <w:abstractNum w:abstractNumId="12">
    <w:nsid w:val="7DE67713"/>
    <w:multiLevelType w:val="hybridMultilevel"/>
    <w:lvl w:ilvl="0">
      <w:lvlJc w:val="left"/>
      <w:lvlText w:val="(%1)"/>
      <w:numFmt w:val="decimal"/>
      <w:start w:val="3"/>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
      <w:numFmt w:val="bullet"/>
      <w:start w:val="1"/>
    </w:lvl>
  </w:abstractNum>
  <w:abstractNum w:abstractNumId="37">
    <w:nsid w:val="3C5991AA"/>
    <w:multiLevelType w:val="hybridMultilevel"/>
    <w:lvl w:ilvl="0">
      <w:lvlJc w:val="left"/>
      <w:lvlText w:val="•"/>
      <w:numFmt w:val="bullet"/>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1)"/>
      <w:numFmt w:val="decimal"/>
      <w:start w:val="1"/>
    </w:lvl>
  </w:abstractNum>
  <w:abstractNum w:abstractNumId="49">
    <w:nsid w:val="5675FF36"/>
    <w:multiLevelType w:val="hybridMultilevel"/>
    <w:lvl w:ilvl="0">
      <w:lvlJc w:val="left"/>
      <w:lvlText w:val="•"/>
      <w:numFmt w:val="bullet"/>
      <w:start w:val="1"/>
    </w:lvl>
  </w:abstractNum>
  <w:abstractNum w:abstractNumId="50">
    <w:nsid w:val="3DD15094"/>
    <w:multiLevelType w:val="hybridMultilevel"/>
    <w:lvl w:ilvl="0">
      <w:lvlJc w:val="left"/>
      <w:lvlText w:val="•"/>
      <w:numFmt w:val="bullet"/>
      <w:start w:val="1"/>
    </w:lvl>
  </w:abstractNum>
  <w:abstractNum w:abstractNumId="51">
    <w:nsid w:val="3DB012B3"/>
    <w:multiLevelType w:val="hybridMultilevel"/>
    <w:lvl w:ilvl="0">
      <w:lvlJc w:val="left"/>
      <w:lvlText w:val="(%1)"/>
      <w:numFmt w:val="decimal"/>
      <w:start w:val="2"/>
    </w:lvl>
  </w:abstractNum>
  <w:abstractNum w:abstractNumId="52">
    <w:nsid w:val="2708C9AF"/>
    <w:multiLevelType w:val="hybridMultilevel"/>
    <w:lvl w:ilvl="0">
      <w:lvlJc w:val="left"/>
      <w:lvlText w:val="(%1)"/>
      <w:numFmt w:val="decimal"/>
      <w:start w:val="2"/>
    </w:lvl>
  </w:abstractNum>
  <w:abstractNum w:abstractNumId="53">
    <w:nsid w:val="5B25ACE2"/>
    <w:multiLevelType w:val="hybridMultilevel"/>
    <w:lvl w:ilvl="0">
      <w:lvlJc w:val="left"/>
      <w:lvlText w:val="(%1)"/>
      <w:numFmt w:val="decimal"/>
      <w:start w:val="2"/>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1)"/>
      <w:numFmt w:val="decimal"/>
      <w:start w:val="2"/>
    </w:lvl>
  </w:abstractNum>
  <w:abstractNum w:abstractNumId="58">
    <w:nsid w:val="5915FF32"/>
    <w:multiLevelType w:val="hybridMultilevel"/>
    <w:lvl w:ilvl="0">
      <w:lvlJc w:val="left"/>
      <w:lvlText w:val="(%1)"/>
      <w:numFmt w:val="decimal"/>
      <w:start w:val="1"/>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
      <w:numFmt w:val="bullet"/>
      <w:start w:val="1"/>
    </w:lvl>
  </w:abstractNum>
  <w:abstractNum w:abstractNumId="63">
    <w:nsid w:val="4DF72E4E"/>
    <w:multiLevelType w:val="hybridMultilevel"/>
    <w:lvl w:ilvl="0">
      <w:lvlJc w:val="left"/>
      <w:lvlText w:val="•"/>
      <w:numFmt w:val="bullet"/>
      <w:start w:val="1"/>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
      <w:numFmt w:val="bullet"/>
      <w:start w:val="1"/>
    </w:lvl>
  </w:abstractNum>
  <w:abstractNum w:abstractNumId="66">
    <w:nsid w:val="2A082C70"/>
    <w:multiLevelType w:val="hybridMultilevel"/>
    <w:lvl w:ilvl="0">
      <w:lvlJc w:val="left"/>
      <w:lvlText w:val="(%1)"/>
      <w:numFmt w:val="decimal"/>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1)"/>
      <w:numFmt w:val="decimal"/>
      <w:start w:val="1"/>
    </w:lvl>
  </w:abstractNum>
  <w:abstractNum w:abstractNumId="71">
    <w:nsid w:val="5399C654"/>
    <w:multiLevelType w:val="hybridMultilevel"/>
    <w:lvl w:ilvl="0">
      <w:lvlJc w:val="left"/>
      <w:lvlText w:val="(%1)"/>
      <w:numFmt w:val="decimal"/>
      <w:start w:val="2"/>
    </w:lvl>
  </w:abstractNum>
  <w:abstractNum w:abstractNumId="72">
    <w:nsid w:val="20EE1348"/>
    <w:multiLevelType w:val="hybridMultilevel"/>
    <w:lvl w:ilvl="0">
      <w:lvlJc w:val="left"/>
      <w:lvlText w:val="(%1)"/>
      <w:numFmt w:val="decimal"/>
      <w:start w:val="3"/>
    </w:lvl>
  </w:abstractNum>
  <w:abstractNum w:abstractNumId="73">
    <w:nsid w:val="4427069A"/>
    <w:multiLevelType w:val="hybridMultilevel"/>
    <w:lvl w:ilvl="0">
      <w:lvlJc w:val="left"/>
      <w:lvlText w:val="•"/>
      <w:numFmt w:val="bullet"/>
      <w:start w:val="1"/>
    </w:lvl>
  </w:abstractNum>
  <w:abstractNum w:abstractNumId="74">
    <w:nsid w:val="B37E80A"/>
    <w:multiLevelType w:val="hybridMultilevel"/>
    <w:lvl w:ilvl="0">
      <w:lvlJc w:val="left"/>
      <w:lvlText w:val="•"/>
      <w:numFmt w:val="bullet"/>
      <w:start w:val="1"/>
    </w:lvl>
  </w:abstractNum>
  <w:abstractNum w:abstractNumId="75">
    <w:nsid w:val="2157F6BC"/>
    <w:multiLevelType w:val="hybridMultilevel"/>
    <w:lvl w:ilvl="0">
      <w:lvlJc w:val="left"/>
      <w:lvlText w:val="•"/>
      <w:numFmt w:val="bullet"/>
      <w:start w:val="1"/>
    </w:lvl>
  </w:abstractNum>
  <w:abstractNum w:abstractNumId="76">
    <w:nsid w:val="704E1DD5"/>
    <w:multiLevelType w:val="hybridMultilevel"/>
    <w:lvl w:ilvl="0">
      <w:lvlJc w:val="left"/>
      <w:lvlText w:val="•"/>
      <w:numFmt w:val="bullet"/>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1)"/>
      <w:numFmt w:val="lowerRoman"/>
      <w:start w:val="1"/>
    </w:lvl>
  </w:abstractNum>
  <w:abstractNum w:abstractNumId="79">
    <w:nsid w:val="E3E47A8"/>
    <w:multiLevelType w:val="hybridMultilevel"/>
    <w:lvl w:ilvl="0">
      <w:lvlJc w:val="left"/>
      <w:lvlText w:val="(%1)"/>
      <w:numFmt w:val="decimal"/>
      <w:start w:val="1"/>
    </w:lvl>
  </w:abstractNum>
  <w:abstractNum w:abstractNumId="80">
    <w:nsid w:val="2E48F044"/>
    <w:multiLevelType w:val="hybridMultilevel"/>
    <w:lvl w:ilvl="0">
      <w:lvlJc w:val="left"/>
      <w:lvlText w:val="(%1)"/>
      <w:numFmt w:val="decimal"/>
      <w:start w:val="1"/>
    </w:lvl>
  </w:abstractNum>
  <w:abstractNum w:abstractNumId="81">
    <w:nsid w:val="49D0FEAC"/>
    <w:multiLevelType w:val="hybridMultilevel"/>
    <w:lvl w:ilvl="0">
      <w:lvlJc w:val="left"/>
      <w:lvlText w:val="(%1)"/>
      <w:numFmt w:val="decimal"/>
      <w:start w:val="7"/>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
      <w:numFmt w:val="bullet"/>
      <w:start w:val="1"/>
    </w:lvl>
  </w:abstractNum>
  <w:abstractNum w:abstractNumId="85">
    <w:nsid w:val="634C574C"/>
    <w:multiLevelType w:val="hybridMultilevel"/>
    <w:lvl w:ilvl="0">
      <w:lvlJc w:val="left"/>
      <w:lvlText w:val="%1."/>
      <w:numFmt w:val="decimal"/>
      <w:start w:val="1"/>
    </w:lvl>
  </w:abstractNum>
  <w:abstractNum w:abstractNumId="86">
    <w:nsid w:val="24E99DD7"/>
    <w:multiLevelType w:val="hybridMultilevel"/>
    <w:lvl w:ilvl="0">
      <w:lvlJc w:val="left"/>
      <w:lvlText w:val="$"/>
      <w:numFmt w:val="bullet"/>
      <w:start w:val="1"/>
    </w:lvl>
  </w:abstractNum>
  <w:abstractNum w:abstractNumId="87">
    <w:nsid w:val="2A31B62D"/>
    <w:multiLevelType w:val="hybridMultilevel"/>
    <w:lvl w:ilvl="0">
      <w:lvlJc w:val="left"/>
      <w:lvlText w:val="%1."/>
      <w:numFmt w:val="decimal"/>
      <w:start w:val="2"/>
    </w:lvl>
  </w:abstractNum>
  <w:abstractNum w:abstractNumId="88">
    <w:nsid w:val="1849C29B"/>
    <w:multiLevelType w:val="hybridMultilevel"/>
    <w:lvl w:ilvl="0">
      <w:lvlJc w:val="left"/>
      <w:lvlText w:val="%1."/>
      <w:numFmt w:val="decimal"/>
      <w:start w:val="3"/>
    </w:lvl>
  </w:abstractNum>
  <w:abstractNum w:abstractNumId="89">
    <w:nsid w:val="7DFF9D09"/>
    <w:multiLevelType w:val="hybridMultilevel"/>
    <w:lvl w:ilvl="0">
      <w:lvlJc w:val="left"/>
      <w:lvlText w:val="%1."/>
      <w:numFmt w:val="decimal"/>
      <w:start w:val="4"/>
    </w:lvl>
  </w:abstractNum>
  <w:abstractNum w:abstractNumId="90">
    <w:nsid w:val="754342"/>
    <w:multiLevelType w:val="hybridMultilevel"/>
    <w:lvl w:ilvl="0">
      <w:lvlJc w:val="left"/>
      <w:lvlText w:val="%1."/>
      <w:numFmt w:val="decimal"/>
      <w:start w:val="5"/>
    </w:lvl>
  </w:abstractNum>
  <w:abstractNum w:abstractNumId="91">
    <w:nsid w:val="69E7F3E5"/>
    <w:multiLevelType w:val="hybridMultilevel"/>
    <w:lvl w:ilvl="0">
      <w:lvlJc w:val="left"/>
      <w:lvlText w:val="%1."/>
      <w:numFmt w:val="decimal"/>
      <w:start w:val="6"/>
    </w:lvl>
  </w:abstractNum>
  <w:abstractNum w:abstractNumId="92">
    <w:nsid w:val="2A6DE806"/>
    <w:multiLevelType w:val="hybridMultilevel"/>
    <w:lvl w:ilvl="0">
      <w:lvlJc w:val="left"/>
      <w:lvlText w:val="%1."/>
      <w:numFmt w:val="decimal"/>
      <w:start w:val="7"/>
    </w:lvl>
  </w:abstractNum>
  <w:abstractNum w:abstractNumId="93">
    <w:nsid w:val="1816F8C4"/>
    <w:multiLevelType w:val="hybridMultilevel"/>
    <w:lvl w:ilvl="0">
      <w:lvlJc w:val="left"/>
      <w:lvlText w:val="(%1)"/>
      <w:numFmt w:val="decimal"/>
      <w:start w:val="1"/>
    </w:lvl>
  </w:abstractNum>
  <w:abstractNum w:abstractNumId="94">
    <w:nsid w:val="37DF2233"/>
    <w:multiLevelType w:val="hybridMultilevel"/>
    <w:lvl w:ilvl="0">
      <w:lvlJc w:val="left"/>
      <w:lvlText w:val="%1."/>
      <w:numFmt w:val="decimal"/>
      <w:start w:val="8"/>
    </w:lvl>
  </w:abstractNum>
  <w:abstractNum w:abstractNumId="95">
    <w:nsid w:val="7AB49DAF"/>
    <w:multiLevelType w:val="hybridMultilevel"/>
    <w:lvl w:ilvl="0">
      <w:lvlJc w:val="left"/>
      <w:lvlText w:val="%1."/>
      <w:numFmt w:val="decimal"/>
      <w:start w:val="9"/>
    </w:lvl>
  </w:abstractNum>
  <w:abstractNum w:abstractNumId="96">
    <w:nsid w:val="759F82CD"/>
    <w:multiLevelType w:val="hybridMultilevel"/>
    <w:lvl w:ilvl="0">
      <w:lvlJc w:val="left"/>
      <w:lvlText w:val="%1."/>
      <w:numFmt w:val="decimal"/>
      <w:start w:val="12"/>
    </w:lvl>
  </w:abstractNum>
  <w:abstractNum w:abstractNumId="97">
    <w:nsid w:val="61E74EA3"/>
    <w:multiLevelType w:val="hybridMultilevel"/>
    <w:lvl w:ilvl="0">
      <w:lvlJc w:val="left"/>
      <w:lvlText w:val="(%1)"/>
      <w:numFmt w:val="decimal"/>
      <w:start w:val="1"/>
    </w:lvl>
  </w:abstractNum>
  <w:abstractNum w:abstractNumId="98">
    <w:nsid w:val="597B4D84"/>
    <w:multiLevelType w:val="hybridMultilevel"/>
    <w:lvl w:ilvl="0">
      <w:lvlJc w:val="left"/>
      <w:lvlText w:val="(%1)"/>
      <w:numFmt w:val="decimal"/>
      <w:start w:val="1"/>
    </w:lvl>
  </w:abstractNum>
  <w:abstractNum w:abstractNumId="99">
    <w:nsid w:val="F819E7F"/>
    <w:multiLevelType w:val="hybridMultilevel"/>
    <w:lvl w:ilvl="0">
      <w:lvlJc w:val="left"/>
      <w:lvlText w:val="(%1)"/>
      <w:numFmt w:val="decimal"/>
      <w:start w:val="4"/>
    </w:lvl>
  </w:abstractNum>
  <w:abstractNum w:abstractNumId="100">
    <w:nsid w:val="57C7D42D"/>
    <w:multiLevelType w:val="hybridMultilevel"/>
    <w:lvl w:ilvl="0">
      <w:lvlJc w:val="left"/>
      <w:lvlText w:val="(%1)"/>
      <w:numFmt w:val="lowerLetter"/>
      <w:start w:val="1"/>
    </w:lvl>
  </w:abstractNum>
  <w:abstractNum w:abstractNumId="101">
    <w:nsid w:val="312167AD"/>
    <w:multiLevelType w:val="hybridMultilevel"/>
    <w:lvl w:ilvl="0">
      <w:lvlJc w:val="left"/>
      <w:lvlText w:val="(%1)"/>
      <w:numFmt w:val="lowerLetter"/>
      <w:start w:val="2"/>
    </w:lvl>
  </w:abstractNum>
  <w:abstractNum w:abstractNumId="102">
    <w:nsid w:val="631B64D4"/>
    <w:multiLevelType w:val="hybridMultilevel"/>
    <w:lvl w:ilvl="0">
      <w:lvlJc w:val="left"/>
      <w:lvlText w:val="(%1)"/>
      <w:numFmt w:val="decimal"/>
      <w:start w:val="1"/>
    </w:lvl>
  </w:abstractNum>
  <w:abstractNum w:abstractNumId="103">
    <w:nsid w:val="78B5E776"/>
    <w:multiLevelType w:val="hybridMultilevel"/>
    <w:lvl w:ilvl="0">
      <w:lvlJc w:val="left"/>
      <w:lvlText w:val="†"/>
      <w:numFmt w:val="bullet"/>
      <w:start w:val="1"/>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1)"/>
      <w:numFmt w:val="lowerLetter"/>
      <w:start w:val="1"/>
    </w:lvl>
  </w:abstractNum>
  <w:abstractNum w:abstractNumId="106">
    <w:nsid w:val="1A0DDE32"/>
    <w:multiLevelType w:val="hybridMultilevel"/>
    <w:lvl w:ilvl="0">
      <w:lvlJc w:val="left"/>
      <w:lvlText w:val="(%1)"/>
      <w:numFmt w:val="lowerLetter"/>
      <w:start w:val="1"/>
    </w:lvl>
  </w:abstractNum>
  <w:abstractNum w:abstractNumId="107">
    <w:nsid w:val="65968C1C"/>
    <w:multiLevelType w:val="hybridMultilevel"/>
    <w:lvl w:ilvl="0">
      <w:lvlJc w:val="left"/>
      <w:lvlText w:val="(%1)"/>
      <w:numFmt w:val="lowerLetter"/>
      <w:start w:val="1"/>
    </w:lvl>
  </w:abstractNum>
  <w:abstractNum w:abstractNumId="108">
    <w:nsid w:val="46263DEC"/>
    <w:multiLevelType w:val="hybridMultilevel"/>
    <w:lvl w:ilvl="0">
      <w:lvlJc w:val="left"/>
      <w:lvlText w:val="(%1)"/>
      <w:numFmt w:val="lowerLetter"/>
      <w:start w:val="1"/>
    </w:lvl>
  </w:abstractNum>
  <w:abstractNum w:abstractNumId="109">
    <w:nsid w:val="260D8C4A"/>
    <w:multiLevelType w:val="hybridMultilevel"/>
    <w:lvl w:ilvl="0">
      <w:lvlJc w:val="left"/>
      <w:lvlText w:val="(%1)"/>
      <w:numFmt w:val="lowerLetter"/>
      <w:start w:val="1"/>
    </w:lvl>
    <w:lvl w:ilvl="1">
      <w:lvlJc w:val="left"/>
      <w:lvlText w:val="(%2)"/>
      <w:numFmt w:val="decimal"/>
      <w:start w:val="1"/>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1)"/>
      <w:numFmt w:val="lowerLetter"/>
      <w:start w:val="2"/>
    </w:lvl>
  </w:abstractNum>
  <w:abstractNum w:abstractNumId="112">
    <w:nsid w:val="6FDE8AF6"/>
    <w:multiLevelType w:val="hybridMultilevel"/>
    <w:lvl w:ilvl="0">
      <w:lvlJc w:val="left"/>
      <w:lvlText w:val="(%1)"/>
      <w:numFmt w:val="lowerLetter"/>
      <w:start w:val="1"/>
    </w:lvl>
  </w:abstractNum>
  <w:abstractNum w:abstractNumId="113">
    <w:nsid w:val="3FC32E20"/>
    <w:multiLevelType w:val="hybridMultilevel"/>
    <w:lvl w:ilvl="0">
      <w:lvlJc w:val="left"/>
      <w:lvlText w:val="%1"/>
      <w:numFmt w:val="lowerLetter"/>
      <w:start w:val="1"/>
    </w:lvl>
    <w:lvl w:ilvl="1">
      <w:lvlJc w:val="left"/>
      <w:lvlText w:val="(%2)"/>
      <w:numFmt w:val="lowerLetter"/>
      <w:start w:val="1"/>
    </w:lvl>
  </w:abstractNum>
  <w:abstractNum w:abstractNumId="114">
    <w:nsid w:val="49C0E823"/>
    <w:multiLevelType w:val="hybridMultilevel"/>
    <w:lvl w:ilvl="0">
      <w:lvlJc w:val="left"/>
      <w:lvlText w:val="(%1)"/>
      <w:numFmt w:val="lowerLetter"/>
      <w:start w:val="9"/>
    </w:lvl>
    <w:lvl w:ilvl="1">
      <w:lvlJc w:val="left"/>
      <w:lvlText w:val="(%2)"/>
      <w:numFmt w:val="lowerLetter"/>
      <w:start w:val="3"/>
    </w:lvl>
  </w:abstractNum>
  <w:abstractNum w:abstractNumId="115">
    <w:nsid w:val="14D53685"/>
    <w:multiLevelType w:val="hybridMultilevel"/>
    <w:lvl w:ilvl="0">
      <w:lvlJc w:val="left"/>
      <w:lvlText w:val="(%1)"/>
      <w:numFmt w:val="lowerLetter"/>
      <w:start w:val="1"/>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3"/>
    </w:lvl>
  </w:abstractNum>
  <w:abstractNum w:abstractNumId="118">
    <w:nsid w:val="3F06ECB2"/>
    <w:multiLevelType w:val="hybridMultilevel"/>
    <w:lvl w:ilvl="0">
      <w:lvlJc w:val="left"/>
      <w:lvlText w:val="(%1)"/>
      <w:numFmt w:val="lowerLetter"/>
      <w:start w:val="1"/>
    </w:lvl>
  </w:abstractNum>
  <w:abstractNum w:abstractNumId="119">
    <w:nsid w:val="3B594807"/>
    <w:multiLevelType w:val="hybridMultilevel"/>
    <w:lvl w:ilvl="0">
      <w:lvlJc w:val="left"/>
      <w:lvlText w:val="%1."/>
      <w:numFmt w:val="decimal"/>
      <w:start w:val="1"/>
    </w:lvl>
  </w:abstractNum>
  <w:abstractNum w:abstractNumId="120">
    <w:nsid w:val="6CAA2304"/>
    <w:multiLevelType w:val="hybridMultilevel"/>
    <w:lvl w:ilvl="0">
      <w:lvlJc w:val="left"/>
      <w:lvlText w:val="(%1)"/>
      <w:numFmt w:val="lowerLetter"/>
      <w:start w:val="1"/>
    </w:lvl>
  </w:abstractNum>
  <w:abstractNum w:abstractNumId="121">
    <w:nsid w:val="3F7C2FF4"/>
    <w:multiLevelType w:val="hybridMultilevel"/>
    <w:lvl w:ilvl="0">
      <w:lvlJc w:val="left"/>
      <w:lvlText w:val="%1."/>
      <w:numFmt w:val="decimal"/>
      <w:start w:val="2"/>
    </w:lvl>
  </w:abstractNum>
  <w:abstractNum w:abstractNumId="122">
    <w:nsid w:val="25413BEC"/>
    <w:multiLevelType w:val="hybridMultilevel"/>
    <w:lvl w:ilvl="0">
      <w:lvlJc w:val="left"/>
      <w:lvlText w:val="%1."/>
      <w:numFmt w:val="decimal"/>
      <w:start w:val="3"/>
    </w:lvl>
  </w:abstractNum>
  <w:abstractNum w:abstractNumId="123">
    <w:nsid w:val="17180B0B"/>
    <w:multiLevelType w:val="hybridMultilevel"/>
    <w:lvl w:ilvl="0">
      <w:lvlJc w:val="left"/>
      <w:lvlText w:val="%1."/>
      <w:numFmt w:val="decimal"/>
      <w:start w:val="4"/>
    </w:lvl>
  </w:abstractNum>
  <w:abstractNum w:abstractNumId="124">
    <w:nsid w:val="579328B9"/>
    <w:multiLevelType w:val="hybridMultilevel"/>
    <w:lvl w:ilvl="0">
      <w:lvlJc w:val="left"/>
      <w:lvlText w:val="%1."/>
      <w:numFmt w:val="decimal"/>
      <w:start w:val="5"/>
    </w:lvl>
  </w:abstractNum>
  <w:abstractNum w:abstractNumId="125">
    <w:nsid w:val="5D205E20"/>
    <w:multiLevelType w:val="hybridMultilevel"/>
    <w:lvl w:ilvl="0">
      <w:lvlJc w:val="left"/>
      <w:lvlText w:val="(%1)"/>
      <w:numFmt w:val="lowerLetter"/>
      <w:start w:val="1"/>
    </w:lvl>
  </w:abstractNum>
  <w:abstractNum w:abstractNumId="126">
    <w:nsid w:val="11CCA8BA"/>
    <w:multiLevelType w:val="hybridMultilevel"/>
    <w:lvl w:ilvl="0">
      <w:lvlJc w:val="left"/>
      <w:lvlText w:val="%1."/>
      <w:numFmt w:val="decimal"/>
      <w:start w:val="6"/>
    </w:lvl>
  </w:abstractNum>
  <w:abstractNum w:abstractNumId="127">
    <w:nsid w:val="4D32AB86"/>
    <w:multiLevelType w:val="hybridMultilevel"/>
    <w:lvl w:ilvl="0">
      <w:lvlJc w:val="left"/>
      <w:lvlText w:val="%1."/>
      <w:numFmt w:val="decimal"/>
      <w:start w:val="7"/>
    </w:lvl>
  </w:abstractNum>
  <w:abstractNum w:abstractNumId="128">
    <w:nsid w:val="3F07ACC3"/>
    <w:multiLevelType w:val="hybridMultilevel"/>
    <w:lvl w:ilvl="0">
      <w:lvlJc w:val="left"/>
      <w:lvlText w:val="%1."/>
      <w:numFmt w:val="decimal"/>
      <w:start w:val="8"/>
    </w:lvl>
  </w:abstractNum>
  <w:abstractNum w:abstractNumId="129">
    <w:nsid w:val="6B47F63E"/>
    <w:multiLevelType w:val="hybridMultilevel"/>
    <w:lvl w:ilvl="0">
      <w:lvlJc w:val="left"/>
      <w:lvlText w:val="%1."/>
      <w:numFmt w:val="decimal"/>
      <w:start w:val="9"/>
    </w:lvl>
  </w:abstractNum>
  <w:abstractNum w:abstractNumId="130">
    <w:nsid w:val="5CB44A05"/>
    <w:multiLevelType w:val="hybridMultilevel"/>
    <w:lvl w:ilvl="0">
      <w:lvlJc w:val="left"/>
      <w:lvlText w:val="%1."/>
      <w:numFmt w:val="decimal"/>
      <w:start w:val="10"/>
    </w:lvl>
  </w:abstractNum>
  <w:abstractNum w:abstractNumId="131">
    <w:nsid w:val="16CF80F1"/>
    <w:multiLevelType w:val="hybridMultilevel"/>
    <w:lvl w:ilvl="0">
      <w:lvlJc w:val="left"/>
      <w:lvlText w:val="%1."/>
      <w:numFmt w:val="decimal"/>
      <w:start w:val="11"/>
    </w:lvl>
  </w:abstractNum>
  <w:abstractNum w:abstractNumId="132">
    <w:nsid w:val="1C695DEC"/>
    <w:multiLevelType w:val="hybridMultilevel"/>
    <w:lvl w:ilvl="0">
      <w:lvlJc w:val="left"/>
      <w:lvlText w:val="%1."/>
      <w:numFmt w:val="decimal"/>
      <w:start w:val="1"/>
    </w:lvl>
  </w:abstractNum>
  <w:abstractNum w:abstractNumId="133">
    <w:nsid w:val="3FCFAED9"/>
    <w:multiLevelType w:val="hybridMultilevel"/>
    <w:lvl w:ilvl="0">
      <w:lvlJc w:val="left"/>
      <w:lvlText w:val="(%1)"/>
      <w:numFmt w:val="lowerLetter"/>
      <w:start w:val="1"/>
    </w:lvl>
  </w:abstractNum>
  <w:abstractNum w:abstractNumId="134">
    <w:nsid w:val="F856867"/>
    <w:multiLevelType w:val="hybridMultilevel"/>
    <w:lvl w:ilvl="0">
      <w:lvlJc w:val="left"/>
      <w:lvlText w:val="(%1)"/>
      <w:numFmt w:val="lowerLetter"/>
      <w:start w:val="3"/>
    </w:lvl>
  </w:abstractNum>
  <w:abstractNum w:abstractNumId="135">
    <w:nsid w:val="11B1CC33"/>
    <w:multiLevelType w:val="hybridMultilevel"/>
    <w:lvl w:ilvl="0">
      <w:lvlJc w:val="left"/>
      <w:lvlText w:val="%1."/>
      <w:numFmt w:val="decimal"/>
      <w:start w:val="2"/>
    </w:lvl>
  </w:abstractNum>
  <w:abstractNum w:abstractNumId="136">
    <w:nsid w:val="2E22FBB7"/>
    <w:multiLevelType w:val="hybridMultilevel"/>
    <w:lvl w:ilvl="0">
      <w:lvlJc w:val="left"/>
      <w:lvlText w:val="%1."/>
      <w:numFmt w:val="decimal"/>
      <w:start w:val="3"/>
    </w:lvl>
  </w:abstractNum>
  <w:abstractNum w:abstractNumId="137">
    <w:nsid w:val="29934699"/>
    <w:multiLevelType w:val="hybridMultilevel"/>
    <w:lvl w:ilvl="0">
      <w:lvlJc w:val="left"/>
      <w:lvlText w:val="%1."/>
      <w:numFmt w:val="decimal"/>
      <w:start w:val="4"/>
    </w:lvl>
  </w:abstractNum>
  <w:abstractNum w:abstractNumId="138">
    <w:nsid w:val="77485850"/>
    <w:multiLevelType w:val="hybridMultilevel"/>
    <w:lvl w:ilvl="0">
      <w:lvlJc w:val="left"/>
      <w:lvlText w:val="(%1)"/>
      <w:numFmt w:val="decimal"/>
      <w:start w:val="30"/>
    </w:lvl>
  </w:abstractNum>
  <w:abstractNum w:abstractNumId="139">
    <w:nsid w:val="744939A3"/>
    <w:multiLevelType w:val="hybridMultilevel"/>
    <w:lvl w:ilvl="0">
      <w:lvlJc w:val="left"/>
      <w:lvlText w:val="%1."/>
      <w:numFmt w:val="decimal"/>
      <w:start w:val="5"/>
    </w:lvl>
  </w:abstractNum>
  <w:abstractNum w:abstractNumId="140">
    <w:nsid w:val="4FA0D2E3"/>
    <w:multiLevelType w:val="hybridMultilevel"/>
    <w:lvl w:ilvl="0">
      <w:lvlJc w:val="left"/>
      <w:lvlText w:val="(%1)"/>
      <w:numFmt w:val="lowerLetter"/>
      <w:start w:val="1"/>
    </w:lvl>
  </w:abstractNum>
  <w:abstractNum w:abstractNumId="141">
    <w:nsid w:val="6B1D2C14"/>
    <w:multiLevelType w:val="hybridMultilevel"/>
    <w:lvl w:ilvl="0">
      <w:lvlJc w:val="left"/>
      <w:lvlText w:val="(%1)"/>
      <w:numFmt w:val="lowerLetter"/>
      <w:start w:val="2"/>
    </w:lvl>
  </w:abstractNum>
  <w:abstractNum w:abstractNumId="142">
    <w:nsid w:val="68B867D3"/>
    <w:multiLevelType w:val="hybridMultilevel"/>
    <w:lvl w:ilvl="0">
      <w:lvlJc w:val="left"/>
      <w:lvlText w:val="%1."/>
      <w:numFmt w:val="decimal"/>
      <w:start w:val="6"/>
    </w:lvl>
  </w:abstractNum>
  <w:abstractNum w:abstractNumId="143">
    <w:nsid w:val="3F7F5DD9"/>
    <w:multiLevelType w:val="hybridMultilevel"/>
    <w:lvl w:ilvl="0">
      <w:lvlJc w:val="left"/>
      <w:lvlText w:val="%1."/>
      <w:numFmt w:val="decimal"/>
      <w:start w:val="7"/>
    </w:lvl>
  </w:abstractNum>
  <w:abstractNum w:abstractNumId="144">
    <w:nsid w:val="2AE05A34"/>
    <w:multiLevelType w:val="hybridMultilevel"/>
    <w:lvl w:ilvl="0">
      <w:lvlJc w:val="left"/>
      <w:lvlText w:val="%1."/>
      <w:numFmt w:val="decimal"/>
      <w:start w:val="8"/>
    </w:lvl>
  </w:abstractNum>
  <w:abstractNum w:abstractNumId="145">
    <w:nsid w:val="32794FF7"/>
    <w:multiLevelType w:val="hybridMultilevel"/>
    <w:lvl w:ilvl="0">
      <w:lvlJc w:val="left"/>
      <w:lvlText w:val="%1."/>
      <w:numFmt w:val="decimal"/>
      <w:start w:val="9"/>
    </w:lvl>
  </w:abstractNum>
  <w:abstractNum w:abstractNumId="146">
    <w:nsid w:val="5454945E"/>
    <w:multiLevelType w:val="hybridMultilevel"/>
    <w:lvl w:ilvl="0">
      <w:lvlJc w:val="left"/>
      <w:lvlText w:val="%1."/>
      <w:numFmt w:val="decimal"/>
      <w:start w:val="10"/>
    </w:lvl>
  </w:abstractNum>
  <w:abstractNum w:abstractNumId="147">
    <w:nsid w:val="4DEFDFA0"/>
    <w:multiLevelType w:val="hybridMultilevel"/>
    <w:lvl w:ilvl="0">
      <w:lvlJc w:val="left"/>
      <w:lvlText w:val="%1."/>
      <w:numFmt w:val="decimal"/>
      <w:start w:val="11"/>
    </w:lvl>
  </w:abstractNum>
  <w:abstractNum w:abstractNumId="148">
    <w:nsid w:val="2123D5F2"/>
    <w:multiLevelType w:val="hybridMultilevel"/>
    <w:lvl w:ilvl="0">
      <w:lvlJc w:val="left"/>
      <w:lvlText w:val="%1."/>
      <w:numFmt w:val="decimal"/>
      <w:start w:val="12"/>
    </w:lvl>
  </w:abstractNum>
  <w:abstractNum w:abstractNumId="149">
    <w:nsid w:val="135B8110"/>
    <w:multiLevelType w:val="hybridMultilevel"/>
    <w:lvl w:ilvl="0">
      <w:lvlJc w:val="left"/>
      <w:lvlText w:val="%1."/>
      <w:numFmt w:val="decimal"/>
      <w:start w:val="13"/>
    </w:lvl>
  </w:abstractNum>
  <w:abstractNum w:abstractNumId="150">
    <w:nsid w:val="94927A8"/>
    <w:multiLevelType w:val="hybridMultilevel"/>
    <w:lvl w:ilvl="0">
      <w:lvlJc w:val="left"/>
      <w:lvlText w:val="]"/>
      <w:numFmt w:val="bullet"/>
      <w:start w:val="1"/>
    </w:lvl>
  </w:abstractNum>
  <w:abstractNum w:abstractNumId="151">
    <w:nsid w:val="DCDF8F6"/>
    <w:multiLevelType w:val="hybridMultilevel"/>
    <w:lvl w:ilvl="0">
      <w:lvlJc w:val="left"/>
      <w:lvlText w:val="(%1)"/>
      <w:numFmt w:val="lowerRoman"/>
      <w:start w:val="3"/>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Roman"/>
      <w:start w:val="1"/>
    </w:lvl>
    <w:lvl w:ilvl="1">
      <w:lvlJc w:val="left"/>
      <w:lvlText w:val="(%2)"/>
      <w:numFmt w:val="lowerLetter"/>
      <w:start w:val="1"/>
    </w:lvl>
  </w:abstractNum>
  <w:abstractNum w:abstractNumId="154">
    <w:nsid w:val="24E60401"/>
    <w:multiLevelType w:val="hybridMultilevel"/>
    <w:lvl w:ilvl="0">
      <w:lvlJc w:val="left"/>
      <w:lvlText w:val="(%1)"/>
      <w:numFmt w:val="lowerRoman"/>
      <w:start w:val="4"/>
    </w:lvl>
    <w:lvl w:ilvl="1">
      <w:lvlJc w:val="left"/>
      <w:lvlText w:val="%2"/>
      <w:numFmt w:val="lowerLetter"/>
      <w:start w:val="1"/>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lowerLetter"/>
      <w:start w:val="1"/>
    </w:lvl>
    <w:lvl w:ilvl="1">
      <w:lvlJc w:val="left"/>
      <w:lvlText w:val="(%2)"/>
      <w:numFmt w:val="lowerRoman"/>
      <w:start w:val="1"/>
    </w:lvl>
  </w:abstractNum>
  <w:abstractNum w:abstractNumId="158">
    <w:nsid w:val="779D8544"/>
    <w:multiLevelType w:val="hybridMultilevel"/>
    <w:lvl w:ilvl="0">
      <w:lvlJc w:val="left"/>
      <w:lvlText w:val="(%1)"/>
      <w:numFmt w:val="lowerLetter"/>
      <w:start w:val="3"/>
    </w:lvl>
    <w:lvl w:ilvl="1">
      <w:lvlJc w:val="left"/>
      <w:lvlText w:val="(%2)"/>
      <w:numFmt w:val="lowerRoman"/>
      <w:start w:val="1"/>
    </w:lvl>
  </w:abstractNum>
  <w:abstractNum w:abstractNumId="159">
    <w:nsid w:val="4AB26E78"/>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60">
    <w:nsid w:val="21FAA2F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61">
    <w:nsid w:val="5451CF49"/>
    <w:multiLevelType w:val="hybridMultilevel"/>
    <w:lvl w:ilvl="0">
      <w:lvlJc w:val="left"/>
      <w:lvlText w:val="(%1)"/>
      <w:numFmt w:val="lowerRoman"/>
      <w:start w:val="5"/>
    </w:lvl>
    <w:lvl w:ilvl="1">
      <w:lvlJc w:val="left"/>
      <w:lvlText w:val="(%2)"/>
      <w:numFmt w:val="upperLetter"/>
      <w:start w:val="2"/>
    </w:lvl>
  </w:abstractNum>
  <w:abstractNum w:abstractNumId="162">
    <w:nsid w:val="6181EF69"/>
    <w:multiLevelType w:val="hybridMultilevel"/>
    <w:lvl w:ilvl="0">
      <w:lvlJc w:val="left"/>
      <w:lvlText w:val="(%1)"/>
      <w:numFmt w:val="lowerLetter"/>
      <w:start w:val="7"/>
    </w:lvl>
  </w:abstractNum>
  <w:abstractNum w:abstractNumId="163">
    <w:nsid w:val="3E6400E6"/>
    <w:multiLevelType w:val="hybridMultilevel"/>
    <w:lvl w:ilvl="0">
      <w:lvlJc w:val="left"/>
      <w:lvlText w:val="(%1)"/>
      <w:numFmt w:val="lowerLetter"/>
      <w:start w:val="1"/>
    </w:lvl>
  </w:abstractNum>
  <w:abstractNum w:abstractNumId="164">
    <w:nsid w:val="14217E23"/>
    <w:multiLevelType w:val="hybridMultilevel"/>
    <w:lvl w:ilvl="0">
      <w:lvlJc w:val="left"/>
      <w:lvlText w:val="(%1)"/>
      <w:numFmt w:val="lowerLetter"/>
      <w:start w:val="2"/>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lowerLetter"/>
      <w:start w:val="1"/>
    </w:lvl>
  </w:abstractNum>
  <w:abstractNum w:abstractNumId="167">
    <w:nsid w:val="424479DA"/>
    <w:multiLevelType w:val="hybridMultilevel"/>
    <w:lvl w:ilvl="0">
      <w:lvlJc w:val="left"/>
      <w:lvlText w:val="(%1)"/>
      <w:numFmt w:val="lowerLetter"/>
      <w:start w:val="4"/>
    </w:lvl>
  </w:abstractNum>
  <w:abstractNum w:abstractNumId="168">
    <w:nsid w:val="1A9A9E69"/>
    <w:multiLevelType w:val="hybridMultilevel"/>
    <w:lvl w:ilvl="0">
      <w:lvlJc w:val="left"/>
      <w:lvlText w:val="(%1)"/>
      <w:numFmt w:val="lowerLetter"/>
      <w:start w:val="6"/>
    </w:lvl>
  </w:abstractNum>
  <w:abstractNum w:abstractNumId="169">
    <w:nsid w:val="475E256A"/>
    <w:multiLevelType w:val="hybridMultilevel"/>
    <w:lvl w:ilvl="0">
      <w:lvlJc w:val="left"/>
      <w:lvlText w:val="(%1)"/>
      <w:numFmt w:val="lowerLetter"/>
      <w:start w:val="1"/>
    </w:lvl>
  </w:abstractNum>
  <w:abstractNum w:abstractNumId="170">
    <w:nsid w:val="368DB37E"/>
    <w:multiLevelType w:val="hybridMultilevel"/>
    <w:lvl w:ilvl="0">
      <w:lvlJc w:val="left"/>
      <w:lvlText w:val="(%1)"/>
      <w:numFmt w:val="lowerLetter"/>
      <w:start w:val="1"/>
    </w:lvl>
  </w:abstractNum>
  <w:abstractNum w:abstractNumId="171">
    <w:nsid w:val="6A3B714C"/>
    <w:multiLevelType w:val="hybridMultilevel"/>
    <w:lvl w:ilvl="0">
      <w:lvlJc w:val="left"/>
      <w:lvlText w:val="(%1)"/>
      <w:numFmt w:val="lowerLetter"/>
      <w:start w:val="1"/>
    </w:lvl>
  </w:abstractNum>
  <w:abstractNum w:abstractNumId="172">
    <w:nsid w:val="327B517E"/>
    <w:multiLevelType w:val="hybridMultilevel"/>
    <w:lvl w:ilvl="0">
      <w:lvlJc w:val="left"/>
      <w:lvlText w:val="(%1)"/>
      <w:numFmt w:val="lowerLetter"/>
      <w:start w:val="4"/>
    </w:lvl>
  </w:abstractNum>
  <w:abstractNum w:abstractNumId="173">
    <w:nsid w:val="1F461B51"/>
    <w:multiLevelType w:val="hybridMultilevel"/>
    <w:lvl w:ilvl="0">
      <w:lvlJc w:val="left"/>
      <w:lvlText w:val="(%1)"/>
      <w:numFmt w:val="lowerLetter"/>
      <w:start w:val="1"/>
    </w:lvl>
  </w:abstractNum>
  <w:abstractNum w:abstractNumId="174">
    <w:nsid w:val="29BACF25"/>
    <w:multiLevelType w:val="hybridMultilevel"/>
    <w:lvl w:ilvl="0">
      <w:lvlJc w:val="left"/>
      <w:lvlText w:val="(%1)"/>
      <w:numFmt w:val="lowerRoman"/>
      <w:start w:val="1"/>
    </w:lvl>
  </w:abstractNum>
  <w:abstractNum w:abstractNumId="175">
    <w:nsid w:val="5D5BABB3"/>
    <w:multiLevelType w:val="hybridMultilevel"/>
    <w:lvl w:ilvl="0">
      <w:lvlJc w:val="left"/>
      <w:lvlText w:val="(%1)"/>
      <w:numFmt w:val="lowerLetter"/>
      <w:start w:val="2"/>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1"/>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lowerLetter"/>
      <w:start w:val="1"/>
    </w:lvl>
  </w:abstractNum>
  <w:abstractNum w:abstractNumId="180">
    <w:nsid w:val="116AE494"/>
    <w:multiLevelType w:val="hybridMultilevel"/>
    <w:lvl w:ilvl="0">
      <w:lvlJc w:val="left"/>
      <w:lvlText w:val="(%1)"/>
      <w:numFmt w:val="lowerLetter"/>
      <w:start w:val="3"/>
    </w:lvl>
  </w:abstractNum>
  <w:abstractNum w:abstractNumId="181">
    <w:nsid w:val="3494B2FB"/>
    <w:multiLevelType w:val="hybridMultilevel"/>
    <w:lvl w:ilvl="0">
      <w:lvlJc w:val="left"/>
      <w:lvlText w:val="%1."/>
      <w:numFmt w:val="upperLetter"/>
      <w:start w:val="1"/>
    </w:lvl>
  </w:abstractNum>
  <w:abstractNum w:abstractNumId="182">
    <w:nsid w:val="B13A31"/>
    <w:multiLevelType w:val="hybridMultilevel"/>
    <w:lvl w:ilvl="0">
      <w:lvlJc w:val="left"/>
      <w:lvlText w:val="%1."/>
      <w:numFmt w:val="upperLetter"/>
      <w:start w:val="2"/>
    </w:lvl>
  </w:abstractNum>
  <w:abstractNum w:abstractNumId="183">
    <w:nsid w:val="64429599"/>
    <w:multiLevelType w:val="hybridMultilevel"/>
    <w:lvl w:ilvl="0">
      <w:lvlJc w:val="left"/>
      <w:lvlText w:val="%1."/>
      <w:numFmt w:val="decimal"/>
      <w:start w:val="1"/>
    </w:lvl>
  </w:abstractNum>
  <w:abstractNum w:abstractNumId="184">
    <w:nsid w:val="631F1690"/>
    <w:multiLevelType w:val="hybridMultilevel"/>
    <w:lvl w:ilvl="0">
      <w:lvlJc w:val="left"/>
      <w:lvlText w:val="%1."/>
      <w:numFmt w:val="decimal"/>
      <w:start w:val="2"/>
    </w:lvl>
    <w:lvl w:ilvl="1">
      <w:lvlJc w:val="left"/>
      <w:lvlText w:val="(%2)"/>
      <w:numFmt w:val="lowerLetter"/>
      <w:start w:val="1"/>
    </w:lvl>
  </w:abstractNum>
  <w:abstractNum w:abstractNumId="185">
    <w:nsid w:val="25973E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6">
    <w:nsid w:val="EAD6F5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7">
    <w:nsid w:val="6EC9D844"/>
    <w:multiLevelType w:val="hybridMultilevel"/>
    <w:lvl w:ilvl="0">
      <w:lvlJc w:val="left"/>
      <w:lvlText w:val="%1."/>
      <w:numFmt w:val="decimal"/>
      <w:start w:val="4"/>
    </w:lvl>
    <w:lvl w:ilvl="1">
      <w:lvlJc w:val="left"/>
      <w:lvlText w:val="(%2)"/>
      <w:numFmt w:val="lowerLetter"/>
      <w:start w:val="1"/>
    </w:lvl>
  </w:abstractNum>
  <w:abstractNum w:abstractNumId="188">
    <w:nsid w:val="5C49EAEE"/>
    <w:multiLevelType w:val="hybridMultilevel"/>
    <w:lvl w:ilvl="0">
      <w:lvlJc w:val="left"/>
      <w:lvlText w:val="(%1)"/>
      <w:numFmt w:val="lowerLetter"/>
      <w:start w:val="2"/>
    </w:lvl>
  </w:abstractNum>
  <w:abstractNum w:abstractNumId="189">
    <w:nsid w:val="64AF49B"/>
    <w:multiLevelType w:val="hybridMultilevel"/>
    <w:lvl w:ilvl="0">
      <w:lvlJc w:val="left"/>
      <w:lvlText w:val="%1."/>
      <w:numFmt w:val="decimal"/>
      <w:start w:val="5"/>
    </w:lvl>
  </w:abstractNum>
  <w:abstractNum w:abstractNumId="190">
    <w:nsid w:val="397C46B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2019-12-09T02:03:16Z</dcterms:created>
  <dcterms:modified xsi:type="dcterms:W3CDTF">2019-12-09T02:03:16Z</dcterms:modified>
</cp:coreProperties>
</file>