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99808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Mark E</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188"/>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03/15/2017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4"/>
          <w:szCs w:val="24"/>
          <w:color w:val="auto"/>
        </w:rPr>
      </w:pPr>
    </w:p>
    <w:p>
      <w:pPr>
        <w:sectPr>
          <w:pgSz w:w="11900" w:h="16838" w:orient="portrait"/>
          <w:cols w:equalWidth="0" w:num="3">
            <w:col w:w="3340" w:space="720"/>
            <w:col w:w="3268" w:space="720"/>
            <w:col w:w="347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10004</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6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03/15/2017</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jc w:val="center"/>
              <w:ind w:right="39"/>
              <w:spacing w:after="0" w:line="207" w:lineRule="exact"/>
              <w:rPr>
                <w:sz w:val="20"/>
                <w:szCs w:val="20"/>
                <w:color w:val="auto"/>
              </w:rPr>
            </w:pPr>
            <w:r>
              <w:rPr>
                <w:rFonts w:ascii="Arial" w:cs="Arial" w:eastAsia="Arial" w:hAnsi="Arial"/>
                <w:sz w:val="13"/>
                <w:szCs w:val="13"/>
                <w:color w:val="0000FF"/>
                <w:w w:val="94"/>
              </w:rPr>
              <w:t>31,346</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3"/>
                <w:szCs w:val="13"/>
                <w:color w:val="0000FF"/>
              </w:rPr>
              <w:t>03/15/2017</w:t>
            </w:r>
          </w:p>
        </w:tc>
        <w:tc>
          <w:tcPr>
            <w:tcW w:w="680" w:type="dxa"/>
            <w:vAlign w:val="bottom"/>
          </w:tcPr>
          <w:p>
            <w:pPr>
              <w:spacing w:after="0"/>
              <w:rPr>
                <w:sz w:val="20"/>
                <w:szCs w:val="20"/>
                <w:color w:val="auto"/>
              </w:rPr>
            </w:pPr>
            <w:r>
              <w:rPr>
                <w:rFonts w:ascii="Arial" w:cs="Arial" w:eastAsia="Arial" w:hAnsi="Arial"/>
                <w:sz w:val="13"/>
                <w:szCs w:val="13"/>
                <w:color w:val="0000FF"/>
              </w:rPr>
              <w:t>03/14/2027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31,346</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31,346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03/15/2017</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jc w:val="right"/>
              <w:ind w:right="119"/>
              <w:spacing w:after="0"/>
              <w:rPr>
                <w:sz w:val="20"/>
                <w:szCs w:val="20"/>
                <w:color w:val="auto"/>
              </w:rPr>
            </w:pPr>
            <w:r>
              <w:rPr>
                <w:rFonts w:ascii="Arial" w:cs="Arial" w:eastAsia="Arial" w:hAnsi="Arial"/>
                <w:sz w:val="13"/>
                <w:szCs w:val="13"/>
                <w:color w:val="0000FF"/>
              </w:rPr>
              <w:t>11,000</w:t>
            </w:r>
          </w:p>
        </w:tc>
        <w:tc>
          <w:tcPr>
            <w:tcW w:w="260" w:type="dxa"/>
            <w:vAlign w:val="bottom"/>
          </w:tcPr>
          <w:p>
            <w:pPr>
              <w:spacing w:after="0"/>
              <w:rPr>
                <w:sz w:val="17"/>
                <w:szCs w:val="17"/>
                <w:color w:val="auto"/>
              </w:rPr>
            </w:pPr>
          </w:p>
        </w:tc>
        <w:tc>
          <w:tcPr>
            <w:tcW w:w="940" w:type="dxa"/>
            <w:vAlign w:val="bottom"/>
          </w:tcPr>
          <w:p>
            <w:pPr>
              <w:jc w:val="center"/>
              <w:ind w:right="59"/>
              <w:spacing w:after="0" w:line="207" w:lineRule="exact"/>
              <w:rPr>
                <w:sz w:val="20"/>
                <w:szCs w:val="20"/>
                <w:color w:val="auto"/>
              </w:rPr>
            </w:pPr>
            <w:r>
              <w:rPr>
                <w:rFonts w:ascii="Arial" w:cs="Arial" w:eastAsia="Arial" w:hAnsi="Arial"/>
                <w:sz w:val="13"/>
                <w:szCs w:val="13"/>
                <w:color w:val="0000FF"/>
                <w:w w:val="94"/>
              </w:rPr>
              <w:t>03/15/2018</w:t>
            </w:r>
            <w:r>
              <w:rPr>
                <w:rFonts w:ascii="Arial" w:cs="Arial" w:eastAsia="Arial" w:hAnsi="Arial"/>
                <w:sz w:val="21"/>
                <w:szCs w:val="21"/>
                <w:color w:val="008000"/>
                <w:w w:val="94"/>
                <w:vertAlign w:val="superscript"/>
              </w:rPr>
              <w:t>(2)</w:t>
            </w:r>
          </w:p>
        </w:tc>
        <w:tc>
          <w:tcPr>
            <w:tcW w:w="680" w:type="dxa"/>
            <w:vAlign w:val="bottom"/>
          </w:tcPr>
          <w:p>
            <w:pPr>
              <w:spacing w:after="0"/>
              <w:rPr>
                <w:sz w:val="20"/>
                <w:szCs w:val="20"/>
                <w:color w:val="auto"/>
              </w:rPr>
            </w:pPr>
            <w:r>
              <w:rPr>
                <w:rFonts w:ascii="Arial" w:cs="Arial" w:eastAsia="Arial" w:hAnsi="Arial"/>
                <w:sz w:val="13"/>
                <w:szCs w:val="13"/>
                <w:color w:val="0000FF"/>
              </w:rPr>
              <w:t>03/14/2027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11,000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11,000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11,000 options granted as compensation for service during 2016 and 20,346 options elected to be received in lieu of cash compensation earned in 2016. All of such options are immediately exercisable.</w:t>
      </w:r>
    </w:p>
    <w:p>
      <w:pPr>
        <w:spacing w:after="0" w:line="59"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full on the one-year anniversary of the date of grant, March 15, 2018.</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Constance Ames, Attorney-</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03/17/2017</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91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2019-12-23T20:27:22Z</dcterms:created>
  <dcterms:modified xsi:type="dcterms:W3CDTF">2019-12-23T20:27:22Z</dcterms:modified>
</cp:coreProperties>
</file>