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At the 2022 annual meeting of stockholders of Axsome Therapeutics, Inc. (the “Company”) held on June 3, 2022 (the “Annual Meeting”), the following proposals were submitted to the stockholders of the Company:</w:t>
      </w:r>
    </w:p>
    <w:p>
      <w:pPr>
        <w:spacing w:after="0" w:line="162"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Proposal 1: The election of one director to serve as a Class I director until the Company’s 2025 annual meeting of stockholders and until their successor is duly elected and qualified.</w:t>
      </w:r>
    </w:p>
    <w:p>
      <w:pPr>
        <w:spacing w:after="0" w:line="162"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Proposal 2: The ratification of the appointment of Ernst &amp; Young LLP as the Company’s independent registered public accounting firm for the fiscal year ending December 31, 2022.</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3: The approval, on a non-binding advisory basis, the compensation of the Company’s named executive officers.</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22, 2022 (the “Proxy Statement”). Of the 38,913,445 shares of the Company’s common stock entitled to vote at the Annual Meeting, 28,369,008 shares, or approximately 72.9%, were represented at the meeting in person or by proxy, constituting a quorum. The number of votes cast for, against or withheld, as well as abstentions and broker non-votes, if applicable, in respect of each such proposal is set forth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Class I Director.</w:t>
      </w:r>
    </w:p>
    <w:p>
      <w:pPr>
        <w:spacing w:after="0" w:line="19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 to serve as a Class I director until the 2025 annual meeting of stockholders and until their successor is duly elected and qualified. The votes regarding the election of the Class I director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4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40" w:type="dxa"/>
            <w:vAlign w:val="bottom"/>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0" w:type="dxa"/>
            <w:vAlign w:val="bottom"/>
          </w:tcPr>
          <w:p>
            <w:pPr>
              <w:spacing w:after="0"/>
              <w:rPr>
                <w:sz w:val="19"/>
                <w:szCs w:val="19"/>
                <w:color w:val="auto"/>
              </w:rPr>
            </w:pPr>
          </w:p>
        </w:tc>
      </w:tr>
      <w:tr>
        <w:trPr>
          <w:trHeight w:val="183"/>
        </w:trPr>
        <w:tc>
          <w:tcPr>
            <w:tcW w:w="37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Roger A. Jeffs, Ph.D.</w:t>
            </w:r>
          </w:p>
        </w:tc>
        <w:tc>
          <w:tcPr>
            <w:tcW w:w="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12,674,227</w:t>
            </w:r>
          </w:p>
        </w:tc>
        <w:tc>
          <w:tcPr>
            <w:tcW w:w="40" w:type="dxa"/>
            <w:vAlign w:val="bottom"/>
            <w:shd w:val="clear" w:color="auto" w:fill="CCEEFF"/>
          </w:tcPr>
          <w:p>
            <w:pPr>
              <w:spacing w:after="0"/>
              <w:rPr>
                <w:sz w:val="15"/>
                <w:szCs w:val="15"/>
                <w:color w:val="auto"/>
              </w:rPr>
            </w:pPr>
          </w:p>
        </w:tc>
        <w:tc>
          <w:tcPr>
            <w:tcW w:w="2580" w:type="dxa"/>
            <w:vAlign w:val="bottom"/>
            <w:shd w:val="clear" w:color="auto" w:fill="CCEEFF"/>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rPr>
              <w:t>8,668,220</w:t>
            </w:r>
          </w:p>
        </w:tc>
        <w:tc>
          <w:tcPr>
            <w:tcW w:w="40" w:type="dxa"/>
            <w:vAlign w:val="bottom"/>
            <w:shd w:val="clear" w:color="auto" w:fill="CCEEFF"/>
          </w:tcPr>
          <w:p>
            <w:pPr>
              <w:spacing w:after="0"/>
              <w:rPr>
                <w:sz w:val="15"/>
                <w:szCs w:val="15"/>
                <w:color w:val="auto"/>
              </w:rPr>
            </w:pPr>
          </w:p>
        </w:tc>
        <w:tc>
          <w:tcPr>
            <w:tcW w:w="3040" w:type="dxa"/>
            <w:vAlign w:val="bottom"/>
            <w:shd w:val="clear" w:color="auto" w:fill="CCEEFF"/>
          </w:tcPr>
          <w:p>
            <w:pPr>
              <w:jc w:val="right"/>
              <w:ind w:right="1070"/>
              <w:spacing w:after="0" w:line="182" w:lineRule="exact"/>
              <w:rPr>
                <w:sz w:val="20"/>
                <w:szCs w:val="20"/>
                <w:color w:val="auto"/>
              </w:rPr>
            </w:pPr>
            <w:r>
              <w:rPr>
                <w:rFonts w:ascii="Times New Roman" w:cs="Times New Roman" w:eastAsia="Times New Roman" w:hAnsi="Times New Roman"/>
                <w:sz w:val="18"/>
                <w:szCs w:val="18"/>
                <w:color w:val="auto"/>
              </w:rPr>
              <w:t>7,026,561</w:t>
            </w:r>
          </w:p>
        </w:tc>
        <w:tc>
          <w:tcPr>
            <w:tcW w:w="20" w:type="dxa"/>
            <w:vAlign w:val="bottom"/>
            <w:shd w:val="clear" w:color="auto" w:fill="CCEEFF"/>
          </w:tcPr>
          <w:p>
            <w:pPr>
              <w:spacing w:after="0"/>
              <w:rPr>
                <w:sz w:val="15"/>
                <w:szCs w:val="15"/>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Ratification of Appointment of Ernst &amp; Young LLP.</w:t>
      </w:r>
    </w:p>
    <w:p>
      <w:pPr>
        <w:spacing w:after="0" w:line="19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2022. The votes regarding this proposal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0" w:type="dxa"/>
            <w:vAlign w:val="bottom"/>
          </w:tcPr>
          <w:p>
            <w:pPr>
              <w:spacing w:after="0"/>
              <w:rPr>
                <w:sz w:val="19"/>
                <w:szCs w:val="19"/>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0" w:type="dxa"/>
            <w:vAlign w:val="bottom"/>
          </w:tcPr>
          <w:p>
            <w:pPr>
              <w:spacing w:after="0"/>
              <w:rPr>
                <w:sz w:val="19"/>
                <w:szCs w:val="19"/>
                <w:color w:val="auto"/>
              </w:rPr>
            </w:pPr>
          </w:p>
        </w:tc>
      </w:tr>
      <w:tr>
        <w:trPr>
          <w:trHeight w:val="183"/>
        </w:trPr>
        <w:tc>
          <w:tcPr>
            <w:tcW w:w="1980" w:type="dxa"/>
            <w:vAlign w:val="bottom"/>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27,697,013</w:t>
            </w:r>
          </w:p>
        </w:tc>
        <w:tc>
          <w:tcPr>
            <w:tcW w:w="40" w:type="dxa"/>
            <w:vAlign w:val="bottom"/>
            <w:shd w:val="clear" w:color="auto" w:fill="CCEEFF"/>
          </w:tcPr>
          <w:p>
            <w:pPr>
              <w:spacing w:after="0"/>
              <w:rPr>
                <w:sz w:val="15"/>
                <w:szCs w:val="15"/>
                <w:color w:val="auto"/>
              </w:rPr>
            </w:pPr>
          </w:p>
        </w:tc>
        <w:tc>
          <w:tcPr>
            <w:tcW w:w="2580" w:type="dxa"/>
            <w:vAlign w:val="bottom"/>
            <w:shd w:val="clear" w:color="auto" w:fill="CCEEFF"/>
          </w:tcPr>
          <w:p>
            <w:pPr>
              <w:jc w:val="right"/>
              <w:ind w:right="910"/>
              <w:spacing w:after="0" w:line="182" w:lineRule="exact"/>
              <w:rPr>
                <w:sz w:val="20"/>
                <w:szCs w:val="20"/>
                <w:color w:val="auto"/>
              </w:rPr>
            </w:pPr>
            <w:r>
              <w:rPr>
                <w:rFonts w:ascii="Times New Roman" w:cs="Times New Roman" w:eastAsia="Times New Roman" w:hAnsi="Times New Roman"/>
                <w:sz w:val="18"/>
                <w:szCs w:val="18"/>
                <w:color w:val="auto"/>
              </w:rPr>
              <w:t>104,960</w:t>
            </w:r>
          </w:p>
        </w:tc>
        <w:tc>
          <w:tcPr>
            <w:tcW w:w="40" w:type="dxa"/>
            <w:vAlign w:val="bottom"/>
            <w:shd w:val="clear" w:color="auto" w:fill="CCEEFF"/>
          </w:tcPr>
          <w:p>
            <w:pPr>
              <w:spacing w:after="0"/>
              <w:rPr>
                <w:sz w:val="15"/>
                <w:szCs w:val="15"/>
                <w:color w:val="auto"/>
              </w:rPr>
            </w:pPr>
          </w:p>
        </w:tc>
        <w:tc>
          <w:tcPr>
            <w:tcW w:w="3180" w:type="dxa"/>
            <w:vAlign w:val="bottom"/>
            <w:shd w:val="clear" w:color="auto" w:fill="CCEEFF"/>
          </w:tcPr>
          <w:p>
            <w:pPr>
              <w:jc w:val="right"/>
              <w:ind w:right="1210"/>
              <w:spacing w:after="0" w:line="182" w:lineRule="exact"/>
              <w:rPr>
                <w:sz w:val="20"/>
                <w:szCs w:val="20"/>
                <w:color w:val="auto"/>
              </w:rPr>
            </w:pPr>
            <w:r>
              <w:rPr>
                <w:rFonts w:ascii="Times New Roman" w:cs="Times New Roman" w:eastAsia="Times New Roman" w:hAnsi="Times New Roman"/>
                <w:sz w:val="18"/>
                <w:szCs w:val="18"/>
                <w:color w:val="auto"/>
              </w:rPr>
              <w:t>567,035</w:t>
            </w:r>
          </w:p>
        </w:tc>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jc w:val="right"/>
              <w:ind w:right="1550"/>
              <w:spacing w:after="0" w:line="182"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5"/>
                <w:szCs w:val="15"/>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Approval, by Non-Binding Advisory Vote, of the Compensation of the Company’s named executive officers.</w:t>
      </w:r>
    </w:p>
    <w:p>
      <w:pPr>
        <w:spacing w:after="0" w:line="21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compensation of the Company’s named executive officers. The votes regarding this proposal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0" w:type="dxa"/>
            <w:vAlign w:val="bottom"/>
          </w:tcPr>
          <w:p>
            <w:pPr>
              <w:spacing w:after="0"/>
              <w:rPr>
                <w:sz w:val="19"/>
                <w:szCs w:val="19"/>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0" w:type="dxa"/>
            <w:vAlign w:val="bottom"/>
          </w:tcPr>
          <w:p>
            <w:pPr>
              <w:spacing w:after="0"/>
              <w:rPr>
                <w:sz w:val="19"/>
                <w:szCs w:val="19"/>
                <w:color w:val="auto"/>
              </w:rPr>
            </w:pPr>
          </w:p>
        </w:tc>
      </w:tr>
      <w:tr>
        <w:trPr>
          <w:trHeight w:val="183"/>
        </w:trPr>
        <w:tc>
          <w:tcPr>
            <w:tcW w:w="1980" w:type="dxa"/>
            <w:vAlign w:val="bottom"/>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20,675,256</w:t>
            </w:r>
          </w:p>
        </w:tc>
        <w:tc>
          <w:tcPr>
            <w:tcW w:w="40" w:type="dxa"/>
            <w:vAlign w:val="bottom"/>
            <w:shd w:val="clear" w:color="auto" w:fill="CCEEFF"/>
          </w:tcPr>
          <w:p>
            <w:pPr>
              <w:spacing w:after="0"/>
              <w:rPr>
                <w:sz w:val="15"/>
                <w:szCs w:val="15"/>
                <w:color w:val="auto"/>
              </w:rPr>
            </w:pPr>
          </w:p>
        </w:tc>
        <w:tc>
          <w:tcPr>
            <w:tcW w:w="2580" w:type="dxa"/>
            <w:vAlign w:val="bottom"/>
            <w:shd w:val="clear" w:color="auto" w:fill="CCEEFF"/>
          </w:tcPr>
          <w:p>
            <w:pPr>
              <w:jc w:val="right"/>
              <w:ind w:right="910"/>
              <w:spacing w:after="0" w:line="182" w:lineRule="exact"/>
              <w:rPr>
                <w:sz w:val="20"/>
                <w:szCs w:val="20"/>
                <w:color w:val="auto"/>
              </w:rPr>
            </w:pPr>
            <w:r>
              <w:rPr>
                <w:rFonts w:ascii="Times New Roman" w:cs="Times New Roman" w:eastAsia="Times New Roman" w:hAnsi="Times New Roman"/>
                <w:sz w:val="18"/>
                <w:szCs w:val="18"/>
                <w:color w:val="auto"/>
              </w:rPr>
              <w:t>502,810</w:t>
            </w:r>
          </w:p>
        </w:tc>
        <w:tc>
          <w:tcPr>
            <w:tcW w:w="40" w:type="dxa"/>
            <w:vAlign w:val="bottom"/>
            <w:shd w:val="clear" w:color="auto" w:fill="CCEEFF"/>
          </w:tcPr>
          <w:p>
            <w:pPr>
              <w:spacing w:after="0"/>
              <w:rPr>
                <w:sz w:val="15"/>
                <w:szCs w:val="15"/>
                <w:color w:val="auto"/>
              </w:rPr>
            </w:pPr>
          </w:p>
        </w:tc>
        <w:tc>
          <w:tcPr>
            <w:tcW w:w="3180" w:type="dxa"/>
            <w:vAlign w:val="bottom"/>
            <w:shd w:val="clear" w:color="auto" w:fill="CCEEFF"/>
          </w:tcPr>
          <w:p>
            <w:pPr>
              <w:jc w:val="right"/>
              <w:ind w:right="1210"/>
              <w:spacing w:after="0" w:line="182" w:lineRule="exact"/>
              <w:rPr>
                <w:sz w:val="20"/>
                <w:szCs w:val="20"/>
                <w:color w:val="auto"/>
              </w:rPr>
            </w:pPr>
            <w:r>
              <w:rPr>
                <w:rFonts w:ascii="Times New Roman" w:cs="Times New Roman" w:eastAsia="Times New Roman" w:hAnsi="Times New Roman"/>
                <w:sz w:val="18"/>
                <w:szCs w:val="18"/>
                <w:color w:val="auto"/>
              </w:rPr>
              <w:t>164,381</w:t>
            </w:r>
          </w:p>
        </w:tc>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jc w:val="right"/>
              <w:ind w:right="1250"/>
              <w:spacing w:after="0" w:line="182" w:lineRule="exact"/>
              <w:rPr>
                <w:sz w:val="20"/>
                <w:szCs w:val="20"/>
                <w:color w:val="auto"/>
              </w:rPr>
            </w:pPr>
            <w:r>
              <w:rPr>
                <w:rFonts w:ascii="Times New Roman" w:cs="Times New Roman" w:eastAsia="Times New Roman" w:hAnsi="Times New Roman"/>
                <w:sz w:val="18"/>
                <w:szCs w:val="18"/>
                <w:color w:val="auto"/>
              </w:rPr>
              <w:t>7,026,561</w:t>
            </w:r>
          </w:p>
        </w:tc>
        <w:tc>
          <w:tcPr>
            <w:tcW w:w="20" w:type="dxa"/>
            <w:vAlign w:val="bottom"/>
            <w:shd w:val="clear" w:color="auto" w:fill="CCEEFF"/>
          </w:tcPr>
          <w:p>
            <w:pPr>
              <w:spacing w:after="0"/>
              <w:rPr>
                <w:sz w:val="15"/>
                <w:szCs w:val="15"/>
                <w:color w:val="auto"/>
              </w:rPr>
            </w:pPr>
          </w:p>
        </w:tc>
      </w:tr>
      <w:tr>
        <w:trPr>
          <w:trHeight w:val="938"/>
        </w:trPr>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7, 2022</w:t>
            </w:r>
          </w:p>
        </w:tc>
        <w:tc>
          <w:tcPr>
            <w:tcW w:w="2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60" w:type="dxa"/>
            <w:vAlign w:val="bottom"/>
          </w:tcPr>
          <w:p>
            <w:pPr>
              <w:spacing w:after="0"/>
              <w:rPr>
                <w:sz w:val="16"/>
                <w:szCs w:val="16"/>
                <w:color w:val="auto"/>
              </w:rPr>
            </w:pPr>
          </w:p>
        </w:tc>
        <w:tc>
          <w:tcPr>
            <w:tcW w:w="29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60" w:type="dxa"/>
            <w:vAlign w:val="bottom"/>
          </w:tcPr>
          <w:p>
            <w:pPr>
              <w:spacing w:after="0"/>
              <w:rPr>
                <w:sz w:val="20"/>
                <w:szCs w:val="20"/>
                <w:color w:val="auto"/>
              </w:rPr>
            </w:pPr>
          </w:p>
        </w:tc>
        <w:tc>
          <w:tcPr>
            <w:tcW w:w="2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60"/>
        </w:trPr>
        <w:tc>
          <w:tcPr>
            <w:tcW w:w="35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2022-06-07T15:10:05Z</dcterms:created>
  <dcterms:modified xsi:type="dcterms:W3CDTF">2022-06-07T15:10:05Z</dcterms:modified>
</cp:coreProperties>
</file>