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80" w:lineRule="exact"/>
        <w:rPr>
          <w:sz w:val="24"/>
          <w:szCs w:val="24"/>
          <w:color w:val="auto"/>
        </w:rPr>
      </w:pPr>
    </w:p>
    <w:p>
      <w:pPr>
        <w:ind w:left="1600" w:hanging="187"/>
        <w:spacing w:after="0"/>
        <w:tabs>
          <w:tab w:leader="none" w:pos="16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jc w:val="center"/>
        <w:ind w:left="3800" w:right="1400" w:hanging="2393"/>
        <w:spacing w:after="0" w:line="334" w:lineRule="auto"/>
        <w:tabs>
          <w:tab w:leader="none" w:pos="159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9"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9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4"/>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520" w:type="dxa"/>
            <w:vAlign w:val="bottom"/>
          </w:tcPr>
          <w:p>
            <w:pPr>
              <w:spacing w:after="0"/>
              <w:rPr>
                <w:sz w:val="22"/>
                <w:szCs w:val="22"/>
                <w:color w:val="auto"/>
              </w:rPr>
            </w:pPr>
          </w:p>
        </w:tc>
      </w:tr>
      <w:tr>
        <w:trPr>
          <w:trHeight w:val="203"/>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22nd Floor</w:t>
            </w:r>
          </w:p>
        </w:tc>
        <w:tc>
          <w:tcPr>
            <w:tcW w:w="3520" w:type="dxa"/>
            <w:vAlign w:val="bottom"/>
          </w:tcPr>
          <w:p>
            <w:pPr>
              <w:spacing w:after="0"/>
              <w:rPr>
                <w:sz w:val="17"/>
                <w:szCs w:val="17"/>
                <w:color w:val="auto"/>
              </w:rPr>
            </w:pPr>
          </w:p>
        </w:tc>
      </w:tr>
      <w:tr>
        <w:trPr>
          <w:trHeight w:val="212"/>
        </w:trPr>
        <w:tc>
          <w:tcPr>
            <w:tcW w:w="4860" w:type="dxa"/>
            <w:vAlign w:val="bottom"/>
          </w:tcPr>
          <w:p>
            <w:pPr>
              <w:jc w:val="center"/>
              <w:ind w:right="1362"/>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52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98"/>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4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66"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5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2"/>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2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48,462,376 shares of the registrant’s common stock, $0.0001 par value, outstanding as of November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05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auto"/>
              </w:rPr>
              <w:t>CAUTIONARY NOTE REGARDING FORWARD LOOKING STATEMENTS</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344"/>
        </w:trPr>
        <w:tc>
          <w:tcPr>
            <w:tcW w:w="20" w:type="dxa"/>
            <w:vAlign w:val="bottom"/>
          </w:tcPr>
          <w:p>
            <w:pPr>
              <w:spacing w:after="0"/>
              <w:rPr>
                <w:sz w:val="24"/>
                <w:szCs w:val="24"/>
                <w:color w:val="auto"/>
              </w:rPr>
            </w:pPr>
          </w:p>
        </w:tc>
        <w:tc>
          <w:tcPr>
            <w:tcW w:w="57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7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r>
      <w:tr>
        <w:trPr>
          <w:trHeight w:val="345"/>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720" w:type="dxa"/>
            <w:vAlign w:val="bottom"/>
            <w:tcBorders>
              <w:top w:val="single" w:sz="8" w:color="0000EE"/>
            </w:tcBorders>
            <w:gridSpan w:val="3"/>
          </w:tcPr>
          <w:p>
            <w:pPr>
              <w:spacing w:after="0"/>
              <w:rPr>
                <w:sz w:val="24"/>
                <w:szCs w:val="24"/>
                <w:color w:val="auto"/>
              </w:rPr>
            </w:pPr>
          </w:p>
        </w:tc>
        <w:tc>
          <w:tcPr>
            <w:tcW w:w="72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3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520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5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20" w:type="dxa"/>
            <w:vAlign w:val="bottom"/>
          </w:tcPr>
          <w:p>
            <w:pPr>
              <w:spacing w:after="0"/>
              <w:rPr>
                <w:sz w:val="24"/>
                <w:szCs w:val="24"/>
                <w:color w:val="auto"/>
              </w:rPr>
            </w:pPr>
          </w:p>
        </w:tc>
      </w:tr>
      <w:tr>
        <w:trPr>
          <w:trHeight w:val="344"/>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9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56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7"/>
              </w:rPr>
              <w:t>Risk Factors</w:t>
            </w:r>
          </w:p>
        </w:tc>
        <w:tc>
          <w:tcPr>
            <w:tcW w:w="420" w:type="dxa"/>
            <w:vAlign w:val="bottom"/>
            <w:tcBorders>
              <w:top w:val="single" w:sz="8" w:color="0000EE"/>
            </w:tcBorders>
            <w:gridSpan w:val="2"/>
          </w:tcPr>
          <w:p>
            <w:pPr>
              <w:spacing w:after="0"/>
              <w:rPr>
                <w:sz w:val="19"/>
                <w:szCs w:val="19"/>
                <w:color w:val="auto"/>
              </w:rPr>
            </w:pPr>
          </w:p>
        </w:tc>
        <w:tc>
          <w:tcPr>
            <w:tcW w:w="8160" w:type="dxa"/>
            <w:vAlign w:val="bottom"/>
            <w:gridSpan w:val="8"/>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700" w:type="dxa"/>
            <w:vAlign w:val="bottom"/>
            <w:tcBorders>
              <w:top w:val="single" w:sz="8" w:color="0000EE"/>
            </w:tcBorders>
            <w:gridSpan w:val="3"/>
          </w:tcPr>
          <w:p>
            <w:pPr>
              <w:spacing w:after="0"/>
              <w:rPr>
                <w:sz w:val="19"/>
                <w:szCs w:val="19"/>
                <w:color w:val="auto"/>
              </w:rPr>
            </w:pPr>
          </w:p>
        </w:tc>
        <w:tc>
          <w:tcPr>
            <w:tcW w:w="8180" w:type="dxa"/>
            <w:vAlign w:val="bottom"/>
            <w:gridSpan w:val="9"/>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89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4060" w:type="dxa"/>
            <w:vAlign w:val="bottom"/>
            <w:gridSpan w:val="9"/>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40"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327,341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386,193</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20"/>
                <w:szCs w:val="20"/>
                <w:color w:val="auto"/>
              </w:rPr>
            </w:pPr>
          </w:p>
        </w:tc>
      </w:tr>
      <w:tr>
        <w:trPr>
          <w:trHeight w:val="241"/>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479,113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504,263</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53,286</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561,458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64,253</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122,176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90,501</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138,854</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468,560</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397,259</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per share (150,000,000 shares authorized, 48,436,108 and</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47,351,363 shares issued and outstanding at September 30, 2024 and December 31, 2023,</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50"/>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1,140,768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1,026,543</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(1,047,875 )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(835,571 )</w:t>
            </w:r>
          </w:p>
        </w:tc>
      </w:tr>
      <w:tr>
        <w:trPr>
          <w:trHeight w:val="23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92,898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561,458</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-3428365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-3411220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-3428365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-3411220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-2476500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-2476500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103,736</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0"/>
                <w:szCs w:val="20"/>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266,927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95,564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83,188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298,088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236,314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(180 )</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167,386</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119,914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474,872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332,621</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(62,624 )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(62,120 )</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(207,945 )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(133,551 )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(757 )</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(4,359 )</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(5,751 )</w:t>
            </w: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(64,602 )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(62,877 )</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(212,304 )</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(139,302 )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(1,285 )</w:t>
            </w: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(64,602 )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(62,199 )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(212,304 )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(140,587 )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(3.14 )</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48,140,519</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47,117,196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47,703,508</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44,783,380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-2279650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-2279650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-2279650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-1344930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-1344930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-1344930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-385445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-367665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-385445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-367665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-385445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5"/>
                <w:szCs w:val="15"/>
                <w:color w:val="auto"/>
              </w:rPr>
            </w:pPr>
          </w:p>
        </w:tc>
        <w:tc>
          <w:tcPr>
            <w:tcW w:w="2140" w:type="dxa"/>
            <w:vAlign w:val="bottom"/>
            <w:gridSpan w:val="3"/>
            <w:vMerge w:val="restart"/>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10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43,498,617</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705,885</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(596,333 )</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109,556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12,943</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28,876</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20,973</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warrants upon debt financing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(867 )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(867 )</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(11,218 )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(11,218 )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43,548,466</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719,359</w:t>
            </w:r>
          </w:p>
        </w:tc>
        <w:tc>
          <w:tcPr>
            <w:tcW w:w="2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(607,551 )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15,922</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169,998</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6,570</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8,330</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211,378</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211,378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warrants upon debt financing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(333 )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(333 )</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(67,170 )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(67,170 )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June 30,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46,726,794</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953,520</w:t>
            </w:r>
          </w:p>
        </w:tc>
        <w:tc>
          <w:tcPr>
            <w:tcW w:w="2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(674,721 )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278,804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17,237</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131,512</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4,317</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9,075</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31,704</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(355 )</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(355 )</w:t>
            </w: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(62,199 )</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(62,199 )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September 30,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47,317,381</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1,006,423</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(736,920 )</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269,508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Balance at December 31, 2023</w:t>
            </w: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47,351,363</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1,026,543</w:t>
            </w:r>
          </w:p>
        </w:tc>
        <w:tc>
          <w:tcPr>
            <w:tcW w:w="220" w:type="dxa"/>
            <w:vAlign w:val="bottom"/>
          </w:tcPr>
          <w:p>
            <w:pPr>
              <w:spacing w:after="0"/>
              <w:rPr>
                <w:sz w:val="14"/>
                <w:szCs w:val="14"/>
                <w:color w:val="auto"/>
              </w:rPr>
            </w:pPr>
          </w:p>
        </w:tc>
        <w:tc>
          <w:tcPr>
            <w:tcW w:w="1220" w:type="dxa"/>
            <w:vAlign w:val="bottom"/>
            <w:gridSpan w:val="2"/>
          </w:tcPr>
          <w:p>
            <w:pPr>
              <w:jc w:val="right"/>
              <w:ind w:right="160"/>
              <w:spacing w:after="0" w:line="169" w:lineRule="exact"/>
              <w:rPr>
                <w:sz w:val="20"/>
                <w:szCs w:val="20"/>
                <w:color w:val="auto"/>
              </w:rPr>
            </w:pPr>
            <w:r>
              <w:rPr>
                <w:rFonts w:ascii="Times New Roman" w:cs="Times New Roman" w:eastAsia="Times New Roman" w:hAnsi="Times New Roman"/>
                <w:sz w:val="15"/>
                <w:szCs w:val="15"/>
                <w:color w:val="auto"/>
              </w:rPr>
              <w:t>(835,571 )</w:t>
            </w:r>
          </w:p>
        </w:tc>
        <w:tc>
          <w:tcPr>
            <w:tcW w:w="2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190,977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20,533</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80,294</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2,501</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32,918</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(1,618 )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(1,618 )</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(68,357 )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(68,357 )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47,464,575</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1,047,959</w:t>
            </w:r>
          </w:p>
        </w:tc>
        <w:tc>
          <w:tcPr>
            <w:tcW w:w="2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(903,928 )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21,709</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1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common stock upon exercise of options and under employee</w:t>
            </w: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 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160,724</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6,741</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27,404</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148,875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11,039</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(1,328 )</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(1,328 )</w:t>
            </w: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(79,345 )</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(79,345 )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June 30,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47,801,578</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1,086,120</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(983,273 )</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102,852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21,992</w:t>
            </w: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475,830</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20,290</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financing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148,260</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12,839</w:t>
            </w: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(473 )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(473 )</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(64,602 )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(64,602 )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September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48,436,108</w:t>
            </w:r>
          </w:p>
        </w:tc>
        <w:tc>
          <w:tcPr>
            <w:tcW w:w="240" w:type="dxa"/>
            <w:vAlign w:val="bottom"/>
          </w:tcPr>
          <w:p>
            <w:pPr>
              <w:spacing w:after="0"/>
              <w:rPr>
                <w:sz w:val="15"/>
                <w:szCs w:val="15"/>
                <w:color w:val="auto"/>
              </w:rPr>
            </w:pP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1,140,768</w:t>
            </w:r>
          </w:p>
        </w:tc>
        <w:tc>
          <w:tcPr>
            <w:tcW w:w="2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(1,047,875 )</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-4645660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-4645660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-4645660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-4645660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-3676650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-3676650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-3676650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-3676650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-2700020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-2682240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-2700020</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-2682240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-2700020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-2682240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-2700020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-2682240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-1953895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-1953895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-1953895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-1953895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-153670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-153670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-153670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-153670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(212,304 )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(140,587 )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amortization for finance lease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(235 )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(29,276 )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(40,716 )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(3,268 )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(5,296 )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380" w:type="dxa"/>
            <w:vAlign w:val="bottom"/>
          </w:tcPr>
          <w:p>
            <w:pPr>
              <w:spacing w:after="0"/>
              <w:rPr>
                <w:sz w:val="20"/>
                <w:szCs w:val="20"/>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25,091</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(102,208 )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(114,718 )</w:t>
            </w:r>
          </w:p>
        </w:tc>
      </w:tr>
      <w:tr>
        <w:trPr>
          <w:trHeight w:val="23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equipment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(240 )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draw down of debt</w:t>
            </w:r>
          </w:p>
        </w:tc>
        <w:tc>
          <w:tcPr>
            <w:tcW w:w="380" w:type="dxa"/>
            <w:vAlign w:val="bottom"/>
          </w:tcPr>
          <w:p>
            <w:pPr>
              <w:spacing w:after="0"/>
              <w:rPr>
                <w:sz w:val="20"/>
                <w:szCs w:val="20"/>
                <w:color w:val="auto"/>
              </w:rPr>
            </w:pPr>
          </w:p>
        </w:tc>
        <w:tc>
          <w:tcPr>
            <w:tcW w:w="14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principal portion of finance lease obligation</w:t>
            </w:r>
          </w:p>
        </w:tc>
        <w:tc>
          <w:tcPr>
            <w:tcW w:w="380" w:type="dxa"/>
            <w:vAlign w:val="bottom"/>
          </w:tcPr>
          <w:p>
            <w:pPr>
              <w:spacing w:after="0"/>
              <w:rPr>
                <w:sz w:val="20"/>
                <w:szCs w:val="20"/>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(660 )</w:t>
            </w:r>
          </w:p>
        </w:tc>
        <w:tc>
          <w:tcPr>
            <w:tcW w:w="36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financing</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common stock issuance costs</w:t>
            </w:r>
          </w:p>
        </w:tc>
        <w:tc>
          <w:tcPr>
            <w:tcW w:w="380" w:type="dxa"/>
            <w:vAlign w:val="bottom"/>
          </w:tcPr>
          <w:p>
            <w:pPr>
              <w:spacing w:after="0"/>
              <w:rPr>
                <w:sz w:val="20"/>
                <w:szCs w:val="20"/>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(15,668 )</w:t>
            </w: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 and under employee stock purchase</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80" w:type="dxa"/>
            <w:vAlign w:val="bottom"/>
          </w:tcPr>
          <w:p>
            <w:pPr>
              <w:spacing w:after="0"/>
              <w:rPr>
                <w:sz w:val="20"/>
                <w:szCs w:val="20"/>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(5,735 )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(4,489 )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tax withholdings on stock awards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(3,419 )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43,596</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331,015</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(58,852 )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215,722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386,193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327,341</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80" w:type="dxa"/>
            <w:vAlign w:val="bottom"/>
          </w:tcPr>
          <w:p>
            <w:pPr>
              <w:spacing w:after="0"/>
              <w:rPr>
                <w:sz w:val="20"/>
                <w:szCs w:val="20"/>
                <w:color w:val="auto"/>
              </w:rPr>
            </w:pPr>
          </w:p>
        </w:tc>
        <w:tc>
          <w:tcPr>
            <w:tcW w:w="14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 obtained in exchange for finance lease liability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-3300095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-3300095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-2995295</wp:posOffset>
            </wp:positionV>
            <wp:extent cx="9398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-2995295</wp:posOffset>
            </wp:positionV>
            <wp:extent cx="9398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-1285240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-641985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-625475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Axsome Therapeutics, Inc. (“Axsome” or the “Company”) is a biopharmaceutical company leading a new era in the treatment of central nervous system (“CNS”) disorders. The Company delivers scientific breakthroughs by identifying critical gaps in care and develops differentiated products with a focus on novel mechanisms of action that enable meaningful advancements in patient outcomes. Axsome was incorporated on January 12, 2012 in the State of Delaware. The Company’s CNS portfolio includes two approved products - Auvelity® (the components of which are referred to as “AXS-05”) and Sunosi® - both of which are also being developed for further indications, and three not yet approved product candidates, AXS-07, AXS-12, and AXS-14, which are being developed for multiple indications. The Company refers herein to Auvelity, Sunosi, AXS-07, AXS-12, AXS-14, and its programs to develop additional indications for AXS-05 and solriamfetol as the Company’s products.</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acquired the U.S. rights to Sunosi from Jazz Pharmaceuticals plc (“Jazz”) in May 2022 and worldwide ex-U.S. rights (excluding certain Asian markets) from Jazz in November 2022 (collectively, the “Acquisition”). Sunosi is a product approved by the U.S. Food and Drug Administration (the “FDA”) and marketed in the U.S. to improve wakefulness in adult patients with excessive daytime sleepiness (“EDS”) associated with narcolepsy or obstructive sleep apnea. Sunosi was approved in Europe in January 2020 by the European Commission. In February 2023, the Company announced a licensing transaction with Atnahs Pharma UK Limited (“Pharmanovia”) to market Sunosi in Europe and certain countries in the Middle East / North Africa.</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Company announced, in August 2022, FDA approval of Auvelity, and in October 2022, the U.S. commercial availability of Auvelity for the treatment of major depressive disorder in adults.</w:t>
      </w:r>
    </w:p>
    <w:p>
      <w:pPr>
        <w:spacing w:after="0" w:line="16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2023 filed with the SEC on February 23, 2024.</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2024 are not necessarily indicative of the operating results for the full fiscal year or any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September 30, 2024, the Company had an accumulated deficit of $1,047.9 million.</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and Sunosi,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and Sunosi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and Note 13.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and Sunosi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See Note 13. Revenues for a further breakout of product sales, net, for the three and nine months ended September 30,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receivables,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8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 </w:t>
      </w:r>
      <w:r>
        <w:rPr>
          <w:rFonts w:ascii="Times New Roman" w:cs="Times New Roman" w:eastAsia="Times New Roman" w:hAnsi="Times New Roman"/>
          <w:sz w:val="18"/>
          <w:szCs w:val="18"/>
          <w:color w:val="auto"/>
        </w:rPr>
        <w:t>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under the Inflation Reduction Act of 2022 for Medicare Part D. The Company estimates these rebates and records such estimates in the same period the related product sales are recognized, resulting in a reduction to product sales as well as a component of accrued expenses and other current liabilities.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Coverage Gap - </w:t>
      </w:r>
      <w:r>
        <w:rPr>
          <w:rFonts w:ascii="Times New Roman" w:cs="Times New Roman" w:eastAsia="Times New Roman" w:hAnsi="Times New Roman"/>
          <w:sz w:val="18"/>
          <w:szCs w:val="18"/>
          <w:color w:val="auto"/>
        </w:rPr>
        <w:t>The Medicare Part D coverage gap is a period of consumer payment for prescription medication costs which lies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Company's cost of revenue consists of cost of product sales and a fee sharing expense related to the upfront license revenue received. Cost of product sales primarily include direct costs (inclusive of material, shipping, handling, and manufacturing costs), overhead and product royalties. Cost of product sales excludes depreciation and amortization. In the first quarter of 2023, the Company recorded a $5.0 million fee sharing expense related to the upfront license revenue received.</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and reporting unit, which is the business of developing and delivering novel therapies for the management of CNS disorders.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September 30, 2024, the balance of cash and cash equivalents was $327.3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September 30, 2024,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Receivables, net below for further information.</w:t>
      </w:r>
    </w:p>
    <w:p>
      <w:pPr>
        <w:spacing w:after="0" w:line="183"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w:t>
      </w:r>
      <w:r>
        <w:rPr>
          <w:rFonts w:ascii="Times New Roman" w:cs="Times New Roman" w:eastAsia="Times New Roman" w:hAnsi="Times New Roman"/>
          <w:sz w:val="18"/>
          <w:szCs w:val="18"/>
          <w:color w:val="auto"/>
        </w:rPr>
        <w:t>- 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September 30, 2024, the Company has determined that it has one reporting unit. The Company has not identified any events or changes in circumstances that indicate the existence of potential impairment of goodwill during the nine months ended September 30, 2024. The balance of goodwill at September 30, 2024 and December 31, 2023 remains unchanged at $12.0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current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spacing w:after="0" w:line="187"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the Black-Scholes model based on key assumption and inputs. The Company utilizes a probability assessment to estimate the likelihood of vesting for the remaining Loan Agreement (as defined below)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receivables typically have a standard payment term of 60 days or less and do not bear interest.</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September 30, 2024, the Company has not recorded any allowances for doubtful accounts receivable. For further information about accounts receivable, see Note 3. Accounts Receivable, net.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w:t>
      </w:r>
    </w:p>
    <w:p>
      <w:pPr>
        <w:spacing w:after="0" w:line="174"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three and nine months ended September 30, 2024, advertising costs were $20.7 million and $75.0 million, respectively. For the three and nine months ended September 30, 2023, advertising costs were $28.1 million and $76.2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2024 and has not recorded an income tax benefit for the three and nine months ended September 30, 2024 since it is projecting losses and has incurred year to date losses in all jurisdictions from which the Company does not benefit due to the full valuation allowance position against the Company’s deferred tax assets.</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2024,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100"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accounts for equity award forfeitures as they occur.</w:t>
      </w:r>
    </w:p>
    <w:p>
      <w:pPr>
        <w:spacing w:after="0" w:line="20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For restricted stock units (“RSUs”), the Company issues them in the form of Company common stock. The fair market value of these awards is based on the market closing price per share on the grant date.</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awards subject to performance-based vesting conditions, the Company recognizes stock-based compensation expense using the accelerated attribution method when the achievement of the performance condition becomes probable. The expense related to the stock-based compensation is recorded within the same financial statement line item as the grantee’s cash compensation.</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and nine months ended September 30,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180"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(14,299 )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(12,500 )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124,096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Company's customers with the largest accounts receivable balances are Cardinal Health, Inc., Cencora, Inc., and McKesson Corporation, which represented approximately 92% of total accounts receivable as of September 30, 2024. For further information, see the section titled “Accounts Receivable, net” in Note 2. Summary of Significant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September 30, 2024. Non-current inventory, which consists of raw materials and work in progress inventory, is included in non-current inventory and other assets on the accompanying consolidated balance sheets. Non-current inventory is estimated to be consumed beyond the next 12 months.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3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3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3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46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2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53,286</w:t>
            </w:r>
          </w:p>
        </w:tc>
        <w:tc>
          <w:tcPr>
            <w:tcW w:w="24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9-years</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48,501</w:t>
            </w:r>
          </w:p>
        </w:tc>
        <w:tc>
          <w:tcPr>
            <w:tcW w:w="24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8-years</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September 30, 2024, and assuming the underlying asset will not be impaired and that the Company will not change the expected life of the asset, future amortization expenses over the next five years and periods thereafter are estimated to be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87"/>
        </w:trPr>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$8.1 million and non-current contingent consideration liability of $83.0 million in the consolidated balance sheet as of September 30, 2024.</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241,301</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91,111</w:t>
            </w:r>
          </w:p>
        </w:tc>
        <w:tc>
          <w:tcPr>
            <w:tcW w:w="100" w:type="dxa"/>
            <w:vAlign w:val="bottom"/>
          </w:tcPr>
          <w:p>
            <w:pPr>
              <w:spacing w:after="0"/>
              <w:rPr>
                <w:sz w:val="20"/>
                <w:szCs w:val="20"/>
                <w:color w:val="auto"/>
              </w:rPr>
            </w:pPr>
          </w:p>
        </w:tc>
      </w:tr>
      <w:tr>
        <w:trPr>
          <w:trHeight w:val="670"/>
        </w:trPr>
        <w:tc>
          <w:tcPr>
            <w:tcW w:w="4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251,768</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20"/>
                <w:szCs w:val="20"/>
                <w:color w:val="auto"/>
              </w:rPr>
            </w:pPr>
          </w:p>
        </w:tc>
      </w:tr>
      <w:tr>
        <w:trPr>
          <w:trHeight w:val="873"/>
        </w:trPr>
        <w:tc>
          <w:tcPr>
            <w:tcW w:w="462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liabilities is marked-to-market each reporting period and was remeasured at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September 30, 2024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to fair value</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(5,735 )</w:t>
            </w:r>
          </w:p>
        </w:tc>
      </w:tr>
      <w:tr>
        <w:trPr>
          <w:trHeight w:val="232"/>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 (Level 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91,111</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tcPr>
          <w:p>
            <w:pPr>
              <w:spacing w:after="0"/>
              <w:rPr>
                <w:sz w:val="11"/>
                <w:szCs w:val="11"/>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tcPr>
          <w:p>
            <w:pPr>
              <w:spacing w:after="0"/>
              <w:rPr>
                <w:sz w:val="11"/>
                <w:szCs w:val="11"/>
                <w:color w:val="auto"/>
              </w:rPr>
            </w:pPr>
          </w:p>
        </w:tc>
        <w:tc>
          <w:tcPr>
            <w:tcW w:w="2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 (range, if</w:t>
            </w:r>
          </w:p>
        </w:tc>
        <w:tc>
          <w:tcPr>
            <w:tcW w:w="120" w:type="dxa"/>
            <w:vAlign w:val="bottom"/>
          </w:tcPr>
          <w:p>
            <w:pPr>
              <w:spacing w:after="0"/>
              <w:rPr>
                <w:sz w:val="11"/>
                <w:szCs w:val="11"/>
                <w:color w:val="auto"/>
              </w:rPr>
            </w:pPr>
          </w:p>
        </w:tc>
        <w:tc>
          <w:tcPr>
            <w:tcW w:w="2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 (range, if</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205"/>
        </w:trPr>
        <w:tc>
          <w:tcPr>
            <w:tcW w:w="1620" w:type="dxa"/>
            <w:vAlign w:val="bottom"/>
            <w:shd w:val="clear" w:color="auto" w:fill="CFF0FC"/>
          </w:tcPr>
          <w:p>
            <w:pPr>
              <w:ind w:left="340"/>
              <w:spacing w:after="0" w:line="205" w:lineRule="exact"/>
              <w:rPr>
                <w:sz w:val="20"/>
                <w:szCs w:val="20"/>
                <w:color w:val="auto"/>
              </w:rPr>
            </w:pPr>
            <w:r>
              <w:rPr>
                <w:rFonts w:ascii="Times New Roman" w:cs="Times New Roman" w:eastAsia="Times New Roman" w:hAnsi="Times New Roman"/>
                <w:sz w:val="18"/>
                <w:szCs w:val="18"/>
                <w:color w:val="auto"/>
              </w:rPr>
              <w:t>Contingent</w:t>
            </w:r>
          </w:p>
        </w:tc>
        <w:tc>
          <w:tcPr>
            <w:tcW w:w="2320" w:type="dxa"/>
            <w:vAlign w:val="bottom"/>
            <w:shd w:val="clear" w:color="auto" w:fill="CFF0FC"/>
          </w:tcPr>
          <w:p>
            <w:pPr>
              <w:ind w:left="100"/>
              <w:spacing w:after="0" w:line="205"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Discount rate</w:t>
            </w:r>
          </w:p>
        </w:tc>
        <w:tc>
          <w:tcPr>
            <w:tcW w:w="2420" w:type="dxa"/>
            <w:vAlign w:val="bottom"/>
            <w:gridSpan w:val="2"/>
            <w:shd w:val="clear" w:color="auto" w:fill="CFF0FC"/>
          </w:tcPr>
          <w:p>
            <w:pPr>
              <w:jc w:val="right"/>
              <w:ind w:right="848"/>
              <w:spacing w:after="0" w:line="205" w:lineRule="exact"/>
              <w:rPr>
                <w:sz w:val="20"/>
                <w:szCs w:val="20"/>
                <w:color w:val="auto"/>
              </w:rPr>
            </w:pPr>
            <w:r>
              <w:rPr>
                <w:rFonts w:ascii="Times New Roman" w:cs="Times New Roman" w:eastAsia="Times New Roman" w:hAnsi="Times New Roman"/>
                <w:sz w:val="18"/>
                <w:szCs w:val="18"/>
                <w:color w:val="auto"/>
              </w:rPr>
              <w:t>12.9%</w:t>
            </w:r>
          </w:p>
        </w:tc>
        <w:tc>
          <w:tcPr>
            <w:tcW w:w="2440" w:type="dxa"/>
            <w:vAlign w:val="bottom"/>
            <w:gridSpan w:val="2"/>
            <w:shd w:val="clear" w:color="auto" w:fill="CFF0FC"/>
          </w:tcPr>
          <w:p>
            <w:pPr>
              <w:jc w:val="right"/>
              <w:ind w:right="848"/>
              <w:spacing w:after="0" w:line="205"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8"/>
        </w:trPr>
        <w:tc>
          <w:tcPr>
            <w:tcW w:w="1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consideration</w:t>
            </w: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17.8% - 20.8%</w:t>
            </w:r>
          </w:p>
        </w:tc>
        <w:tc>
          <w:tcPr>
            <w:tcW w:w="24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16.4% - 19.4%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5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15,328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6,503</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19,367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20,457</w:t>
            </w: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3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10,831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9,242</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68,766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46,713</w:t>
            </w: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5,927</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1,659</w:t>
            </w: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3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122,176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90,501</w:t>
            </w:r>
          </w:p>
        </w:tc>
      </w:tr>
      <w:tr>
        <w:trPr>
          <w:trHeight w:val="849"/>
        </w:trPr>
        <w:tc>
          <w:tcPr>
            <w:tcW w:w="452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-1071245</wp:posOffset>
            </wp:positionV>
            <wp:extent cx="1111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111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8, capitalized terms used but not otherwise defined herein shall have the meanings assigned to them in the Loan Agreement (as defined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the Loan Agreement</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September 30, 2024, the Company entered into a Fifth Amendment (the “Fifth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as further amended by the Third Amendment to Loan and Security Agreement, dated as of January 9, 2023, and as further amended by the Waiver and Fourth Amendment to Loan and Security Agreement, dated as of May 8, 2023) (the “Loan Agreement”) with Hercules Capital, Inc., a Maryland corporation (“Hercules”), in its capacity as administrative agent and collateral agent, and the other financial institutions or entities party thereto as lenders (collectively, the “Lenders”), with respect to the term loan thereunder (the “2020 Term Loan”).</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Fifth Amendment amended the terms of the Loan Agreement to, among other things: (i) increase the Tranche 3 Commitment from $75.0 to $80.0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Axsome Malta Ltd. (“Axsome Malta”) to request an Advance from the Lenders up to a certain amount to the extent that the Company may request an Advance in such amount and to increase the amount of Cash that Axsome Malta may hold outside of the United States, as set forth in greater detail in the Fifth Amendment.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to the Loan Agreement</w:t>
      </w:r>
    </w:p>
    <w:p>
      <w:pPr>
        <w:spacing w:after="0" w:line="227"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On May 8, 2023, the Company entered into the Waiver and Fourth Amendment (the “Fourth Amendment”) to the Loan Agreement with Hercules, in its capacity as administrative agent and collateral agent, and the Lenders.</w:t>
      </w:r>
    </w:p>
    <w:p>
      <w:pPr>
        <w:spacing w:after="0" w:line="16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Fourth Amendment increased the amount of cash that could be held by Axsome Malta outside of the United States from $3.0 million to $15.0 million for a 45-day period after the closing of the Fourth Amendment and to $10.0 million thereafter. The Fourth Amendment also waived any purported default with respect to the amount of cash held by Axsome Malta prior to the date of the Fourth Amendment. In August 2023, Hercules granted the Company a waiver to the Fourth Amendment, permitting Axsome Malta to hold up to $12.5 million in Cash outside of the United States until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Amendment to the Loan Agreement</w:t>
      </w:r>
    </w:p>
    <w:p>
      <w:pPr>
        <w:spacing w:after="0" w:line="227"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On January 9, 2023, the Company entered into a Third Amendment (the “Third Amendment”) to the Loan Agreement with Hercules, in its capacity as administrative agent and collateral agent, and the Lenders.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Amendment amended the terms of the Loan Agreement to, among other things:</w:t>
      </w:r>
    </w:p>
    <w:p>
      <w:pPr>
        <w:spacing w:after="0" w:line="117"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the sum of $30.0 million plus the Qualified Cash A/P Amount;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had allowed Tranche 2, which totaled $25.0 million, to expire undrawn.</w:t>
      </w:r>
    </w:p>
    <w:p>
      <w:pPr>
        <w:spacing w:after="0" w:line="22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Antecip and Hercules.</w:t>
      </w:r>
    </w:p>
    <w:p>
      <w:pPr>
        <w:spacing w:after="0" w:line="18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Effective upon closing of the Fifth Amendment in September 2024, the following limited financial covenants apply:</w:t>
      </w:r>
    </w:p>
    <w:p>
      <w:pPr>
        <w:spacing w:after="0" w:line="75" w:lineRule="exact"/>
        <w:rPr>
          <w:sz w:val="20"/>
          <w:szCs w:val="20"/>
          <w:color w:val="auto"/>
        </w:rPr>
      </w:pPr>
    </w:p>
    <w:p>
      <w:pPr>
        <w:ind w:left="1020" w:right="3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all times must maintain Qualified Cash in an aggregate amount greater than or equal to $30.0 million plus the Qualified Cash A/P Amount; provided that compliance with such covenant shall be conditionally waived during such periods of time that the Company’s Market Capitalization exceeds $1.5 billion.</w:t>
      </w:r>
    </w:p>
    <w:p>
      <w:pPr>
        <w:spacing w:after="0" w:line="6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meet, beginning June 30, 2023, any of the following conditions: (A) ensure that at all times its market capitalization exceeds $1.0 billion and that it maintains Qualified Cash in an amount not less than 30% of the sum of the outstanding principal amount of the Term Loan Advances plus the Qualified Cash A/P Amount, (B) ensure that at all times that it maintains Qualified Cash in an amount not less than 50% of the sum of the outstanding principal amount of the Term Loan Advances plus the Qualified Cash A/P Amount, or (C) ensure that at all times its market capitalization exceeds $1.5 billion. Alternatively, the Company must, beginning with fiscal quarter ending September 30, 2024, and for each quarter thereafter, achieve T6M Net Product Revenue in an amount equal to at least the amount set forth on Schedule 7.20(b) of the Loan Agreement opposite the last day of each fiscal quarter identified in the table therein, tested on a quarterly basis.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20" w:right="4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Malta, a company organized under the laws of the Republic of Malta, may request an Advance from the Lenders up to a certain amount to the extent that the Company may request an Advance in such amount, and Axsome Malta may not hold Cash outside of the United States in excess of the sum of $10.0 million and the aggregate outstanding principal amount of Advances drawn by Axsome Malta.</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pay certain end of term charges, including (A) an initial end of term charge of $4.45 million and (B) a subsequent end of term charge of (i) 1.10% of the aggregate amount of all Tranche 1A Advances plus (ii) 4.95% of the aggregate amount of all term loan advances (other than Tranche 1A Advances) funded minus (iii) any charges paid by the Borrower to the Lenders related to partial prepayments of the outstanding Secured Obligations. The end of term charges are being accreted into interest expense using the effective interest rate method over the term of the loan.</w:t>
      </w:r>
    </w:p>
    <w:p>
      <w:pPr>
        <w:spacing w:after="0" w:line="18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If certain maturity extension conditions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176"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 may, at its option prepay the term loans in full or in part, subject to a prepayment penalty equal to (i) 2.0% of the Advance amount prepaid if the prepayment occurs prior to February 1, 2024, (ii) 1.5% of the Advance amount prepaid if the prepayment occurs on or after February 1, 2024 but prior to February 1, 2025, and (iii) 1.0% of the Advance amount prepaid if the prepayment occurs on or after February 1, 2025 but prior to February 1, 2026.</w:t>
      </w:r>
    </w:p>
    <w:p>
      <w:pPr>
        <w:spacing w:after="0" w:line="180" w:lineRule="exact"/>
        <w:rPr>
          <w:sz w:val="20"/>
          <w:szCs w:val="20"/>
          <w:color w:val="auto"/>
        </w:rPr>
      </w:pPr>
    </w:p>
    <w:p>
      <w:pPr>
        <w:ind w:right="120" w:firstLine="749"/>
        <w:spacing w:after="0" w:line="277" w:lineRule="auto"/>
        <w:rPr>
          <w:sz w:val="20"/>
          <w:szCs w:val="20"/>
          <w:color w:val="auto"/>
        </w:rPr>
      </w:pPr>
      <w:r>
        <w:rPr>
          <w:rFonts w:ascii="Times New Roman" w:cs="Times New Roman" w:eastAsia="Times New Roman" w:hAnsi="Times New Roman"/>
          <w:sz w:val="17"/>
          <w:szCs w:val="17"/>
          <w:color w:val="auto"/>
        </w:rPr>
        <w:t xml:space="preserve">The Company evaluated whether the Third Amendment entered into in January 2023 represented a debt modification or extinguishment in accordance with ASC 470-50, </w:t>
      </w:r>
      <w:r>
        <w:rPr>
          <w:rFonts w:ascii="Times New Roman" w:cs="Times New Roman" w:eastAsia="Times New Roman" w:hAnsi="Times New Roman"/>
          <w:sz w:val="17"/>
          <w:szCs w:val="17"/>
          <w:i w:val="1"/>
          <w:iCs w:val="1"/>
          <w:color w:val="auto"/>
        </w:rPr>
        <w:t>Debt – Modifications and Extinguishments</w:t>
      </w:r>
      <w:r>
        <w:rPr>
          <w:rFonts w:ascii="Times New Roman" w:cs="Times New Roman" w:eastAsia="Times New Roman" w:hAnsi="Times New Roman"/>
          <w:sz w:val="17"/>
          <w:szCs w:val="17"/>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168"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Company also evaluated whether the Fifth Amendment entered into September 2024 represented a debt modification or extinguishment in accordance with ASC 470. As the terms of the Fifth Amendment are not substantially different as compared to that of the Fourth Amendment, the Company treated the amendment as a debt modification.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180,000</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180,000</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24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3,694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2,610</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(3,692 )</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180,002</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178,070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FF0FC"/>
          </w:tcPr>
          <w:p>
            <w:pPr>
              <w:spacing w:after="0"/>
              <w:rPr>
                <w:sz w:val="21"/>
                <w:szCs w:val="21"/>
                <w:color w:val="auto"/>
              </w:rPr>
            </w:pPr>
          </w:p>
        </w:tc>
      </w:tr>
      <w:tr>
        <w:trPr>
          <w:trHeight w:val="432"/>
        </w:trPr>
        <w:tc>
          <w:tcPr>
            <w:tcW w:w="756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as of September 30, 2024, are as follows: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1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tcBorders>
              <w:bottom w:val="single" w:sz="8" w:color="auto"/>
            </w:tcBorders>
            <w:shd w:val="clear" w:color="auto" w:fill="CFF0FC"/>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Leases are accounted for under ASC Topic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NY. The lease does not include any restrictions or covenants that had to be accounted for under the lease guidance.</w:t>
      </w:r>
    </w:p>
    <w:p>
      <w:pPr>
        <w:spacing w:after="0" w:line="19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 ten-year agreement to sublease office space at One World Trade Center, which began in April 2023. Based on the Company's past experience and current expectation for administrative office needs, the Company determined the lease term to be five years. As of September 30, 2024 and September 30, 2023, the remaining lease term for the Company's operating lease was 3.5 years and 4.5 years, respectively, with the discount rate unchanged at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nine months ended September 30, 2024, the Company recognized a right-of-use asset and lease liability, both, of $4.9 million in connection to this lease. As of September 30, 2024, right-of-use asset and lease liability related to the finance lease were both $4.2 million, and the weighted average remaining lease term was 3.3 years, with a weighted average discount rate of 9.6%.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560" w:type="dxa"/>
            <w:vAlign w:val="bottom"/>
            <w:gridSpan w:val="5"/>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0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minimum lease payments of the Company’s leases as of September 30, 2024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420" w:type="dxa"/>
            <w:vAlign w:val="bottom"/>
          </w:tcPr>
          <w:p>
            <w:pPr>
              <w:spacing w:after="0"/>
              <w:rPr>
                <w:sz w:val="16"/>
                <w:szCs w:val="16"/>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(2,400 )</w:t>
            </w:r>
          </w:p>
        </w:tc>
        <w:tc>
          <w:tcPr>
            <w:tcW w:w="4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(655 )</w:t>
            </w:r>
          </w:p>
        </w:tc>
      </w:tr>
      <w:tr>
        <w:trPr>
          <w:trHeight w:val="277"/>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1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U.S. Securities and Exchange Commission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(as defined below).</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and filed a prospectus supplement, pursuant to which the Company could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shares of the Company’s common stock under its prior at-the-market offering program.</w:t>
      </w:r>
    </w:p>
    <w:p>
      <w:pPr>
        <w:spacing w:after="0" w:line="18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August 2022, the Company filed a prospectus supplement to the 2019 Shelf Registration Statement for the issuance and sale, if any, of up to an additional $250 million in shares of the Company’s common stock. The Company will pay Leerink a commission of up to 3.0% of the gross sales proceeds of any shares sold through Leerink, acting as sales agent, under the March 2022 Sales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September 30, 2024, the Company received approximately $13.1 million in gross proceeds through the sale of 148,260 shares, of which net proceeds were approximately $12.8 million. For the three months ended June 30, 2024, the Company received approximately $11.3 million in gross proceeds through the sale of 148,875 shares, of which net proceeds were approximately $11.0 million under the March 2022 Sales Agreement. The Company did not utilize the March 2022 Sales Agreement with Leerink during the three months ended March 31, 2024.</w:t>
      </w:r>
    </w:p>
    <w:p>
      <w:pPr>
        <w:spacing w:after="0" w:line="183"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18"/>
          <w:szCs w:val="18"/>
          <w:color w:val="auto"/>
        </w:rPr>
        <w:t>The Company did not utilize the March 2022 Sales Agreement with Leerink during the year ended December 31, 2023. Under the December 2019 Sales Agreement and March 2022 Sales Agreement, the Company received approximately $238.8 million in gross proceeds through the sale of 5,167,973 shares, of which net proceeds were approximately $231.8 million for the year ended December 31, 2022. Under the December 2019 Sales Agreement, the Company received approximately $7.4 million in gross proceeds through the sale of 110,296 shares, of which net proceeds were approximately $7.2 million for the year ended December 31, 2021.</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Upon the closing of the Second Amendment, which occurred in March 2022, Hercules also purchased 152,487 of the Company’s unregistered common stock for a total consideration of $5.0 million at a share price equal to $32.79 per share, pursuant to a share transfer agreement.</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Public Offering</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In November 2015, the 2015 Omnibus Incentive Compensation Plan (the “2015 Plan”) was adopted by the Company’s stockholders. As of September 30, 2024, there were 3,058,009 shares available for future grant under the 2015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3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term</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8,462,294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1,121,896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(664,480 )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(465,884 )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8,453,826</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369,494</w:t>
            </w: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8,453,826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46.20</w:t>
            </w:r>
          </w:p>
        </w:tc>
        <w:tc>
          <w:tcPr>
            <w:tcW w:w="1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369,494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3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5,002,481</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282,513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-385445</wp:posOffset>
            </wp:positionV>
            <wp:extent cx="93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-367665</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-385445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-367665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-385445</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-367665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was $64.54 per option for the nine months ended September 30, 2024. As of September 30, 2024, there was $160.9 million of total unrecognized compensation cost related to non-vested stock options which is expected to be recognized over a weighted average period of 2.5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on the date of the grant based on the market price of its shares of common stock as of that date. The fair value of the RSUs is recognized as an expense ratably over the vesting period of four years. As of September 30, 2024, total compensation cost not yet recognized related to unvested RSUs was $43.4 million, which is expected to be recognized over a weighted-average period of 2.6 years. The intrinsic value of RSUs lapsed during the nine months ended September 30, 2024 was $8.9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nine months ended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804,150</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435,236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(247,595 )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(92,514 )</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899,277</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first offering period pursuant to the ESPP on June 1, 2023, and such offering ended on May 31, 2024.</w:t>
      </w:r>
    </w:p>
    <w:p>
      <w:pPr>
        <w:spacing w:after="0" w:line="180"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2024, 52,368 common shares have been purchased and issued pursuant to the ESPP, and $0.4 million and $1.2 million of expense was recorded for the three and nine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Stock-based compensation expense recognized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5,868</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4,029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15,508</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9,681</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15,792</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12,339</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47,724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34,024</w:t>
            </w:r>
          </w:p>
        </w:tc>
      </w:tr>
      <w:tr>
        <w:trPr>
          <w:trHeight w:val="272"/>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21,660</w:t>
            </w:r>
          </w:p>
        </w:tc>
        <w:tc>
          <w:tcPr>
            <w:tcW w:w="1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16,368</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63,232</w:t>
            </w:r>
          </w:p>
        </w:tc>
        <w:tc>
          <w:tcPr>
            <w:tcW w:w="1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$0.3 million and $1.0 million for the three and nine months ended September 30, 2024, respectively, and $0.9 million and $2.4 million for the three and nine months ended September 30, 2023, respectively. The Company started capitalizing stock-based compensation to inventory in the third quarter of 2022. Capitalized stock-based compensation is recognized as an expense in cost of product sales when the related product is sold or in selling, general and administrative expense when the related product is dispensed as a physician sample.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nine months ended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(62,199 )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(212,304 )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(140,587 )</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48,140,519</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47,117,196</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47,703,508</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44,783,380</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3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spacing w:after="0"/>
              <w:rPr>
                <w:sz w:val="15"/>
                <w:szCs w:val="15"/>
                <w:color w:val="auto"/>
              </w:rPr>
            </w:pPr>
          </w:p>
        </w:tc>
      </w:tr>
      <w:tr>
        <w:trPr>
          <w:trHeight w:val="187"/>
        </w:trPr>
        <w:tc>
          <w:tcPr>
            <w:tcW w:w="35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72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8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8,453,826</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8,150,189</w:t>
            </w: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8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899,277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798,286</w:t>
            </w:r>
          </w:p>
        </w:tc>
      </w:tr>
      <w:tr>
        <w:trPr>
          <w:trHeight w:val="24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8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79,220</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r>
      <w:tr>
        <w:trPr>
          <w:trHeight w:val="23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4120" w:type="dxa"/>
            <w:vAlign w:val="bottom"/>
          </w:tcPr>
          <w:p>
            <w:pPr>
              <w:spacing w:after="0"/>
              <w:rPr>
                <w:sz w:val="20"/>
                <w:szCs w:val="20"/>
                <w:color w:val="auto"/>
              </w:rPr>
            </w:pPr>
          </w:p>
        </w:tc>
        <w:tc>
          <w:tcPr>
            <w:tcW w:w="17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69,761</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9,502,084</w:t>
            </w:r>
          </w:p>
        </w:tc>
        <w:tc>
          <w:tcPr>
            <w:tcW w:w="12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9,027,695</w:t>
            </w:r>
          </w:p>
        </w:tc>
      </w:tr>
      <w:tr>
        <w:trPr>
          <w:trHeight w:val="849"/>
        </w:trPr>
        <w:tc>
          <w:tcPr>
            <w:tcW w:w="3560" w:type="dxa"/>
            <w:vAlign w:val="bottom"/>
            <w:tcBorders>
              <w:top w:val="single" w:sz="8" w:color="CFF0FC"/>
            </w:tcBorders>
          </w:tcPr>
          <w:p>
            <w:pPr>
              <w:spacing w:after="0"/>
              <w:rPr>
                <w:sz w:val="24"/>
                <w:szCs w:val="24"/>
                <w:color w:val="auto"/>
              </w:rPr>
            </w:pPr>
          </w:p>
        </w:tc>
        <w:tc>
          <w:tcPr>
            <w:tcW w:w="412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30</w:t>
            </w: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-1070610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-1053465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 sells Auvelity and Sunosi in the United States through the Distributors. The Company also sells Sunosi to Distributors in Canada and on a product supply basis to Pharmanovia. Sunosi is subsequently sold by Pharmanovia in certain ex-U.S. markets.</w:t>
      </w:r>
    </w:p>
    <w:p>
      <w:pPr>
        <w:spacing w:after="0" w:line="162"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License revenue consists of the recognition of the upfront payment the Company received from Pharmanovia in February 2023 and royalty revenue is related to sales of Sunosi by Pharmanovia in certain ex-U.S. markets.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Auvelity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80,378</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Sunosi</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65,554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131,713</w:t>
            </w:r>
          </w:p>
        </w:tc>
        <w:tc>
          <w:tcPr>
            <w:tcW w:w="100" w:type="dxa"/>
            <w:vAlign w:val="bottom"/>
          </w:tcPr>
          <w:p>
            <w:pPr>
              <w:spacing w:after="0"/>
              <w:rPr>
                <w:sz w:val="20"/>
                <w:szCs w:val="20"/>
                <w:color w:val="auto"/>
              </w:rPr>
            </w:pPr>
          </w:p>
        </w:tc>
      </w:tr>
      <w:tr>
        <w:trPr>
          <w:trHeight w:val="27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Sunosi license revenue</w:t>
            </w:r>
          </w:p>
        </w:tc>
        <w:tc>
          <w:tcPr>
            <w:tcW w:w="16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shd w:val="clear" w:color="auto" w:fill="CFF0FC"/>
          </w:tcPr>
          <w:p>
            <w:pPr>
              <w:spacing w:after="0"/>
              <w:rPr>
                <w:sz w:val="23"/>
                <w:szCs w:val="23"/>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Sunosi royalty revenue</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266,927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-676275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-676275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-676275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102,810</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261,525</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128,125</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264,352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104,762</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266,927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-967740</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-967740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product sales, net, includes adjustments for provisions for product sales made in 2023 resulting from changes in estimates of $1.0 million for Auvelity and $0.6 million for Sunosi. For the nine months ended September 30, 2023, product sales, net, includes adjustments for provisions for product sales made in 2022 resulting from changes in estimates of $0.8 million for Auvelity and $0.1 million for Sunosi.</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($65.7 million). The Company also will receive a royalty percentage in the mid-twenties on Sunosi net sales in the Territory and is eligible to receive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milestone payments totaling up to €94.5 million.</w:t>
      </w:r>
    </w:p>
    <w:p>
      <w:pPr>
        <w:spacing w:after="0" w:line="207" w:lineRule="exact"/>
        <w:rPr>
          <w:sz w:val="20"/>
          <w:szCs w:val="20"/>
          <w:color w:val="auto"/>
        </w:rPr>
      </w:pPr>
    </w:p>
    <w:p>
      <w:pPr>
        <w:ind w:right="6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The Company recognized royalty revenue of $1.0 million and $0.7 million for the three months ended September 30, 2024 and 2023, respectively, and $2.6 million and $1.6 million for the nine months ended September 30, 2024 and 2023, respectively, related to Pharmanovia’s sales of Sunosi. No other development or sales-based milestones were recognized during the nine months ended September 30, 2024 and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w:t>
      </w:r>
    </w:p>
    <w:p>
      <w:pPr>
        <w:jc w:val="center"/>
        <w:ind w:left="5540" w:right="600" w:hanging="5532"/>
        <w:spacing w:after="0" w:line="761" w:lineRule="auto"/>
        <w:tabs>
          <w:tab w:leader="none" w:pos="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2024 and 2023, no milestone payments or royalties were paid to Pfizer by the Company.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nine months ended September 30, 2024 and 2023, the Company recorded royalty expense of $6.0 million and $2.4 million, respectively, for royalty due to Antecip, which is equal to 3.0% of net sales of Auvelity. This is considered to be a related party transaction.</w:t>
      </w:r>
    </w:p>
    <w:p>
      <w:pPr>
        <w:spacing w:after="0" w:line="19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the Direct Agreement with Antecip and Hercules, pursuant to which Antecip consented to the collateral assignment of the License Agreement under the Loan Agreement, among other things.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Royalty Agreements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Company's loss before income taxes and effective tax rates for all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(64,602 )  $</w:t>
            </w:r>
          </w:p>
        </w:tc>
        <w:tc>
          <w:tcPr>
            <w:tcW w:w="1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(62,877 )  $</w:t>
            </w:r>
          </w:p>
        </w:tc>
        <w:tc>
          <w:tcPr>
            <w:tcW w:w="1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(212,304 )  $</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(139,302 )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spacing w:after="0" w:line="18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 did not record a tax expense for the three and nine months ended September 30, 2024. The Company recorded a tax benefit of $0.7 million for the three months ended September 30, 2023 and a Maltese tax expense of $1.3 million for the nine months ended September 30, 2023 on income earned in Malta in relation to the license revenue recognized from the Pharmanovia License Agreement.</w:t>
      </w:r>
    </w:p>
    <w:p>
      <w:pPr>
        <w:spacing w:after="0" w:line="176"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Company did not have any unrecognized tax benefits as of September 30, 2024 related to uncertain tax positions that would impact the effective income tax rate if recognized.</w:t>
      </w:r>
    </w:p>
    <w:p>
      <w:pPr>
        <w:spacing w:after="0" w:line="162" w:lineRule="exact"/>
        <w:rPr>
          <w:sz w:val="20"/>
          <w:szCs w:val="20"/>
          <w:color w:val="auto"/>
        </w:rPr>
      </w:pPr>
    </w:p>
    <w:p>
      <w:pPr>
        <w:jc w:val="both"/>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of $2.4 million and $6.0 million for the three and nine months ended September 30, 2024, respectively, and $1.1 million and $2.4 million for the three and nine months ended September 30, 2023, respectively, which equal 3.0% of net sales of Auvelity.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3"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2023 which was filed with the U.S. Securities and Exchange Commission, or SEC, on February 23, 2024</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leading a new era in the treatment of central nervous system, or CNS, disorders. We deliver scientific breakthroughs by identifying critical gaps in care and develop differentiated products with a focus on novel mechanisms of action that enable meaningful advancements in patient outcomes. Our CNS portfolio includes two approved products - Auvelity® and Sunosi® - both of which are also being developed for further indications, and three not yet approved product candidates, AXS-07, AXS-12, and AXS-14, which are being developed for multiple indications. In May 2022, Axsome Therapeutics, Inc., or Axsome, or the Company, completed the U.S. acquisition of Sunosi from Jazz Pharmaceuticals, or Jazz, and in November 2022, the Company acquired the ex-U.S. assets of Sunosi from Jazz for certain international markets, or, collectively, the Acquisition. Sunosi is a product approved by the U.S. Food and Drug Administration, or the FDA, and marketed in the U.S. to improve wakefulness in adult patients with excessive daytime sleepiness associated with narcolepsy or obstructive sleep apnea, and also approved in Europe in January 2020 by the European Commission. In August 2022, the Company announced the FDA approval, and in October 2022, the U.S. commercial availability of Auvelity. Auvelity is indicated to the treatment of major depressive disorder in adults.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117" w:lineRule="exact"/>
        <w:rPr>
          <w:sz w:val="20"/>
          <w:szCs w:val="20"/>
          <w:color w:val="auto"/>
        </w:rPr>
      </w:pPr>
    </w:p>
    <w:p>
      <w:pPr>
        <w:ind w:left="1020" w:right="20" w:hanging="503"/>
        <w:spacing w:after="0" w:line="262" w:lineRule="auto"/>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Auvelity®. </w:t>
      </w:r>
      <w:r>
        <w:rPr>
          <w:rFonts w:ascii="Times New Roman" w:cs="Times New Roman" w:eastAsia="Times New Roman" w:hAnsi="Times New Roman"/>
          <w:sz w:val="18"/>
          <w:szCs w:val="18"/>
          <w:color w:val="auto"/>
        </w:rPr>
        <w:t>Auvelity (dextromethorphan-bupropion) is a novel, oral, N-methyl-D-aspartate (NMDA) receptor antagonist with multimodal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activity indicated to the treatment of major depressive disorder, also known as MDD. Auvelity was developed by the Company and approved by the FDA for the treatment of MDD in August 2022. We commenced the commercial sale of Auvelity in the United States in October 2022.</w:t>
      </w:r>
    </w:p>
    <w:p>
      <w:pPr>
        <w:spacing w:after="0" w:line="68" w:lineRule="exact"/>
        <w:rPr>
          <w:rFonts w:ascii="Times New Roman" w:cs="Times New Roman" w:eastAsia="Times New Roman" w:hAnsi="Times New Roman"/>
          <w:sz w:val="18"/>
          <w:szCs w:val="18"/>
          <w:b w:val="1"/>
          <w:bCs w:val="1"/>
          <w:i w:val="1"/>
          <w:iCs w:val="1"/>
          <w:color w:val="auto"/>
        </w:rPr>
      </w:pPr>
    </w:p>
    <w:p>
      <w:pPr>
        <w:ind w:left="1020" w:right="20" w:hanging="503"/>
        <w:spacing w:after="0" w:line="255" w:lineRule="auto"/>
        <w:tabs>
          <w:tab w:leader="none" w:pos="10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Sunosi®. </w:t>
      </w:r>
      <w:r>
        <w:rPr>
          <w:rFonts w:ascii="Times New Roman" w:cs="Times New Roman" w:eastAsia="Times New Roman" w:hAnsi="Times New Roman"/>
          <w:sz w:val="18"/>
          <w:szCs w:val="18"/>
          <w:color w:val="auto"/>
        </w:rPr>
        <w:t>Sunosi (solriamfetol) is a novel, oral medication indicated to the treatment of excessive daytime sleepiness, also known as EDS,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narcolepsy or obstructive sleep apnea. Sunosi was approved for the treatment of EDS in the United States in 2019 and by the European Commission in 2022. We acquired the U.S. rights to Sunosi from Jazz Pharmaceuticals plc, or Jazz, in May 2022 and worldwide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announced a licensing transaction, or the Pharmanovia License Agreement, with Atnahs Pharma UK Limited, or Pharmanovia, to market Sunosi in Europe and certain countries in the Middle East and North Africa, or the Territory.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Programs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When used in programs for further development, we refer to the proprietary dextromethorphan-bupropion formulation contained in Auvelity as “AXS-05.” AXS-05 is a novel, oral, investigational NMDA receptor antagonist with multimodal activity under development for the treatment of Alzheimer’s disease agitation, or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ACCORD-1 trial, a Phase 3, double blind, placebo-controlled, randomized withdrawal trial in patients with AD agitation, and we are conducting an open-label long-term safety study in AD agitation. We are currently conducting the ADVANCE-2 trial, another Phase 3, double blind, placebo-controlled, trial in patients with AD agitation. We are also conducting the ACCORD-2 study, a Phase 3, double-blind, placebo-controlled, randomized withdrawal trial in patients with AD agitation. A positive Phase 2 trial for the use of AXS-05 in smoking cessation has been completed under a research collaboration with Duke University.</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are currently conducting the EMERGE study, a multicenter, Phase 3, single-group trial evaluating the efficacy and safety of AXS-07 in the acute treatment of migraine in adults with a prior inadequate response to an oral CGRP inhibitor. We submitted a new drug application, or NDA, for AXS-07 in 2021, which was accepted, and received a complete response letter, or CRL, from the FDA in April 2022. The principal reasons given in the CRL relate to chemistry, manufacturing, and controls, or CMC considerations. We resubmitted the NDA for AXS-07 for the acute treatment of migraine to the FDA, which the FDA acknowledged and classified as a Class 2 resubmission, and set a Prescription Drug User Fee Act, or PDUFA, action goal date of January 31, 2025.</w:t>
      </w:r>
    </w:p>
    <w:p>
      <w:pPr>
        <w:spacing w:after="0" w:line="192"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18"/>
          <w:szCs w:val="18"/>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We recently completed the randomized, placebo-controlled Phase 3 trial with AXS-12 in narcolepsy, which we refer to as the SYMPHONY study, where AXS-12 achieved the primary endpoint in the trial of reducing cataplexy attacks. We are currently conducting one open-label long-term safety extension study with AXS-12.</w:t>
      </w:r>
    </w:p>
    <w:p>
      <w:pPr>
        <w:spacing w:after="0" w:line="18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which includes a completed Phase 2 trial and Phase 3 trial in fibromyalgia, both of which were positive.</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Solriamfetol is the active ingredient in Sunosi. It is an oral, dual-acting dopamine and norepinephrine reuptake inhibitor and TAAR1 agonist. We are currently conducting four Phase 3, double blind, placebo-controlled, randomized multicenter trials with solriamfetol: one in MDD, which we refer to as the PARADIGM study, and the second in binge eating disorder, or BED, which we refer to as the ENGAGE study, the third in adults with attention-deficit/hyperactivity disorder, which we refer to as the FOCUS study, and the fourth in shift work disorder, or SWD, which we refer to as the SUSTAIN study.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with claims extending to 2034, 2040, 2041, and 2043 for AXS-05, to 2038 for AXS-07, and to 2040 for AXS-12, as well as U.S. and foreign patent applications for AXS-05, AXS-07, AXS-12, and AXS-14. As with respect to Sunosi, Orange Book listed patents in the United States extend out to 2042. We also have patents in various other countries pertaining to Sunosi. In June 2024, we entered into a settlement agreement with Unichem Laboratories Ltd., or Unichem, resolving patent litigation related to Sunosi that permits Unichem to begin selling its generic version of Sunosi on June 30, 2042, or earlier under certain circumstances. In August 2024, we reached an agreement with Sandoz Inc., or Sandoz, to dismiss the patent litigation related to Sunosi, and as a result, the litigation has been dismissed without prejudice.</w:t>
      </w:r>
    </w:p>
    <w:p>
      <w:pPr>
        <w:spacing w:after="0" w:line="19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and the commercial launches of Auvelity and Sunosi.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have begun commercial sales of Auvelity and Sunosi, but we have limited experience with commercializing these, or any, products.</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$212.3 million and $140.6 million for the nine months ended September 30, 2024 and 2023, respectively. Our accumulated deficit as of September 30, 2024 was $1,047.9 million, and we expect to incur significant expenses and continuing operating losses. We expect our expenses to increase in connection with our ongoing activities as we continue the commercialization of our currently marketed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and 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AXS-05</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 May 2024, we announced the initiation of the ACCORD-2 study, a Phase 3, double-blind, placebo-controlled, randomized withdrawal trial to evaluate the efficacy and safety of AXS-05 in the treatment of AD agitation.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AXS-07</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September 2024, we announced that the FDA acknowledged the resubmission of our NDA for AXS-07 for the acute treatment of migraine.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designated the resubmission as a Class 2 resubmission and set a PDUFA action goal date of January 31,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AXS-12</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March 2024, we reported positive topline data from the Phase 3 trial of AXS-12 in narcolepsy, which we call the SYMPHONY study.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Solriamfetol</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March 2024, we announced the initiation of the PARADIGM study, a Phase 3, randomized, double-blind, placebo-controlled, multicenter trial of solriamfetol for the treatment of MDD.</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In April 2024, we announced the initiation of the ENGAGE study, a Phase 3, randomized, double-blind, placebo-controlled, multicenter trial of solriamfetol for the treatment of BED.</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August 2024, we announced the initiation of the SUSTAIN study, a Phase 3, randomized, double-blind, placebo-controlled, multicenter trial of solriamfetol for the treatment of SWD.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We generated net revenue from product sales of $103.7 million and $57.1 million in the three months ended September 30, 2024 and 2023, respectively, and $264.4 million and $131.7 million in the nine months ended September 30, 2024 and 2023, respectively.</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and Sunosi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7"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Additionally, in the first quarter of 2023, we recorded license revenue of $65.7 million related to the Pharmanovia License Agreement (as defined below). See below for more detail.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$1.0 million and $0.7 million for the three months ended September 30, 2024 and 2023, respectively, and $2.6 million and $1.6 million for the nine months ended September 30, 2024 and 2023, related to Pharmanovia’s sales of Sunosi.</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60" w:firstLine="74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0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Auvelity and Sunosi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8"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disclosed in our 2023 Annual Report on Form 10-K, except for revenue recognition related to license agreements. Our critical accounting policies are described in the notes to the consolidated financial statements appearing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103,736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264,352</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131,713</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65,735</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2,575</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1,622</w:t>
            </w: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104,762</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57,794</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266,927</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199,070</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8,437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6,532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22,789</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18,687</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45,388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132,071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67,141</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95,564</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83,188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298,088</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236,314</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17,139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5,711</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4,785</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4,768</w:t>
            </w: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167,386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119,914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474,872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332,621</w:t>
            </w: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(62,624 )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(62,120 )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(207,945 )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(133,551 )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(1,978 )</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(5,751 )</w:t>
            </w: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(64,602 )</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(62,877 )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(212,304 )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(139,302 )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(1,285 )</w:t>
            </w: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(64,602 )</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(62,199 )</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(212,304 )</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(140,587 )</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48,140,519</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47,117,196</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47,703,508</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44,783,380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-2279650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-2279650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-2279650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-1345565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-1345565</wp:posOffset>
            </wp:positionV>
            <wp:extent cx="857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-1345565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-385445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-367665</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-385445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-367665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-385445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-367665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85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857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85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$80.4 million and $198.8 million for the three and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$37.7 million and $81.0 million for the same periods in 2023. Sunosi net sales were $23.4 million and $65.6 million for the three and nine months ended September 30, 2024, respectively, as compared to $19.4 million and $50.7 million for the same periods in 2023. The increases in both comparable periods were primarily due to the increase in unit sales volume for both Auvelity and Sunosi.</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nine months ended September 30, 2024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13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20" w:type="dxa"/>
            <w:vAlign w:val="bottom"/>
          </w:tcPr>
          <w:p>
            <w:pPr>
              <w:spacing w:after="0"/>
              <w:rPr>
                <w:sz w:val="12"/>
                <w:szCs w:val="12"/>
                <w:color w:val="auto"/>
              </w:rPr>
            </w:pPr>
          </w:p>
        </w:tc>
        <w:tc>
          <w:tcPr>
            <w:tcW w:w="12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Payments/credits</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(160,825 )</w:t>
            </w: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(67,429 )</w:t>
            </w: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(15,902 )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(244,156 )</w:t>
            </w:r>
          </w:p>
        </w:tc>
        <w:tc>
          <w:tcPr>
            <w:tcW w:w="0" w:type="dxa"/>
            <w:vAlign w:val="bottom"/>
          </w:tcPr>
          <w:p>
            <w:pPr>
              <w:spacing w:after="0"/>
              <w:rPr>
                <w:sz w:val="1"/>
                <w:szCs w:val="1"/>
                <w:color w:val="auto"/>
              </w:rPr>
            </w:pPr>
          </w:p>
        </w:tc>
      </w:tr>
      <w:tr>
        <w:trPr>
          <w:trHeight w:val="237"/>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48,707</w:t>
            </w: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In February 2023, we entered into the Pharmanovia License Agreement to commercialize Sunosi in certain ex-U.S.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the upfront payment of $65.7 million from Pharmanovia as license revenue during the first quarter of 2023. We did not have license revenue during the nine months ended September 30, 2024.</w:t>
      </w:r>
    </w:p>
    <w:p>
      <w:pPr>
        <w:spacing w:after="0" w:line="173"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In connection with the February 2023 Pharmanovia License Agreement to commercialize Sunosi in certain ex-U.S.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royalty revenue of $1.0 million and $2.6 million for the three and nine months ended September 30, 2024, respectively, as compared to $0.7 million and $1.6 million for the same periods in 2023 attributable to Pharmanovia sales of Sunosi in the out-licensed markets.</w:t>
      </w:r>
    </w:p>
    <w:p>
      <w:pPr>
        <w:spacing w:after="0" w:line="17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$8.4 million and $22.8 million for the three and nine months ended September 30, 2024, respectively,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$6.5 million and $18.7 million for the same periods in 2023. The increases in both comparable periods were in line with the increase in sales of Auvelity and Sunosi. Cost of revenue for the nine months ended September 30, 2023 includes $5.0 million in-license revenue sharing expense related to the Pharmanovia License Agreement.</w:t>
      </w:r>
    </w:p>
    <w:p>
      <w:pPr>
        <w:spacing w:after="0" w:line="180"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and 2023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Solriamfetol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13,711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7,317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37,908</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11,903</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AXS-05</w:t>
            </w:r>
          </w:p>
        </w:tc>
        <w:tc>
          <w:tcPr>
            <w:tcW w:w="1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14,802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44,090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23,967</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AXS-07</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2,512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9,457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4,869</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AXS-12</w:t>
            </w:r>
          </w:p>
        </w:tc>
        <w:tc>
          <w:tcPr>
            <w:tcW w:w="1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7,035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7,364</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AXS-14</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3,516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9,886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5,062</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1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3,067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8,186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4,295</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5,869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4,029</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15,509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9,681</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45,388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28,767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132,071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67,141</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research and development expenses primarily consist of costs related to other product candidates, facilities and overhead costs</w:t>
      </w:r>
    </w:p>
    <w:p>
      <w:pPr>
        <w:spacing w:after="0" w:line="208"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$16.6 million and $65.0 million for the three and nine months ended September 30, 2024, respectively, as compared to the same periods in 2023. The increases in both comparable periods were primarily related to the Phase 3 trials for additional indications, including studies in ADHD, MDD, BED, and SWD, for solriamfetol, the advancement of ongoing Phase 3 trials of AXS-05 and AXS-12, higher manufacturing costs for AXS-07 and AXS-14, and higher personnel costs due to organizational growth. We expect research and development costs to stabilize at current levels as existing trials near completion while new trials are initiated.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$95.6 million and $298.1 million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respectively, as compared to $83.2 million and $236.3 million for the same periods in 2023. The increases in both comparable periods were primarily related to greater commercial activities for Auvelity and Sunosi, and higher personnel costs related to organizational growth, including non-cash stock-based compensation. We expect selling, general and administrative expenses to increase as we expand marketing, promotional, and advertising costs for Auvelity, Sunosi, and potential future product launches.</w:t>
      </w:r>
    </w:p>
    <w:p>
      <w:pPr>
        <w:spacing w:after="0" w:line="183"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in Fair Value of Contingent Consideration. </w:t>
      </w:r>
      <w:r>
        <w:rPr>
          <w:rFonts w:ascii="Times New Roman" w:cs="Times New Roman" w:eastAsia="Times New Roman" w:hAnsi="Times New Roman"/>
          <w:sz w:val="18"/>
          <w:szCs w:val="18"/>
          <w:color w:val="auto"/>
        </w:rPr>
        <w:t>The loss positions of $16.4 million and $17.1 million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respectively, as compared to a gain position of $0.2 million and a loss position of $5.7 million for the same periods in 2023, respectively, are related to changes in significant unobservable inputs, including discount rates, and significant assumptions, including future sales estimates.</w:t>
      </w:r>
    </w:p>
    <w:p>
      <w:pPr>
        <w:spacing w:after="0" w:line="180" w:lineRule="exact"/>
        <w:rPr>
          <w:sz w:val="20"/>
          <w:szCs w:val="20"/>
          <w:color w:val="auto"/>
        </w:rPr>
      </w:pPr>
    </w:p>
    <w:p>
      <w:pPr>
        <w:jc w:val="both"/>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 amortization was $1.6 million for both the three months ended September 30, 2024 and 2023, and $4.8 million for both the nine months ended September 30, 2024 and 2023.</w:t>
      </w:r>
    </w:p>
    <w:p>
      <w:pPr>
        <w:spacing w:after="0" w:line="17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$2.0 million and $4.4 million for the three and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$0.8 million and $5.8 million for the same periods in 2023. The increase in the three months ended comparable period was mainly due to less interest income on lower cash balances. The decrease in the nine months ended comparable period was mainly due to greater interest income on higher cash balances, which partially offset the interest expense, issuance costs, and fees related to the Loan Agreement.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did not record an income tax expense for the three and nine months ended September 30, 2024 due to losses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jurisdictions during the quarter from which we do not benefit due to the full valuation allowance position against our deferred tax assets. We recorded a tax benefit of $0.7 million for the three months ended September 30, 2023 and tax expense of $1.3 million for the nine months ended September 30, 2023 due to income earned in Malta in relation to the license revenue recognized from the Pharmanovia License Agreement.</w:t>
      </w:r>
    </w:p>
    <w:p>
      <w:pPr>
        <w:spacing w:after="0" w:line="180" w:lineRule="exact"/>
        <w:rPr>
          <w:sz w:val="20"/>
          <w:szCs w:val="20"/>
          <w:color w:val="auto"/>
        </w:rPr>
      </w:pPr>
    </w:p>
    <w:p>
      <w:pPr>
        <w:ind w:right="1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$64.6 million and $212.3 million for the three and nine months ended September 30, 2024, respectively,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$62.2 million and $140.6 million for the same periods in 2023. The increases in both comparable periods are primarily due to higher research and development spend from pre-clinical and ongoing clinical trial expenses, higher selling, general and administrative expenses from commercial activities related to Auvelity and Sunosi, including sales force and marketing spend, and higher personnel costs due to organizational growth, including non-cash stock compensation expense. Additionally, the increase in net loss for the nine months ended September 30, 2024, in comparison to the same period in 2023, was impacted by the upfront payment of $65.7 million received from Pharmanovia in the first quarter of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September 30, 2024, we have financed our operations primarily through proceeds from equity offerings, debt borrowings, and proceeds from product sales. See discussion below.</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March 2022, we entered into a sales agreement, or the March 2022 Sales Agreement with Leerink, and filed a prospectus supplement,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us and Leerink. We exhausted sales of shares of our common stock under our prior at-the-market offering program.</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sales agent, under the March 2022 Sales Agreement.</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Under the March 2022 Sales Agreement, for the nine months ended September 30, 2024, we received approximately $24.4 million in gross proceeds through the sale of 297,135 shares, of which net proceeds were approximately $23.9 million. We did not utilize the March 2022 Sales Agreement with Leerink during the three months ended March 31, 2024. We also did not utilize the March 2022 Sales Agreement with Leerink during the year ended December 31, 2023.</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January 2023, we entered into a Third Amendment to the Loan Agreement, or the Third Amendment, with Hercules. The Third Amendment increased the size of the Term Loan Advance (as defined in the Loan Agreement) to $350.0 million, reduces the interest rate, and extends the maturity and interest-only period of the Loan Agreement. In September 2024, we entered into a Fifth Amendment to the Loan Agreement, or the Fifth Amendment, with Hercules. The Fifth Amendment amended the terms of the Loan Agreement to, among other things: (i) increase the size of the aggregate principal amount under tranche 3 of the 2020 Term Loan (as defined below) from $75.0 to $80.0 million; (ii) extend the availability periods of certain tranches of the 2020 Term Loan; (iii) alter the terms of the performance covenants contained in the Loan Agreement and also add a new performance covenant; (iv) conditionally waive the minimum cash requirement during such periods of time that Axsome’s market capitalization exceeds $1.5 billion; and (v) permit Axsome Malta Ltd., or the Malta Subsidiary, to request an advance from the Lenders (as defined in the Loan Agreement) up to a certain amount to the extent that Axsome may request an advance in such amount and to increase the amount of cash that the Malta Subsidiary may hold outside of the United States, as set forth in greater detail in the Fifth Amendment. The Company drew down upon tranche 1C of the 2020 Term Loan, and as of September 30, 2024, the Company had approximately $180 million outstanding and $150 million remaining under the 2020 Term Loan. See the “Contractual Obligations and Commitments – January 2023 Third Amendment to the Loan and Security Agreement – Hercules” and “Contractual Obligations and Commitments – September 2024 Fifth Amendment to the Loan and Security Agreement – Hercules” sections below for more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80" w:firstLine="74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(102,208 )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(114,718 )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43,596</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331,015</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(58,852 )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215,722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6"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nine months ended September 30, 2024 was $102.2 million, as compared to $114.7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2023. The decrease of $12.5 million was impacted by the upfront payment of $65.7 million received from Pharmanovia in the first quarter of 2023 and higher net product revenues from Auvelity and Sunosi in 2024, which were offset by an increase in cash used in commercial and clinical activities in 2024.</w:t>
      </w:r>
    </w:p>
    <w:p>
      <w:pPr>
        <w:spacing w:after="0" w:line="180"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nine months ended September 30, 2024 was $240 thousand, as compared to $575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 for the nine months ended September 30, 2023. Our investing activities for both comparable periods primarily relate to purchases of equipment in connection to commercial and clinical activities.</w:t>
      </w:r>
    </w:p>
    <w:p>
      <w:pPr>
        <w:spacing w:after="0" w:line="17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$43.6 million for the nine months ended September 30, 2024, which included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$23.9 million from issuance of common stock for financing purposes as well as proceeds of $29.5 million from the issuance of common stock upon the exercise of employee stock options and under the ESPP, which was partially offset by payments of contingent consideration and tax withholdings on stock awards, for a total of $9.2 million. Cash provided by financing activities was $331.0 million for the nine months ended September 30, 2023, which included net proceeds related to the June 2023 public offering of $211.3 million and additional net proceeds of $31.7 million as the underwriters fully exercised their option to purchase additional shares, net proceeds of $82.7 million related to drawing upon tranches of the Loan Agreement with Hercules, and proceeds of $11.2 million from the issuance of common stock upon the exercise of employee stock options, offset by payments of contingent consideration and tax withholdings on stock awards of a total of $6.0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and begin to commercialize any additional approved products while further investing in Auvelity and Sunosi.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5" w:lineRule="exact"/>
        <w:rPr>
          <w:rFonts w:ascii="Times New Roman" w:cs="Times New Roman" w:eastAsia="Times New Roman" w:hAnsi="Times New Roman"/>
          <w:sz w:val="16"/>
          <w:szCs w:val="16"/>
          <w:color w:val="auto"/>
        </w:rPr>
      </w:pPr>
    </w:p>
    <w:p>
      <w:pPr>
        <w:ind w:left="760" w:right="440" w:hanging="378"/>
        <w:spacing w:after="0" w:line="282" w:lineRule="auto"/>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6"/>
          <w:szCs w:val="16"/>
          <w:color w:val="auto"/>
        </w:rPr>
      </w:pPr>
    </w:p>
    <w:p>
      <w:pPr>
        <w:ind w:left="760" w:right="560" w:hanging="378"/>
        <w:spacing w:after="0" w:line="239" w:lineRule="exact"/>
        <w:tabs>
          <w:tab w:leader="none" w:pos="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80"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Loan Agreement (see below), Antecip consented to the collateral assignment of one of the license agreements, among other things, under a direct agreement with us and Hercules.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 with Hercules Capital, Inc.</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assigned to them in the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Fifth Amendment to the Loan and Security Agreement</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September 30, 2024, we entered into the Fifth Amendment. The Fifth Amendment amended the terms of the Loan Agreement to, among other things: (i) increase the Tranche 3 Commitment from $75.0 to $80.0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the Malta Subsidiary, to request an Advance from the Lenders up to a certain amount to the extent that the Company may request an Advance in such amount and to increase the amount of Cash that the Malta Subsidiary may hold outside of the United States, as set forth in greater detail in the Fifth Amendment.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Fourth Amendment to the Loan and Security Agreement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8, 2023, we entered into the Waiver and Fourth Amendment to the Loan Agreement, or the Fourth Amendment, with Hercules, in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administrative agent and collateral agent, and the Lenders. The Fourth Amendment increased the amount of Cash that could be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 Subsidiary outside of the United States from $3.0 million to $15.0 million for a 45-day period after the closing of the Fourth Amendment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thereafter. The Fourth Amendment also waived any purported default with respect to the amount of cash held by the Malta Subsidiary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date of the Fourth Amendment. In August 2023, Hercules granted Axsome a waiver to the Fourth Amendment, permitting the Malta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 up to $12.5 million in Cash outside of the United States until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Third Amendment to the Loan and Security Agreement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9, 2023, we entered into the Third Amendment.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Amendment amended the terms of the Loan Agreement to, among other things:</w:t>
      </w:r>
    </w:p>
    <w:p>
      <w:pPr>
        <w:spacing w:after="0" w:line="225"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22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18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18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the sum of $30.0 million plus the Qualified Cash A/P Amount; and</w:t>
      </w:r>
    </w:p>
    <w:p>
      <w:pPr>
        <w:spacing w:after="0" w:line="225"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Biopharma, LLC, or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World Trade Center Lease</w:t>
      </w:r>
    </w:p>
    <w:p>
      <w:pPr>
        <w:spacing w:after="0" w:line="227" w:lineRule="exact"/>
        <w:rPr>
          <w:sz w:val="20"/>
          <w:szCs w:val="20"/>
          <w:color w:val="auto"/>
        </w:rPr>
      </w:pPr>
    </w:p>
    <w:p>
      <w:pPr>
        <w:ind w:right="200" w:firstLine="794"/>
        <w:spacing w:after="0" w:line="256"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will run for ten (10) years. The Company has a one-time option to terminate the Sublease on its fifth anniversary upon the payment of a fee to the sublandlord. The Company is responsible for base rent under the Sublease and certain additional customary variable costs such as an allocable portion of building taxes and operating expenses. In connection with the Sublease, the Company received certain rent and work concessions from the sublandlord.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As of November 5, 2024, we had 607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$327.3 million and $386.2 million as of September 30, 2024 and December 31, 2023,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which use short 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do not believe a 10% change in these currencies on September 30, 2024 would have had a material effect on our results of operations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nine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our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jc w:val="both"/>
        <w:ind w:right="320" w:firstLine="74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During the quarter ended September 30, 2024, there have been no changes in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controls over financial reporting that have materially affected, or are reasonably likely to materially affect, our internal control over financial reporting.</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product candidates, AXS-07.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On October 13, 2023, plaintiffs’ counsel filed a letter seeking leave to file an amended complaint and to substitute new plaintiffs, which defendants opposed. The SDNY District Court re-opened the lead plaintiff appointment process. Thomas Giblin, Paul Berger, and Paul Sutherland moved jointly to be appointed replacement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w:t>
      </w:r>
    </w:p>
    <w:p>
      <w:pPr>
        <w:spacing w:after="0" w:line="22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Auvelity Paragraph IV Litigation</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On March 24, 2023, we commenced a patent infringement action against Teva Pharmaceuticals, Inc., or Teva, relating to Teva’s Abbreviated New Drug Application, or ANDA, for Auvelity. This action is captioned </w:t>
      </w:r>
      <w:r>
        <w:rPr>
          <w:rFonts w:ascii="Times New Roman" w:cs="Times New Roman" w:eastAsia="Times New Roman" w:hAnsi="Times New Roman"/>
          <w:sz w:val="18"/>
          <w:szCs w:val="18"/>
          <w:i w:val="1"/>
          <w:iCs w:val="1"/>
          <w:color w:val="auto"/>
        </w:rPr>
        <w:t>Axsome Therapeutics, Inc. and Antecip Bioventures II LLC v. Teva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Inc</w:t>
      </w:r>
      <w:r>
        <w:rPr>
          <w:rFonts w:ascii="Times New Roman" w:cs="Times New Roman" w:eastAsia="Times New Roman" w:hAnsi="Times New Roman"/>
          <w:sz w:val="18"/>
          <w:szCs w:val="18"/>
          <w:color w:val="auto"/>
        </w:rPr>
        <w:t>. No. 2:23-CV-01695 in the United States District Court for the District of New Jersey, or the NJ District Court. On December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2023, we commenced a second patent infringement action against Teva relating to Teva’s ANDA. This action is captioned </w:t>
      </w:r>
      <w:r>
        <w:rPr>
          <w:rFonts w:ascii="Times New Roman" w:cs="Times New Roman" w:eastAsia="Times New Roman" w:hAnsi="Times New Roman"/>
          <w:sz w:val="18"/>
          <w:szCs w:val="18"/>
          <w:i w:val="1"/>
          <w:iCs w:val="1"/>
          <w:color w:val="auto"/>
        </w:rPr>
        <w:t>Axsome Therapeutics, Inc.,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Antecip Bioventures II LLC v. Teva Pharmaceuticals, Inc</w:t>
      </w:r>
      <w:r>
        <w:rPr>
          <w:rFonts w:ascii="Times New Roman" w:cs="Times New Roman" w:eastAsia="Times New Roman" w:hAnsi="Times New Roman"/>
          <w:sz w:val="18"/>
          <w:szCs w:val="18"/>
          <w:color w:val="auto"/>
        </w:rPr>
        <w:t>. No. 2:23-cv-23142 in the NJ District Court. On February 26, 2024, the NJ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the actions. Fact discovery is currently scheduled to close on February 7, 2025 in the consolidated action. On May 28, 2024, we commenced a third patent infringement action against 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Teva Pharmaceuticals, Inc</w:t>
      </w:r>
      <w:r>
        <w:rPr>
          <w:rFonts w:ascii="Times New Roman" w:cs="Times New Roman" w:eastAsia="Times New Roman" w:hAnsi="Times New Roman"/>
          <w:sz w:val="18"/>
          <w:szCs w:val="18"/>
          <w:color w:val="auto"/>
        </w:rPr>
        <w:t>. No. 2:24-cv-06489 in the NJ District Court. On September 30, 2024, we commenced a fourth patent infringement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 v. Teva Pharmaceuticals, Inc</w:t>
      </w:r>
      <w:r>
        <w:rPr>
          <w:rFonts w:ascii="Times New Roman" w:cs="Times New Roman" w:eastAsia="Times New Roman" w:hAnsi="Times New Roman"/>
          <w:sz w:val="18"/>
          <w:szCs w:val="18"/>
          <w:color w:val="auto"/>
        </w:rPr>
        <w:t>. No. 2-24-cv-09535 in the NJ District Court. All actions are currently pending.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September 13, 2023, we commenced a patent infringement action against Hikma and five other drug companies relating to each defendant's ANDA for Sunosi. This action is captioned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2:23-CV-20354 in the NJ District Court. We commenced related patent infringement actions against the defendants relating to their ANDAs on December 20, 2023, January 11, 2024, January 18, 2024, February 14, 2024, March 19, 2024 (2 actions filed), April 5, 2024, July 2, 2024, August 8, 2024, August 21, 2024, and September 16, 2024. Those actions are captioned </w:t>
      </w:r>
      <w:r>
        <w:rPr>
          <w:rFonts w:ascii="Times New Roman" w:cs="Times New Roman" w:eastAsia="Times New Roman" w:hAnsi="Times New Roman"/>
          <w:sz w:val="18"/>
          <w:szCs w:val="18"/>
          <w:i w:val="1"/>
          <w:iCs w:val="1"/>
          <w:color w:val="auto"/>
        </w:rPr>
        <w:t>Axsome Malta Ltd. &amp; Axsome Therapeutics, Inc. v. Unichem Laboratories Ltd</w:t>
      </w:r>
      <w:r>
        <w:rPr>
          <w:rFonts w:ascii="Times New Roman" w:cs="Times New Roman" w:eastAsia="Times New Roman" w:hAnsi="Times New Roman"/>
          <w:sz w:val="18"/>
          <w:szCs w:val="18"/>
          <w:color w:val="auto"/>
        </w:rPr>
        <w:t xml:space="preserve">. No. 2:23-cv-23255; </w:t>
      </w:r>
      <w:r>
        <w:rPr>
          <w:rFonts w:ascii="Times New Roman" w:cs="Times New Roman" w:eastAsia="Times New Roman" w:hAnsi="Times New Roman"/>
          <w:sz w:val="18"/>
          <w:szCs w:val="18"/>
          <w:i w:val="1"/>
          <w:iCs w:val="1"/>
          <w:color w:val="auto"/>
        </w:rPr>
        <w:t>Axsome Malta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Ltd. &amp; Axsome Therapeutics, Inc. v. Hetero USA, Inc. et al</w:t>
      </w:r>
      <w:r>
        <w:rPr>
          <w:rFonts w:ascii="Times New Roman" w:cs="Times New Roman" w:eastAsia="Times New Roman" w:hAnsi="Times New Roman"/>
          <w:sz w:val="18"/>
          <w:szCs w:val="18"/>
          <w:color w:val="auto"/>
        </w:rPr>
        <w:t>. No 2:24-cv-00196;</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2:24-cv-00309;</w:t>
      </w:r>
      <w:r>
        <w:rPr>
          <w:rFonts w:ascii="Times New Roman" w:cs="Times New Roman" w:eastAsia="Times New Roman" w:hAnsi="Times New Roman"/>
          <w:sz w:val="18"/>
          <w:szCs w:val="18"/>
          <w:i w:val="1"/>
          <w:iCs w:val="1"/>
          <w:color w:val="auto"/>
        </w:rPr>
        <w:t xml:space="preserve"> Axsome Malta Ltd. &amp; Axsome Therapeutics, Inc. v. Sandoz, Inc</w:t>
      </w:r>
      <w:r>
        <w:rPr>
          <w:rFonts w:ascii="Times New Roman" w:cs="Times New Roman" w:eastAsia="Times New Roman" w:hAnsi="Times New Roman"/>
          <w:sz w:val="18"/>
          <w:szCs w:val="18"/>
          <w:color w:val="auto"/>
        </w:rPr>
        <w:t>. No. 2:24-cv-00860;</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 2:24-cv-03999;</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2:24-cv-04002;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2:24-CV-04608;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Aurobindo Pharma USA, Inc. et al</w:t>
      </w:r>
      <w:r>
        <w:rPr>
          <w:rFonts w:ascii="Times New Roman" w:cs="Times New Roman" w:eastAsia="Times New Roman" w:hAnsi="Times New Roman"/>
          <w:sz w:val="18"/>
          <w:szCs w:val="18"/>
          <w:color w:val="auto"/>
        </w:rPr>
        <w:t>. No. 2-24-cv-07511;</w:t>
      </w:r>
      <w:r>
        <w:rPr>
          <w:rFonts w:ascii="Times New Roman" w:cs="Times New Roman" w:eastAsia="Times New Roman" w:hAnsi="Times New Roman"/>
          <w:sz w:val="18"/>
          <w:szCs w:val="18"/>
          <w:i w:val="1"/>
          <w:iCs w:val="1"/>
          <w:color w:val="auto"/>
        </w:rPr>
        <w:t xml:space="preserve"> Axsome Malta Ltd. &amp; Axsome Therapeutics, Inc. v. Alkem Laboratories Ltd.</w:t>
      </w:r>
      <w:r>
        <w:rPr>
          <w:rFonts w:ascii="Times New Roman" w:cs="Times New Roman" w:eastAsia="Times New Roman" w:hAnsi="Times New Roman"/>
          <w:sz w:val="18"/>
          <w:szCs w:val="18"/>
          <w:color w:val="auto"/>
        </w:rPr>
        <w:t>No. 2-24-cv-08365;</w:t>
      </w:r>
      <w:r>
        <w:rPr>
          <w:rFonts w:ascii="Times New Roman" w:cs="Times New Roman" w:eastAsia="Times New Roman" w:hAnsi="Times New Roman"/>
          <w:sz w:val="18"/>
          <w:szCs w:val="18"/>
          <w:i w:val="1"/>
          <w:iCs w:val="1"/>
          <w:color w:val="auto"/>
        </w:rPr>
        <w:t xml:space="preserve"> Axsome Malta Ltd. &amp; Axsome Therapeutics, Inc. v. Aurobindo Pharma USA, Inc. et al. </w:t>
      </w:r>
      <w:r>
        <w:rPr>
          <w:rFonts w:ascii="Times New Roman" w:cs="Times New Roman" w:eastAsia="Times New Roman" w:hAnsi="Times New Roman"/>
          <w:sz w:val="18"/>
          <w:szCs w:val="18"/>
          <w:color w:val="auto"/>
        </w:rPr>
        <w:t>No. 2-24-cv-08624;</w:t>
      </w:r>
      <w:r>
        <w:rPr>
          <w:rFonts w:ascii="Times New Roman" w:cs="Times New Roman" w:eastAsia="Times New Roman" w:hAnsi="Times New Roman"/>
          <w:sz w:val="18"/>
          <w:szCs w:val="18"/>
          <w:i w:val="1"/>
          <w:iCs w:val="1"/>
          <w:color w:val="auto"/>
        </w:rPr>
        <w:t xml:space="preserve"> Axsome Malta Ltd. &amp; Axsome Therapeutics, Inc. v. Alkem Laboratories Ltd. et al. </w:t>
      </w:r>
      <w:r>
        <w:rPr>
          <w:rFonts w:ascii="Times New Roman" w:cs="Times New Roman" w:eastAsia="Times New Roman" w:hAnsi="Times New Roman"/>
          <w:sz w:val="18"/>
          <w:szCs w:val="18"/>
          <w:color w:val="auto"/>
        </w:rPr>
        <w:t>No. 2-24-cv-09209, respectively, all of which are in the NJ District Court. On June 4,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Axsome and the Malta Subsidiary entered into a settlement agreement with Unichem under which agreement Unichem agreed not to launch its generic solriamfetol product until June 30, 2042, or earlier under certain circumstances. On August 21, 2024, Axsome and the Malta Subsidiary reached an agreement to dismiss the actions pending against Sandoz. All other actions are currently pending. On September 25, 2024, Hikma Pharmaceuticals USA, Inc. filed a petition for Inter Partes Review of U.S. Patent No. 11,560,354 before the United States Patent and Trademark Office’s Patent Trial and Appeal Board. That petition is captioned </w:t>
      </w:r>
      <w:r>
        <w:rPr>
          <w:rFonts w:ascii="Times New Roman" w:cs="Times New Roman" w:eastAsia="Times New Roman" w:hAnsi="Times New Roman"/>
          <w:sz w:val="18"/>
          <w:szCs w:val="18"/>
          <w:i w:val="1"/>
          <w:iCs w:val="1"/>
          <w:color w:val="auto"/>
        </w:rPr>
        <w:t>Hikma Pharmaceuticals USA Inc. f/k/a West-Ward Pharmaceuticals Corp. v. Axsome Malta Ltd</w:t>
      </w:r>
      <w:r>
        <w:rPr>
          <w:rFonts w:ascii="Times New Roman" w:cs="Times New Roman" w:eastAsia="Times New Roman" w:hAnsi="Times New Roman"/>
          <w:sz w:val="18"/>
          <w:szCs w:val="18"/>
          <w:color w:val="auto"/>
        </w:rPr>
        <w:t>. IPR2024-01418.</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23, 2024. Investors should carefully consider all of the information set forth in this Quarterly Report on Form 10-Q, including the following risk factors, before deciding to invest in any of the Company’s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60" w:hanging="378"/>
        <w:spacing w:after="0" w:line="26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8"/>
          <w:szCs w:val="18"/>
          <w:color w:val="auto"/>
        </w:rPr>
      </w:pPr>
    </w:p>
    <w:p>
      <w:pPr>
        <w:ind w:left="760" w:right="20" w:hanging="378"/>
        <w:spacing w:after="0" w:line="26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760" w:right="34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6" w:lineRule="exact"/>
        <w:rPr>
          <w:rFonts w:ascii="Times New Roman" w:cs="Times New Roman" w:eastAsia="Times New Roman" w:hAnsi="Times New Roman"/>
          <w:sz w:val="18"/>
          <w:szCs w:val="18"/>
          <w:color w:val="auto"/>
        </w:rPr>
      </w:pPr>
    </w:p>
    <w:p>
      <w:pPr>
        <w:ind w:left="760" w:right="16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4" w:lineRule="exact"/>
        <w:rPr>
          <w:rFonts w:ascii="Times New Roman" w:cs="Times New Roman" w:eastAsia="Times New Roman" w:hAnsi="Times New Roman"/>
          <w:sz w:val="18"/>
          <w:szCs w:val="18"/>
          <w:color w:val="auto"/>
        </w:rPr>
      </w:pPr>
    </w:p>
    <w:p>
      <w:pPr>
        <w:ind w:left="760" w:right="80" w:hanging="378"/>
        <w:spacing w:after="0" w:line="28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hanging="378"/>
        <w:spacing w:after="0" w:line="259"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8"/>
          <w:szCs w:val="18"/>
          <w:color w:val="auto"/>
        </w:rPr>
      </w:pPr>
    </w:p>
    <w:p>
      <w:pPr>
        <w:ind w:left="760" w:right="6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0" w:lineRule="exact"/>
        <w:rPr>
          <w:rFonts w:ascii="Times New Roman" w:cs="Times New Roman" w:eastAsia="Times New Roman" w:hAnsi="Times New Roman"/>
          <w:sz w:val="18"/>
          <w:szCs w:val="18"/>
          <w:color w:val="auto"/>
        </w:rPr>
      </w:pPr>
    </w:p>
    <w:p>
      <w:pPr>
        <w:ind w:left="760" w:right="760" w:hanging="378"/>
        <w:spacing w:after="0" w:line="28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8"/>
          <w:szCs w:val="18"/>
          <w:color w:val="auto"/>
        </w:rPr>
      </w:pPr>
    </w:p>
    <w:p>
      <w:pPr>
        <w:ind w:left="760" w:right="16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70" w:lineRule="exact"/>
        <w:rPr>
          <w:rFonts w:ascii="Times New Roman" w:cs="Times New Roman" w:eastAsia="Times New Roman" w:hAnsi="Times New Roman"/>
          <w:sz w:val="18"/>
          <w:szCs w:val="18"/>
          <w:color w:val="auto"/>
        </w:rPr>
      </w:pPr>
    </w:p>
    <w:p>
      <w:pPr>
        <w:ind w:left="760" w:right="6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spacing w:after="0" w:line="170" w:lineRule="exact"/>
        <w:rPr>
          <w:rFonts w:ascii="Times New Roman" w:cs="Times New Roman" w:eastAsia="Times New Roman" w:hAnsi="Times New Roman"/>
          <w:sz w:val="18"/>
          <w:szCs w:val="18"/>
          <w:color w:val="auto"/>
        </w:rPr>
      </w:pPr>
    </w:p>
    <w:p>
      <w:pPr>
        <w:jc w:val="both"/>
        <w:ind w:left="760" w:right="16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8"/>
          <w:szCs w:val="18"/>
          <w:color w:val="auto"/>
        </w:rPr>
      </w:pPr>
    </w:p>
    <w:p>
      <w:pPr>
        <w:ind w:left="760" w:right="2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8"/>
          <w:szCs w:val="18"/>
          <w:color w:val="auto"/>
        </w:rPr>
      </w:pPr>
    </w:p>
    <w:p>
      <w:pPr>
        <w:ind w:left="760" w:right="420" w:hanging="378"/>
        <w:spacing w:after="0" w:line="28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$212.3 million and $140.6 million for the nine months ended September 30, 2024 and 2023, respectively. As of September 30, 2024, we had an accumulated deficit of $1,047.9 million. In 2022, we commenced the commercial sale of Auvelity in the United States and Sunosi in the United States and select global markets. Apart from Auvelity and Sunosi, we have no other products which have received regulatory approval.</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and any other product candidate which may be approved or which we may in-license. We anticipate that our expenses will increase substantially as we:</w:t>
      </w:r>
    </w:p>
    <w:p>
      <w:pPr>
        <w:spacing w:after="0" w:line="176"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 AD agitation;</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NDAs for AXS-12 in narcolepsy and AXS-14 in fibromyalgia;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Auvelity and Sunosi;</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20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20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to commercialize our products;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products under current good manufacturing practices, or cGMP;</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32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7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the Third Amendment, which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the Fourth Amendment, which increased the amount of cash that could be held by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 In September 30, 2024, we entered into the Fifth Amendment, which amended the terms of the Loan Agreement to, among other things: (i) increase the size of the aggregate principal amount under tranche 3 of the 2020 Term Loan from $75.0 to $80.0 million; (ii) extend the availability periods of certain tranches of the 2020 Term Loan; (iii) alter the terms of the performance covenants contained in the Loan Agreement and also add a new performance covenant; (iv) conditionally waive the minimum cash requirement during such periods of time that Axsome’s market capitalization exceeds $1.5 billion; and (v) permit the Malta Subsidiary to request an advance from the Lenders up to a certain amount to the extent that Axsome may request an advance in such amount and to increase the amount of cash that the Malta Subsidiary may hold outside of the United States, as set forth in greater detail in the Fifth Amendment.</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Loan Agreement also requiring maintaining a minimum amount of cash in an account or accounts in which the Lenders have a first priority security interest.</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are a commercial-stage company. Prior to our commercialization of Auvelity and Sunosi in 2022,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spacing w:after="0" w:line="17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spacing w:after="0" w:line="17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3"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Other terrorist and/or regional organizations have joined the hostilities as well, including Hezbollah in Lebanon, and it is possible that other countries in the Middle East, including Iran, will become further involved in hostilities with Israel, resulting in a further widening of the conflict. The intensity and duration of Israel’s current wars are difficult to predict as are such wars’ implications for the global economy.</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Furthermore, because of current geopolitical tensions,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a bill titled the BIOSECURE Act, to discourage contracting with Chinese companies on the development or manufacturing of pharmaceutical products. The BIOSECURE Act passed the U.S. House of Representatives on September 9, 2024. The version of the BIOSECURE Act that passed the U.S. House of Representatives included a grandfather clause that would allow contracts entered into with the Chinese companies named therein prior to the effective date of such legislation until January 1, 2032. The BIOSECURE Act must also pass the U.S. Senate before going to President Biden for either his veto or signature, and it is uncertain whether the bill will be brought to the floor for a vote by the U.S. Senate before the current legislative session expires on January 3, 2025. Any additional executive orders or legislative action regarding or potential sanctions on China could materially impact our current manufacturing partners.</w:t>
      </w:r>
    </w:p>
    <w:p>
      <w:pPr>
        <w:spacing w:after="0" w:line="19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United States continues to experience significant political events that cast uncertainty on global financial and economic markets, especially following the recent presidential election. It is presently unclear exactly what actions the new administration in the United States will implement, and if implemented, how these actions may impact the biopharmaceutical industry in the United States. Any actions taken by the new U.S. administration may have a negative impact on the U.S. economy and on our business, financial condition, and results of operations.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and Sunosi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Although we submitted NDAs to the FDA for Auvelity (which was approved) and for AXS-07 for the acute treatment of migraines (which received a CRL and has now been resubmitted),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60" w:right="2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7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For instance, our prior efforts have resulted in our decision not to further develop certain product candidates that, at one time, appeared to be promising. Likewise, we received a CRL from the FDA relating to the Company’s AXS-07 portfolio product in 2022 (we have since resubmitted the NDA for AXS-07). We have limited resources to identify and execute the development of products.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4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17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spacing w:after="0" w:line="18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months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9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w:t>
      </w:r>
    </w:p>
    <w:p>
      <w:pPr>
        <w:spacing w:after="0" w:line="1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7"/>
          <w:szCs w:val="17"/>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9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8"/>
          <w:szCs w:val="18"/>
          <w:color w:val="auto"/>
        </w:rPr>
      </w:pPr>
    </w:p>
    <w:p>
      <w:pPr>
        <w:jc w:val="both"/>
        <w:ind w:left="760" w:right="42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8"/>
          <w:szCs w:val="18"/>
          <w:color w:val="auto"/>
        </w:rPr>
      </w:pPr>
    </w:p>
    <w:p>
      <w:pPr>
        <w:ind w:left="760" w:right="120" w:hanging="378"/>
        <w:spacing w:after="0" w:line="245" w:lineRule="exact"/>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40" w:hanging="378"/>
        <w:spacing w:after="0" w:line="26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8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5"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100" w:hanging="378"/>
        <w:spacing w:after="0" w:line="258"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7" w:lineRule="exact"/>
        <w:rPr>
          <w:sz w:val="20"/>
          <w:szCs w:val="20"/>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98" w:lineRule="exact"/>
        <w:rPr>
          <w:sz w:val="20"/>
          <w:szCs w:val="20"/>
          <w:color w:val="auto"/>
        </w:rPr>
      </w:pPr>
    </w:p>
    <w:p>
      <w:pPr>
        <w:ind w:right="60" w:firstLine="749"/>
        <w:spacing w:after="0" w:line="224" w:lineRule="exact"/>
        <w:rPr>
          <w:sz w:val="20"/>
          <w:szCs w:val="20"/>
          <w:color w:val="auto"/>
        </w:rPr>
      </w:pPr>
      <w:r>
        <w:rPr>
          <w:rFonts w:ascii="Times New Roman" w:cs="Times New Roman" w:eastAsia="Times New Roman" w:hAnsi="Times New Roman"/>
          <w:sz w:val="18"/>
          <w:szCs w:val="18"/>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or rizatriptan-containing products including Anjeso, Vivlodex, Mobic, and Maxalt.</w:t>
      </w:r>
    </w:p>
    <w:p>
      <w:pPr>
        <w:spacing w:after="0" w:line="17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4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European Union, or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-103505</wp:posOffset>
            </wp:positionV>
            <wp:extent cx="6413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our business may be adversely affected. We further must be able to sufficiently substantiate any claims that we make for our products including claims comparing our products to other companies’ products.</w:t>
      </w:r>
    </w:p>
    <w:p>
      <w:pPr>
        <w:spacing w:after="0" w:line="198"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8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 clinical holds or termination of clinical trials;</w:t>
      </w:r>
    </w:p>
    <w:p>
      <w:pPr>
        <w:spacing w:after="0" w:line="265" w:lineRule="exact"/>
        <w:rPr>
          <w:rFonts w:ascii="Times New Roman" w:cs="Times New Roman" w:eastAsia="Times New Roman" w:hAnsi="Times New Roman"/>
          <w:sz w:val="18"/>
          <w:szCs w:val="18"/>
          <w:color w:val="auto"/>
        </w:rPr>
      </w:pPr>
    </w:p>
    <w:p>
      <w:pPr>
        <w:ind w:left="760" w:right="20" w:hanging="378"/>
        <w:spacing w:after="0" w:line="289"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0" w:lineRule="exact"/>
        <w:rPr>
          <w:sz w:val="20"/>
          <w:szCs w:val="20"/>
          <w:color w:val="auto"/>
        </w:rPr>
      </w:pPr>
    </w:p>
    <w:p>
      <w:pPr>
        <w:ind w:right="70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8"/>
          <w:szCs w:val="18"/>
          <w:color w:val="auto"/>
        </w:rPr>
      </w:pPr>
    </w:p>
    <w:p>
      <w:pPr>
        <w:ind w:left="760" w:hanging="378"/>
        <w:spacing w:after="0" w:line="236" w:lineRule="exact"/>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1"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Foreign Corrupt Practices Act or comparable foreign regulations, and the risks and costs of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Otsuka Pharmaceutical Co. Ltd.; Pfizer Inc.; Relmada Therapeutics Inc.; Sage Therapeutics, Inc.; and Takeda Pharmaceutical Company Limited.</w:t>
      </w:r>
    </w:p>
    <w:p>
      <w:pPr>
        <w:spacing w:after="0" w:line="183"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0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8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spacing w:after="0" w:line="188" w:lineRule="exact"/>
        <w:rPr>
          <w:sz w:val="20"/>
          <w:szCs w:val="20"/>
          <w:color w:val="auto"/>
        </w:rPr>
      </w:pPr>
    </w:p>
    <w:p>
      <w:pPr>
        <w:ind w:right="12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6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80" w:firstLine="749"/>
        <w:spacing w:after="0" w:line="312" w:lineRule="auto"/>
        <w:rPr>
          <w:sz w:val="20"/>
          <w:szCs w:val="20"/>
          <w:color w:val="auto"/>
        </w:rPr>
      </w:pPr>
      <w:r>
        <w:rPr>
          <w:rFonts w:ascii="Times New Roman" w:cs="Times New Roman" w:eastAsia="Times New Roman" w:hAnsi="Times New Roman"/>
          <w:sz w:val="17"/>
          <w:szCs w:val="17"/>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3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FDA for the treatment of narcolepsy. We may also seek Orphan Drug Designation for our other products, as appropriate.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of our current or future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760" w:right="9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88" w:lineRule="exact"/>
        <w:rPr>
          <w:sz w:val="20"/>
          <w:szCs w:val="20"/>
          <w:color w:val="auto"/>
        </w:rPr>
      </w:pPr>
    </w:p>
    <w:p>
      <w:pPr>
        <w:jc w:val="both"/>
        <w:ind w:right="200" w:firstLine="749"/>
        <w:spacing w:after="0" w:line="289"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58"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 w:right="760" w:hanging="378"/>
        <w:spacing w:after="0" w:line="245" w:lineRule="exact"/>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third-party payors to prefer similar but less expensive products even if not approved for our product’s indication;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risk evaluation and mitigation strategy or voluntary risk management plan;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84" w:lineRule="exact"/>
        <w:rPr>
          <w:sz w:val="20"/>
          <w:szCs w:val="20"/>
          <w:color w:val="auto"/>
        </w:rPr>
      </w:pPr>
    </w:p>
    <w:p>
      <w:pPr>
        <w:ind w:firstLine="749"/>
        <w:spacing w:after="0" w:line="228" w:lineRule="exact"/>
        <w:rPr>
          <w:sz w:val="20"/>
          <w:szCs w:val="20"/>
          <w:color w:val="auto"/>
        </w:rPr>
      </w:pPr>
      <w:r>
        <w:rPr>
          <w:rFonts w:ascii="Times New Roman" w:cs="Times New Roman" w:eastAsia="Times New Roman" w:hAnsi="Times New Roman"/>
          <w:sz w:val="18"/>
          <w:szCs w:val="18"/>
          <w:color w:val="auto"/>
        </w:rPr>
        <w:t>Our efforts to educate the medical community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88"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42"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1" w:lineRule="exact"/>
        <w:rPr>
          <w:sz w:val="20"/>
          <w:szCs w:val="20"/>
          <w:color w:val="auto"/>
        </w:rPr>
      </w:pPr>
    </w:p>
    <w:p>
      <w:pPr>
        <w:ind w:right="18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7" w:lineRule="exact"/>
        <w:rPr>
          <w:sz w:val="20"/>
          <w:szCs w:val="20"/>
          <w:color w:val="auto"/>
        </w:rPr>
      </w:pPr>
    </w:p>
    <w:p>
      <w:pPr>
        <w:ind w:right="60"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2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8"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17"/>
          <w:szCs w:val="17"/>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8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760" w:right="7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ind w:left="760" w:right="32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jc w:val="both"/>
        <w:ind w:left="760" w:right="280" w:hanging="378"/>
        <w:spacing w:after="0" w:line="312"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17"/>
          <w:szCs w:val="17"/>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171" w:lineRule="exact"/>
        <w:rPr>
          <w:sz w:val="20"/>
          <w:szCs w:val="20"/>
          <w:color w:val="auto"/>
        </w:rPr>
      </w:pPr>
    </w:p>
    <w:p>
      <w:pPr>
        <w:ind w:firstLine="749"/>
        <w:spacing w:after="0" w:line="217" w:lineRule="exact"/>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09"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8"/>
          <w:szCs w:val="18"/>
          <w:color w:val="auto"/>
        </w:rPr>
      </w:pPr>
    </w:p>
    <w:p>
      <w:pPr>
        <w:ind w:left="760" w:right="80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4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75"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third-party claims that we infringe their intellectual property rights, we could face a number of issues, including:</w:t>
      </w:r>
    </w:p>
    <w:p>
      <w:pPr>
        <w:spacing w:after="0" w:line="225" w:lineRule="exact"/>
        <w:rPr>
          <w:sz w:val="20"/>
          <w:szCs w:val="20"/>
          <w:color w:val="auto"/>
        </w:rPr>
      </w:pPr>
    </w:p>
    <w:p>
      <w:pPr>
        <w:ind w:left="760" w:right="1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related proceeding at the USPTO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6" w:lineRule="exact"/>
        <w:rPr>
          <w:sz w:val="20"/>
          <w:szCs w:val="20"/>
          <w:color w:val="auto"/>
        </w:rPr>
      </w:pPr>
    </w:p>
    <w:p>
      <w:pPr>
        <w:jc w:val="both"/>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91" w:lineRule="exact"/>
        <w:rPr>
          <w:sz w:val="20"/>
          <w:szCs w:val="20"/>
          <w:color w:val="auto"/>
        </w:rPr>
      </w:pPr>
    </w:p>
    <w:p>
      <w:pPr>
        <w:ind w:right="120" w:firstLine="749"/>
        <w:spacing w:after="0" w:line="217" w:lineRule="exact"/>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20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1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especially where we do not believe patent protection is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or obtainable. However, trade secrets are difficult to protect. We rely in part on confidentiality agreements with our employees, consultants,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contractors, outside scientific collaborators, sponsored researchers, and other advisors, including the third parties we rely on to manufacture our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protect our trade secrets and other proprietary information. However, any party with whom we have executed such an agreement may breach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disclose our proprietary information, including our trade secrets. Accordingly, these agreements may not effectively prevent disclosure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 and may not provide an adequate remedy in the event of unauthorized disclosure of confidential information. Costly and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litigation could be necessary to enforce and determine the scope of our proprietary rights. In addition, others may independently discover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trade secrets and proprietary information. Further, the FDA, as part of its Transparency Initiative, a proposal to increase disclosure and make data more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accessible to the public, is currently considering whether to make additional information publicly available on a routine basis, including information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consider to be trade secrets or other proprietary information, and it is not clear at the present time how the FDA’s disclosure policies may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if at all. Failure to obtain or maintain trade secret protection could enable competitors to use our proprietary information to develop products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 with our products or cause additional, material adverse effects upon our competitive business position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100" w:firstLine="749"/>
        <w:spacing w:after="0" w:line="273"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7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our Annual Report on Form 10-K filed with the SEC on February 23, 2024, such as the federal Anti-Kickback Statute, the federal civil and criminal False Claims Act, the civil monetary penalties statute, the Medicaid Drug Rebate statute and other price reporting requirements, the Veterans Health Care Act of 1992, the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In addition, there is a great degree of uncertainty regarding how recent U.S. Supreme Court decisions, including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Bright Enterprises v. Raimondo</w:t>
      </w:r>
      <w:r>
        <w:rPr>
          <w:rFonts w:ascii="Times New Roman" w:cs="Times New Roman" w:eastAsia="Times New Roman" w:hAnsi="Times New Roman"/>
          <w:sz w:val="18"/>
          <w:szCs w:val="18"/>
          <w:color w:val="auto"/>
        </w:rPr>
        <w:t>, 603 U.S. ___ (2024) and</w:t>
      </w:r>
      <w:r>
        <w:rPr>
          <w:rFonts w:ascii="Times New Roman" w:cs="Times New Roman" w:eastAsia="Times New Roman" w:hAnsi="Times New Roman"/>
          <w:sz w:val="18"/>
          <w:szCs w:val="18"/>
          <w:i w:val="1"/>
          <w:iCs w:val="1"/>
          <w:color w:val="auto"/>
        </w:rPr>
        <w:t xml:space="preserve"> Corner Post, Inc. v. Board of Governors of the Federal Reserve System</w:t>
      </w:r>
      <w:r>
        <w:rPr>
          <w:rFonts w:ascii="Times New Roman" w:cs="Times New Roman" w:eastAsia="Times New Roman" w:hAnsi="Times New Roman"/>
          <w:sz w:val="18"/>
          <w:szCs w:val="18"/>
          <w:color w:val="auto"/>
        </w:rPr>
        <w:t>, 603 U.S. ___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impact the FDA’s 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w:t>
      </w:r>
    </w:p>
    <w:p>
      <w:pPr>
        <w:spacing w:after="0" w:line="18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of 2022, or the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7"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80" w:firstLine="749"/>
        <w:spacing w:after="0" w:line="268" w:lineRule="auto"/>
        <w:rPr>
          <w:sz w:val="20"/>
          <w:szCs w:val="20"/>
          <w:color w:val="auto"/>
        </w:rPr>
      </w:pPr>
      <w:r>
        <w:rPr>
          <w:rFonts w:ascii="Times New Roman" w:cs="Times New Roman" w:eastAsia="Times New Roman" w:hAnsi="Times New Roman"/>
          <w:sz w:val="17"/>
          <w:szCs w:val="17"/>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Foreign Corrupt Practices Act of 1977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w:t>
      </w:r>
    </w:p>
    <w:p>
      <w:pPr>
        <w:spacing w:after="0" w:line="2" w:lineRule="exact"/>
        <w:rPr>
          <w:sz w:val="20"/>
          <w:szCs w:val="20"/>
          <w:color w:val="auto"/>
        </w:rPr>
      </w:pPr>
    </w:p>
    <w:p>
      <w:pPr>
        <w:ind w:right="280" w:firstLine="8"/>
        <w:spacing w:after="0" w:line="255" w:lineRule="auto"/>
        <w:tabs>
          <w:tab w:leader="none" w:pos="4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20"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94"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0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95" w:lineRule="exact"/>
        <w:rPr>
          <w:sz w:val="20"/>
          <w:szCs w:val="20"/>
          <w:color w:val="auto"/>
        </w:rPr>
      </w:pPr>
    </w:p>
    <w:p>
      <w:pPr>
        <w:ind w:right="200" w:firstLine="749"/>
        <w:spacing w:after="0" w:line="226" w:lineRule="exact"/>
        <w:rPr>
          <w:sz w:val="20"/>
          <w:szCs w:val="20"/>
          <w:color w:val="auto"/>
        </w:rPr>
      </w:pPr>
      <w:r>
        <w:rPr>
          <w:rFonts w:ascii="Times New Roman" w:cs="Times New Roman" w:eastAsia="Times New Roman" w:hAnsi="Times New Roman"/>
          <w:sz w:val="18"/>
          <w:szCs w:val="18"/>
          <w:color w:val="auto"/>
        </w:rPr>
        <w:t>As of November 5, 2024, we had 607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4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12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8"/>
          <w:szCs w:val="18"/>
          <w:color w:val="auto"/>
        </w:rPr>
      </w:pPr>
    </w:p>
    <w:p>
      <w:pPr>
        <w:ind w:left="760" w:right="480" w:hanging="378"/>
        <w:spacing w:after="0" w:line="245" w:lineRule="exact"/>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6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our products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As of November 5, 2024, our executive officers, directors, and 5% stockholders and their affiliates beneficially owned an aggregate of approximately 43%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As of November 5, 2024, we have outstanding 48,462,376 shares of common stock and 9,566,082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40,870,017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right="200"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or will soon file,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15,600,010 shares of common stock subject to options or other equity awards issued or reserved for issuance under our 2015 Omnibus Incentive Compensation Plan and 1,100,000 shares of common stock reserved for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pacing w:after="0" w:line="1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2023, we had U.S. federal net operating loss, NOL, carryforwards of approximately $549.9 million and foreign NOL carryforwards of $0.7 million. U.S. federal net operating loss carry forwards amounting to $59.8 million generated before the 2018 tax year will start expiring beginning 2032, if we have not used them prior to that time, and the U.S. federal net operating losses of approximately $490.1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4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 of Rule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Scheduled Expiration</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w:t>
            </w:r>
          </w:p>
        </w:tc>
      </w:tr>
      <w:tr>
        <w:trPr>
          <w:trHeight w:val="196"/>
        </w:trPr>
        <w:tc>
          <w:tcPr>
            <w:tcW w:w="2260" w:type="dxa"/>
            <w:vAlign w:val="bottom"/>
            <w:tcBorders>
              <w:left w:val="single" w:sz="8" w:color="auto"/>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10b5-1 Trading</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302"/>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188"/>
        </w:trPr>
        <w:tc>
          <w:tcPr>
            <w:tcW w:w="226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color w:val="auto"/>
              </w:rPr>
              <w:t>Nick Pizzie</w:t>
            </w:r>
          </w:p>
        </w:tc>
        <w:tc>
          <w:tcPr>
            <w:tcW w:w="22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6"/>
                <w:szCs w:val="16"/>
                <w:color w:val="auto"/>
              </w:rPr>
              <w:t>September 13, 2024</w:t>
            </w:r>
            <w:r>
              <w:rPr>
                <w:rFonts w:ascii="Times New Roman" w:cs="Times New Roman" w:eastAsia="Times New Roman" w:hAnsi="Times New Roman"/>
                <w:sz w:val="21"/>
                <w:szCs w:val="21"/>
                <w:color w:val="auto"/>
                <w:vertAlign w:val="superscript"/>
              </w:rPr>
              <w:t>(2)</w:t>
            </w:r>
          </w:p>
        </w:tc>
        <w:tc>
          <w:tcPr>
            <w:tcW w:w="22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August 13, 2025</w:t>
            </w:r>
          </w:p>
        </w:tc>
        <w:tc>
          <w:tcPr>
            <w:tcW w:w="224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color w:val="auto"/>
              </w:rPr>
              <w:t>Up to 15,000 shares of</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pursuant to</w:t>
            </w:r>
          </w:p>
        </w:tc>
      </w:tr>
      <w:tr>
        <w:trPr>
          <w:trHeight w:val="216"/>
        </w:trPr>
        <w:tc>
          <w:tcPr>
            <w:tcW w:w="226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exercise of non-</w:t>
            </w:r>
          </w:p>
        </w:tc>
      </w:tr>
      <w:tr>
        <w:trPr>
          <w:trHeight w:val="24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qualified stock options</w:t>
            </w:r>
          </w:p>
        </w:tc>
      </w:tr>
    </w:tbl>
    <w:p>
      <w:pPr>
        <w:spacing w:after="0" w:line="45" w:lineRule="exact"/>
        <w:rPr>
          <w:sz w:val="20"/>
          <w:szCs w:val="20"/>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20" w:firstLine="8"/>
        <w:spacing w:after="0" w:line="239" w:lineRule="auto"/>
        <w:tabs>
          <w:tab w:leader="none" w:pos="20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0" w:type="dxa"/>
            <w:vAlign w:val="bottom"/>
            <w:gridSpan w:val="11"/>
          </w:tcPr>
          <w:p>
            <w:pPr>
              <w:ind w:left="68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380"/>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9"/>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2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Fifth Amendment to Hercules Loan and Security Agreement, dated September 30, 2024, by and among Axsome Therapeutics, Inc., the</w:t>
            </w:r>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Lenders who from time to time may be party thereto, and Hercules Capital, Inc., in its capacity as administrative agent and collateral agent</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for itself and the Lenders.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Axsome Therapeutics, Inc. Form of Stock Option Agreement pursuant to the Amended and Restated 2015 Omnibus Incentive</w:t>
            </w:r>
          </w:p>
        </w:tc>
        <w:tc>
          <w:tcPr>
            <w:tcW w:w="9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Compensation Plan.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Axsome Therapeutics, Inc. Form of Restricted Stock Unit Agreement (Non-Executives) pursuant to the Amended and Restated 2015</w:t>
            </w:r>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Omnibus Incentive Compensation Plan.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0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Axsome Therapeutics, Inc. Form of Restricted Stock Unit Agreement (Executives and Non-Employee Directors) pursuant to the Amended</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and Restated 2015 Omnibus Incentive Compensation Plan.</w:t>
            </w:r>
          </w:p>
        </w:tc>
        <w:tc>
          <w:tcPr>
            <w:tcW w:w="20" w:type="dxa"/>
            <w:vAlign w:val="bottom"/>
            <w:tcBorders>
              <w:bottom w:val="single" w:sz="8" w:color="0000EE"/>
            </w:tcBorders>
          </w:tcPr>
          <w:p>
            <w:pPr>
              <w:spacing w:after="0"/>
              <w:rPr>
                <w:sz w:val="17"/>
                <w:szCs w:val="17"/>
                <w:color w:val="auto"/>
              </w:rPr>
            </w:pPr>
          </w:p>
        </w:tc>
        <w:tc>
          <w:tcPr>
            <w:tcW w:w="58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13a-14(a)/15d-14(a), as adopted pursuant to Section 302 of the Sarbanes-</w:t>
            </w:r>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13a-14(a)/15d-14(a), as adopted pursuant to Section 302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7"/>
                <w:szCs w:val="17"/>
                <w:color w:val="auto"/>
              </w:rPr>
            </w:pPr>
          </w:p>
        </w:tc>
        <w:tc>
          <w:tcPr>
            <w:tcW w:w="914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 as adopted pursuant to Section 906 of the Sarbanes-Oxley Act of</w:t>
            </w: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2002 (furnished herewith).</w:t>
            </w:r>
          </w:p>
        </w:tc>
        <w:tc>
          <w:tcPr>
            <w:tcW w:w="20" w:type="dxa"/>
            <w:vAlign w:val="bottom"/>
            <w:tcBorders>
              <w:bottom w:val="single" w:sz="8" w:color="0000EE"/>
            </w:tcBorders>
          </w:tcPr>
          <w:p>
            <w:pPr>
              <w:spacing w:after="0"/>
              <w:rPr>
                <w:sz w:val="17"/>
                <w:szCs w:val="17"/>
                <w:color w:val="auto"/>
              </w:rPr>
            </w:pPr>
          </w:p>
        </w:tc>
        <w:tc>
          <w:tcPr>
            <w:tcW w:w="81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9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 as adopted pursuant to Section 906 of the Sarbanes-Oxley Act of</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2002 (furnished herewith).</w:t>
            </w:r>
          </w:p>
        </w:tc>
        <w:tc>
          <w:tcPr>
            <w:tcW w:w="20" w:type="dxa"/>
            <w:vAlign w:val="bottom"/>
            <w:tcBorders>
              <w:bottom w:val="single" w:sz="8" w:color="0000EE"/>
            </w:tcBorders>
          </w:tcPr>
          <w:p>
            <w:pPr>
              <w:spacing w:after="0"/>
              <w:rPr>
                <w:sz w:val="17"/>
                <w:szCs w:val="17"/>
                <w:color w:val="auto"/>
              </w:rPr>
            </w:pPr>
          </w:p>
        </w:tc>
        <w:tc>
          <w:tcPr>
            <w:tcW w:w="81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6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right="40" w:firstLine="8"/>
        <w:spacing w:after="0" w:line="261" w:lineRule="auto"/>
        <w:tabs>
          <w:tab w:leader="none" w:pos="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to and certain provisions of this exhibit have been omitted pursuant to Item 601(b)(10)(iv) of Regulation S-K as they contain information that is both not material and of the type that the registrant treats as private or confidential. The registrant agrees to supplementally furnish an unredacted copy of this exhibit, including any exhibit or schedule hereto, to the SEC upon its request; however, the registrant may request confidential treatment of such unredacted copy.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54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34"/>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65"/>
        </w:trPr>
        <w:tc>
          <w:tcPr>
            <w:tcW w:w="37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7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1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Nick Pizzie</w:t>
            </w:r>
          </w:p>
        </w:tc>
      </w:tr>
      <w:tr>
        <w:trPr>
          <w:trHeight w:val="234"/>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Nick Pizzie</w:t>
            </w:r>
          </w:p>
        </w:tc>
      </w:tr>
      <w:tr>
        <w:trPr>
          <w:trHeight w:val="265"/>
        </w:trPr>
        <w:tc>
          <w:tcPr>
            <w:tcW w:w="37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7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04"/>
        </w:trPr>
        <w:tc>
          <w:tcPr>
            <w:tcW w:w="3700" w:type="dxa"/>
            <w:vAlign w:val="bottom"/>
          </w:tcPr>
          <w:p>
            <w:pPr>
              <w:spacing w:after="0"/>
              <w:rPr>
                <w:sz w:val="24"/>
                <w:szCs w:val="24"/>
                <w:color w:val="auto"/>
              </w:rPr>
            </w:pPr>
          </w:p>
        </w:tc>
        <w:tc>
          <w:tcPr>
            <w:tcW w:w="23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114</w:t>
            </w:r>
          </w:p>
        </w:tc>
        <w:tc>
          <w:tcPr>
            <w:tcW w:w="516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Copy</w:t>
      </w:r>
    </w:p>
    <w:p>
      <w:pPr>
        <w:spacing w:after="0" w:line="224" w:lineRule="exact"/>
        <w:rPr>
          <w:sz w:val="20"/>
          <w:szCs w:val="20"/>
          <w:color w:val="auto"/>
        </w:rPr>
      </w:pPr>
    </w:p>
    <w:p>
      <w:pPr>
        <w:jc w:val="both"/>
        <w:ind w:firstLine="8"/>
        <w:spacing w:after="0" w:line="261" w:lineRule="auto"/>
        <w:tabs>
          <w:tab w:leader="none" w:pos="6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to and certain provisions of this exhibit have been omitted pursuant to Item 601(b)(10)(iv) of Regulation S-K as they contain information that is both not material and of the type that the registrant treats as private or confidential. The registrant agrees to supplementally furnish an unredacted copy of this exhibit, including any exhibit or schedule hereto, to the SEC upon its request; however, the registrant may request confidential treatment of such unredacted copy.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AMENDMENT TO LOAN AND SECURITY AGREEMENT</w:t>
      </w:r>
    </w:p>
    <w:p>
      <w:pPr>
        <w:spacing w:after="0" w:line="22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9"/>
          <w:szCs w:val="19"/>
          <w:color w:val="auto"/>
        </w:rPr>
        <w:t>THIS FIFTH AMENDMENT TO LOAN AND SECURITY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September 30, 2024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 is entered into by and among AXSOME THERAPEUTICS, INC., a Delaware corporation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the several banks and other financial institutions or entities party hereto as Lender, constituting the Required Lenders and HERCULES CAPITAL, INC., a Maryland corporation, in its capacity as administrative agent and collateral agent for Lender (in such capacity, “</w:t>
      </w: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9"/>
          <w:szCs w:val="19"/>
          <w:color w:val="auto"/>
        </w:rPr>
        <w:t>Borrower, Lenders and Agent are parties to that certain Loan and Security Agreement, dated as of September 25, 2020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amended by the First Amendment to Loan and Security Agreement dated as of October 14, 2021, the Second Amendment to Loan and Security Agreement dated as of March 27, 2022, the Third Amendment to Loan and Security Agreement dated as of January 9, 2023, and the Waiver and Fourth Amendment to Loan and Security Agreement dated as of May 8, 2023, the “</w:t>
      </w:r>
      <w:r>
        <w:rPr>
          <w:rFonts w:ascii="Times New Roman" w:cs="Times New Roman" w:eastAsia="Times New Roman" w:hAnsi="Times New Roman"/>
          <w:sz w:val="19"/>
          <w:szCs w:val="19"/>
          <w:u w:val="single" w:color="auto"/>
          <w:color w:val="auto"/>
        </w:rPr>
        <w:t>Existing Loan Agreement</w:t>
      </w:r>
      <w:r>
        <w:rPr>
          <w:rFonts w:ascii="Times New Roman" w:cs="Times New Roman" w:eastAsia="Times New Roman" w:hAnsi="Times New Roman"/>
          <w:sz w:val="19"/>
          <w:szCs w:val="19"/>
          <w:color w:val="auto"/>
        </w:rPr>
        <w:t>”; and the Existing Loan Agreement, as amended by this Amendment and as further amended, restated, supplemented or otherwise modified from time to time, the “</w:t>
      </w:r>
      <w:r>
        <w:rPr>
          <w:rFonts w:ascii="Times New Roman" w:cs="Times New Roman" w:eastAsia="Times New Roman" w:hAnsi="Times New Roman"/>
          <w:sz w:val="19"/>
          <w:szCs w:val="19"/>
          <w:u w:val="single" w:color="auto"/>
          <w:color w:val="auto"/>
        </w:rPr>
        <w:t>Loan Agreement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left="1020" w:hanging="26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Lenders and Agent desire to modify the terms of the Existing Loan Agreement as set forth in this Amendment.</w:t>
      </w:r>
    </w:p>
    <w:p>
      <w:pPr>
        <w:spacing w:after="0" w:line="21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Accordingly, the parties, for good and valuable consideration, hereto agree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1Definitions; Interpretation.</w:t>
      </w:r>
    </w:p>
    <w:p>
      <w:pPr>
        <w:spacing w:after="0" w:line="216" w:lineRule="exact"/>
        <w:rPr>
          <w:sz w:val="20"/>
          <w:szCs w:val="20"/>
          <w:color w:val="auto"/>
        </w:rPr>
      </w:pPr>
    </w:p>
    <w:p>
      <w:pPr>
        <w:ind w:firstLine="757"/>
        <w:spacing w:after="0" w:line="273"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Defined in Loan Agreement</w:t>
      </w:r>
      <w:r>
        <w:rPr>
          <w:rFonts w:ascii="Times New Roman" w:cs="Times New Roman" w:eastAsia="Times New Roman" w:hAnsi="Times New Roman"/>
          <w:sz w:val="20"/>
          <w:szCs w:val="20"/>
          <w:color w:val="auto"/>
        </w:rPr>
        <w:t>. All capitalized terms used in this Amendment (including in the recitals hereof)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defined herein shall have the meanings assigned to them in the Loan Agreement.</w:t>
      </w:r>
    </w:p>
    <w:p>
      <w:pPr>
        <w:spacing w:after="0" w:line="151"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Rules of Construction</w:t>
      </w:r>
      <w:r>
        <w:rPr>
          <w:rFonts w:ascii="Times New Roman" w:cs="Times New Roman" w:eastAsia="Times New Roman" w:hAnsi="Times New Roman"/>
          <w:sz w:val="20"/>
          <w:szCs w:val="20"/>
          <w:color w:val="auto"/>
        </w:rPr>
        <w:t>. The rules of construction that appear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Loan Agreement shall be applicable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and are incorporated herein by this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2Amendments to the Loan Agreement.</w:t>
      </w:r>
    </w:p>
    <w:p>
      <w:pPr>
        <w:spacing w:after="0" w:line="220" w:lineRule="exact"/>
        <w:rPr>
          <w:sz w:val="20"/>
          <w:szCs w:val="20"/>
          <w:color w:val="auto"/>
        </w:rPr>
      </w:pPr>
    </w:p>
    <w:p>
      <w:pPr>
        <w:ind w:firstLine="757"/>
        <w:spacing w:after="0" w:line="269"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satisfaction of the conditions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hereof, the Existing Loan Agreement is hereby amended as follows effective as of the Amendment Effective Date:</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New Definitions</w:t>
      </w:r>
      <w:r>
        <w:rPr>
          <w:rFonts w:ascii="Times New Roman" w:cs="Times New Roman" w:eastAsia="Times New Roman" w:hAnsi="Times New Roman"/>
          <w:sz w:val="20"/>
          <w:szCs w:val="20"/>
          <w:color w:val="auto"/>
        </w:rPr>
        <w:t>. The following definitions are added to Section 1.1 in their proper alphabetical order: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“Fifth Amendment Closing Date” means September 30, 2024.</w:t>
      </w:r>
    </w:p>
    <w:p>
      <w:pPr>
        <w:spacing w:after="0" w:line="216"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color w:val="auto"/>
        </w:rPr>
        <w:t>“Permitted Receivables Factoring Agreement” means an accounts receivable factoring agreement which permits Borrower to sell specific receivables to a non-affiliated third party factoring company in exchange for cash payments, which agreement shall be on terms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5" w:name="page116"/>
    <w:bookmarkEnd w:id="115"/>
    <w:p>
      <w:pPr>
        <w:ind w:left="760"/>
        <w:spacing w:after="0" w:line="269" w:lineRule="auto"/>
        <w:rPr>
          <w:sz w:val="20"/>
          <w:szCs w:val="20"/>
          <w:color w:val="auto"/>
        </w:rPr>
      </w:pPr>
      <w:r>
        <w:rPr>
          <w:rFonts w:ascii="Times New Roman" w:cs="Times New Roman" w:eastAsia="Times New Roman" w:hAnsi="Times New Roman"/>
          <w:sz w:val="20"/>
          <w:szCs w:val="20"/>
          <w:color w:val="auto"/>
        </w:rPr>
        <w:t>conditions reasonably satisfactory to Agent (including that there shall be no Liens on any other Collateral and that such agreement is on commercially reasonable terms and subject to a maximum capped amount of advances at any given time).</w:t>
      </w:r>
    </w:p>
    <w:p>
      <w:pPr>
        <w:spacing w:after="0" w:line="159" w:lineRule="exact"/>
        <w:rPr>
          <w:sz w:val="20"/>
          <w:szCs w:val="20"/>
          <w:color w:val="auto"/>
        </w:rPr>
      </w:pPr>
    </w:p>
    <w:p>
      <w:pPr>
        <w:ind w:left="760" w:right="560" w:firstLine="749"/>
        <w:spacing w:after="0" w:line="269" w:lineRule="auto"/>
        <w:rPr>
          <w:sz w:val="20"/>
          <w:szCs w:val="20"/>
          <w:color w:val="auto"/>
        </w:rPr>
      </w:pPr>
      <w:r>
        <w:rPr>
          <w:rFonts w:ascii="Times New Roman" w:cs="Times New Roman" w:eastAsia="Times New Roman" w:hAnsi="Times New Roman"/>
          <w:sz w:val="20"/>
          <w:szCs w:val="20"/>
          <w:color w:val="auto"/>
        </w:rPr>
        <w:t>“Performance Covenant D” means at all times Borrower’s Market Capitalization exceeds One Billion Five Hundred Million Dollars ($1,500,000,000).</w:t>
      </w:r>
    </w:p>
    <w:p>
      <w:pPr>
        <w:spacing w:after="0" w:line="159" w:lineRule="exact"/>
        <w:rPr>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Amended and Restated Definitions</w:t>
      </w:r>
      <w:r>
        <w:rPr>
          <w:rFonts w:ascii="Times New Roman" w:cs="Times New Roman" w:eastAsia="Times New Roman" w:hAnsi="Times New Roman"/>
          <w:sz w:val="20"/>
          <w:szCs w:val="20"/>
          <w:color w:val="auto"/>
        </w:rPr>
        <w:t>. The following definitions are hereby amended and restated as follows:</w:t>
      </w:r>
    </w:p>
    <w:p>
      <w:pPr>
        <w:spacing w:after="0" w:line="216"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20"/>
          <w:szCs w:val="20"/>
          <w:color w:val="auto"/>
        </w:rPr>
        <w:t xml:space="preserve">“Performance Covenant A” means satisfaction of each of the following at all times: (i) Borrower’s Market Capitalization exceeds One Billion Dollars ($1,000,000,000) and (ii) Borrower maintains Qualified Cash in an amount not less than thirty percent (30%) of the sum of the outstanding principal amount of the Term Loan Advances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w:t>
      </w:r>
    </w:p>
    <w:p>
      <w:pPr>
        <w:spacing w:after="0" w:line="174" w:lineRule="exact"/>
        <w:rPr>
          <w:sz w:val="20"/>
          <w:szCs w:val="20"/>
          <w:color w:val="auto"/>
        </w:rPr>
      </w:pPr>
    </w:p>
    <w:p>
      <w:pPr>
        <w:jc w:val="both"/>
        <w:ind w:left="7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“Performance Covenant B” means Borrower at all times maintains Qualified Cash in an amount not less than fifty percent (50%) of the sum of the outstanding principal amount of the Term Loan advances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w:t>
      </w:r>
    </w:p>
    <w:p>
      <w:pPr>
        <w:spacing w:after="0" w:line="159" w:lineRule="exact"/>
        <w:rPr>
          <w:sz w:val="20"/>
          <w:szCs w:val="20"/>
          <w:color w:val="auto"/>
        </w:rPr>
      </w:pPr>
    </w:p>
    <w:p>
      <w:pPr>
        <w:jc w:val="both"/>
        <w:ind w:left="760" w:right="320" w:firstLine="749"/>
        <w:spacing w:after="0" w:line="254" w:lineRule="auto"/>
        <w:rPr>
          <w:sz w:val="20"/>
          <w:szCs w:val="20"/>
          <w:color w:val="auto"/>
        </w:rPr>
      </w:pPr>
      <w:r>
        <w:rPr>
          <w:rFonts w:ascii="Times New Roman" w:cs="Times New Roman" w:eastAsia="Times New Roman" w:hAnsi="Times New Roman"/>
          <w:sz w:val="20"/>
          <w:szCs w:val="20"/>
          <w:color w:val="auto"/>
        </w:rPr>
        <w:t>“Performance Covenant C” means, beginning with Borrower’s fiscal quarter ending September 30, 2024, and for each quarter thereafter, Borrower achieves T6M Net Product Revenue in an amount equal to at least the amount set forth on Schedule 7.20(b) opposite the last day of each fiscal quarter identified in the table therein.</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“Tranche 1D Draw Period” means the period beginning on April 1, 2025, and ending on June 15, 2025.</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“Tranche 1E Draw Period” means the period beginning on October 1, 2025, and ending on December 15, 2025.</w:t>
      </w:r>
    </w:p>
    <w:p>
      <w:pPr>
        <w:spacing w:after="0" w:line="216" w:lineRule="exact"/>
        <w:rPr>
          <w:sz w:val="20"/>
          <w:szCs w:val="20"/>
          <w:color w:val="auto"/>
        </w:rPr>
      </w:pPr>
    </w:p>
    <w:p>
      <w:pPr>
        <w:jc w:val="both"/>
        <w:ind w:left="760" w:firstLine="749"/>
        <w:spacing w:after="0" w:line="246" w:lineRule="auto"/>
        <w:rPr>
          <w:sz w:val="20"/>
          <w:szCs w:val="20"/>
          <w:color w:val="auto"/>
        </w:rPr>
      </w:pPr>
      <w:r>
        <w:rPr>
          <w:rFonts w:ascii="Times New Roman" w:cs="Times New Roman" w:eastAsia="Times New Roman" w:hAnsi="Times New Roman"/>
          <w:sz w:val="20"/>
          <w:szCs w:val="20"/>
          <w:color w:val="auto"/>
        </w:rPr>
        <w:t>“Tranche 3 Commitment” means as to any Lender, the obligation of such Lender, if any, to make Term Loan Advances to Borrowers in a principal amount not to exceed the amount set forth under the heading “Tranche 3 Term Commitment” opposite such Lender’s name on Schedule 1.1, plus (i) the excess, if any, of the Tranche 1D Commitment over the aggregate original principal amount of the Tranche 1D Advances, plus (ii) the excess, if any, of the Tranche 1E Commitment over the aggregate original principal amount of the Tranche 1E Advances.</w:t>
      </w:r>
    </w:p>
    <w:p>
      <w:pPr>
        <w:spacing w:after="0" w:line="185" w:lineRule="exact"/>
        <w:rPr>
          <w:sz w:val="20"/>
          <w:szCs w:val="20"/>
          <w:color w:val="auto"/>
        </w:rPr>
      </w:pPr>
    </w:p>
    <w:p>
      <w:pPr>
        <w:jc w:val="both"/>
        <w:ind w:left="1500"/>
        <w:spacing w:after="0"/>
        <w:tabs>
          <w:tab w:leader="none" w:pos="2020" w:val="left"/>
        </w:tabs>
        <w:rPr>
          <w:sz w:val="20"/>
          <w:szCs w:val="20"/>
          <w:color w:val="auto"/>
        </w:rPr>
      </w:pPr>
      <w:r>
        <w:rPr>
          <w:rFonts w:ascii="Times New Roman" w:cs="Times New Roman" w:eastAsia="Times New Roman" w:hAnsi="Times New Roman"/>
          <w:sz w:val="20"/>
          <w:szCs w:val="20"/>
          <w:u w:val="single" w:color="auto"/>
          <w:color w:val="auto"/>
        </w:rPr>
        <w:t>(iii)</w:t>
      </w:r>
      <w:r>
        <w:rPr>
          <w:sz w:val="20"/>
          <w:szCs w:val="20"/>
          <w:color w:val="auto"/>
        </w:rPr>
        <w:tab/>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The defined term “Permitted Indebtedness” as set forth in Section 1.1 is hereby amended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194" w:lineRule="exact"/>
        <w:rPr>
          <w:sz w:val="20"/>
          <w:szCs w:val="20"/>
          <w:color w:val="auto"/>
        </w:rPr>
      </w:pPr>
    </w:p>
    <w:p>
      <w:pPr>
        <w:ind w:left="2560" w:hanging="306"/>
        <w:spacing w:after="0"/>
        <w:tabs>
          <w:tab w:leader="none" w:pos="256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deleting the text “and” immediately before subclause (xvi) and (ii) adding the following new subclause</w:t>
      </w:r>
    </w:p>
    <w:p>
      <w:pPr>
        <w:spacing w:after="0" w:line="2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following subclause (xv) to read as follows:</w:t>
      </w:r>
    </w:p>
    <w:p>
      <w:pPr>
        <w:spacing w:after="0" w:line="194" w:lineRule="exact"/>
        <w:rPr>
          <w:sz w:val="20"/>
          <w:szCs w:val="20"/>
          <w:color w:val="auto"/>
        </w:rPr>
      </w:pPr>
    </w:p>
    <w:p>
      <w:pPr>
        <w:ind w:left="2260" w:right="680"/>
        <w:spacing w:after="0" w:line="269" w:lineRule="auto"/>
        <w:rPr>
          <w:sz w:val="20"/>
          <w:szCs w:val="20"/>
          <w:color w:val="auto"/>
        </w:rPr>
      </w:pPr>
      <w:r>
        <w:rPr>
          <w:rFonts w:ascii="Times New Roman" w:cs="Times New Roman" w:eastAsia="Times New Roman" w:hAnsi="Times New Roman"/>
          <w:sz w:val="20"/>
          <w:szCs w:val="20"/>
          <w:color w:val="auto"/>
        </w:rPr>
        <w:t>“(xvi) Indebtedness (if any), to the extent characterized as such, of the Borrower incurred pursuant to the Permitted Receivables Factoring Agreement; and”</w:t>
      </w:r>
    </w:p>
    <w:p>
      <w:pPr>
        <w:spacing w:after="0" w:line="159" w:lineRule="exact"/>
        <w:rPr>
          <w:sz w:val="20"/>
          <w:szCs w:val="20"/>
          <w:color w:val="auto"/>
        </w:rPr>
      </w:pPr>
    </w:p>
    <w:p>
      <w:pPr>
        <w:ind w:left="2560" w:hanging="306"/>
        <w:spacing w:after="0"/>
        <w:tabs>
          <w:tab w:leader="none" w:pos="256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renumbering existing subclause (xvi) as subclause (xvii).</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Permitted Transfers</w:t>
      </w:r>
      <w:r>
        <w:rPr>
          <w:rFonts w:ascii="Times New Roman" w:cs="Times New Roman" w:eastAsia="Times New Roman" w:hAnsi="Times New Roman"/>
          <w:sz w:val="20"/>
          <w:szCs w:val="20"/>
          <w:color w:val="auto"/>
        </w:rPr>
        <w:t>. The defined term “Permitted Transfers” as set forth in Section 1.1 is hereby amended by: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ind w:left="-440" w:right="180" w:firstLine="2254"/>
        <w:spacing w:after="0" w:line="269" w:lineRule="auto"/>
        <w:tabs>
          <w:tab w:leader="none" w:pos="210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deleting the text “and” immediately before subclause (x) and (ii) adding the following new subclause (x) immediately following subclause (ix) to read as follows:</w:t>
      </w:r>
    </w:p>
    <w:p>
      <w:pPr>
        <w:spacing w:after="0" w:line="15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“(xvi) transfers by the Borrower pursuant to the Permitted Receivables Factoring Agreement; and”</w:t>
      </w:r>
    </w:p>
    <w:p>
      <w:pPr>
        <w:spacing w:after="0" w:line="216" w:lineRule="exact"/>
        <w:rPr>
          <w:sz w:val="20"/>
          <w:szCs w:val="20"/>
          <w:color w:val="auto"/>
        </w:rPr>
      </w:pPr>
    </w:p>
    <w:p>
      <w:pPr>
        <w:ind w:left="2120" w:hanging="306"/>
        <w:spacing w:after="0"/>
        <w:tabs>
          <w:tab w:leader="none" w:pos="212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renumbering existing subclause (x) as subclause (xi).</w:t>
      </w:r>
    </w:p>
    <w:p>
      <w:pPr>
        <w:spacing w:after="0" w:line="215" w:lineRule="exact"/>
        <w:rPr>
          <w:rFonts w:ascii="Times New Roman" w:cs="Times New Roman" w:eastAsia="Times New Roman" w:hAnsi="Times New Roman"/>
          <w:sz w:val="20"/>
          <w:szCs w:val="20"/>
          <w:color w:val="auto"/>
        </w:rPr>
      </w:pPr>
    </w:p>
    <w:p>
      <w:pPr>
        <w:ind w:left="1600" w:hanging="535"/>
        <w:spacing w:after="0"/>
        <w:tabs>
          <w:tab w:leader="none" w:pos="1600" w:val="left"/>
        </w:tabs>
        <w:numPr>
          <w:ilvl w:val="0"/>
          <w:numId w:val="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Section 2.2(a)(v)</w:t>
      </w:r>
      <w:r>
        <w:rPr>
          <w:rFonts w:ascii="Times New Roman" w:cs="Times New Roman" w:eastAsia="Times New Roman" w:hAnsi="Times New Roman"/>
          <w:sz w:val="20"/>
          <w:szCs w:val="20"/>
          <w:color w:val="auto"/>
        </w:rPr>
        <w:t>. Section 2.2(a)(v) is hereby amended and restated as follows:</w:t>
      </w:r>
    </w:p>
    <w:p>
      <w:pPr>
        <w:spacing w:after="0" w:line="216" w:lineRule="exact"/>
        <w:rPr>
          <w:sz w:val="20"/>
          <w:szCs w:val="20"/>
          <w:color w:val="auto"/>
        </w:rPr>
      </w:pPr>
    </w:p>
    <w:p>
      <w:pPr>
        <w:jc w:val="both"/>
        <w:ind w:left="320" w:firstLine="749"/>
        <w:spacing w:after="0" w:line="246" w:lineRule="auto"/>
        <w:rPr>
          <w:sz w:val="20"/>
          <w:szCs w:val="20"/>
          <w:color w:val="auto"/>
        </w:rPr>
      </w:pPr>
      <w:r>
        <w:rPr>
          <w:rFonts w:ascii="Times New Roman" w:cs="Times New Roman" w:eastAsia="Times New Roman" w:hAnsi="Times New Roman"/>
          <w:sz w:val="20"/>
          <w:szCs w:val="20"/>
          <w:color w:val="auto"/>
        </w:rPr>
        <w:t>“(v) Subject to the terms and conditions of this Agreement, during the Tranche 3 Draw Period, subject to approval by the Lenders’ investment committee in its sole and unfettered discretion, Borrower may request and the Lenders shall severally (and not jointly) make one or more additional Term Loan Advances in an amount not to exceed their respective Tranche 3 Commitments, in an aggregate principal amount up to the Tranche 3 Commitments in minimum increments of Five Million Dollars ($5,000,000) (each, a “Tranche 3 Advance”).”</w:t>
      </w:r>
    </w:p>
    <w:p>
      <w:pPr>
        <w:spacing w:after="0" w:line="185" w:lineRule="exact"/>
        <w:rPr>
          <w:sz w:val="20"/>
          <w:szCs w:val="20"/>
          <w:color w:val="auto"/>
        </w:rPr>
      </w:pPr>
    </w:p>
    <w:p>
      <w:pPr>
        <w:ind w:left="1600" w:hanging="535"/>
        <w:spacing w:after="0"/>
        <w:tabs>
          <w:tab w:leader="none" w:pos="1600" w:val="left"/>
        </w:tabs>
        <w:numPr>
          <w:ilvl w:val="0"/>
          <w:numId w:val="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Section 7.20(a)(i)</w:t>
      </w:r>
      <w:r>
        <w:rPr>
          <w:rFonts w:ascii="Times New Roman" w:cs="Times New Roman" w:eastAsia="Times New Roman" w:hAnsi="Times New Roman"/>
          <w:sz w:val="20"/>
          <w:szCs w:val="20"/>
          <w:color w:val="auto"/>
        </w:rPr>
        <w:t>. Section 7.20(a)(i) is hereby amended and restated as follows:</w:t>
      </w:r>
    </w:p>
    <w:p>
      <w:pPr>
        <w:spacing w:after="0" w:line="216" w:lineRule="exact"/>
        <w:rPr>
          <w:sz w:val="20"/>
          <w:szCs w:val="20"/>
          <w:color w:val="auto"/>
        </w:rPr>
      </w:pPr>
    </w:p>
    <w:p>
      <w:pPr>
        <w:jc w:val="both"/>
        <w:ind w:left="3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“(i) Upon the Third Amendment Closing Date, Borrower shall thereafter maintain Qualified Cash in an amount greater than or equal to the sum of Thirty Million Dollars ($30,000000)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Qualified Cash A/P Amount at all times; provided that, compliance with the financial covenant set forth in this Section 7.20(a)(i) shall be conditionally waived during such times that Borrower’s Market Capitalization exceeds One Billion Five Hundred Million Dollars ($1,500,000,000); it being understood that if such condition is not satisfied, then testing will automatically be reinstated without any action or notice by or to any Person.”</w:t>
      </w:r>
    </w:p>
    <w:p>
      <w:pPr>
        <w:spacing w:after="0" w:line="185" w:lineRule="exact"/>
        <w:rPr>
          <w:sz w:val="20"/>
          <w:szCs w:val="20"/>
          <w:color w:val="auto"/>
        </w:rPr>
      </w:pPr>
    </w:p>
    <w:p>
      <w:pPr>
        <w:ind w:left="1600" w:hanging="535"/>
        <w:spacing w:after="0"/>
        <w:tabs>
          <w:tab w:leader="none" w:pos="1600" w:val="left"/>
        </w:tabs>
        <w:numPr>
          <w:ilvl w:val="0"/>
          <w:numId w:val="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Section 7.20(b). Section 7.20(b) is hereby amended and restated as follows:</w:t>
      </w:r>
    </w:p>
    <w:p>
      <w:pPr>
        <w:spacing w:after="0" w:line="216" w:lineRule="exact"/>
        <w:rPr>
          <w:sz w:val="20"/>
          <w:szCs w:val="20"/>
          <w:color w:val="auto"/>
        </w:rPr>
      </w:pPr>
    </w:p>
    <w:p>
      <w:pPr>
        <w:ind w:left="320" w:right="360" w:firstLine="749"/>
        <w:spacing w:after="0" w:line="254" w:lineRule="auto"/>
        <w:rPr>
          <w:sz w:val="20"/>
          <w:szCs w:val="20"/>
          <w:color w:val="auto"/>
        </w:rPr>
      </w:pPr>
      <w:r>
        <w:rPr>
          <w:rFonts w:ascii="Times New Roman" w:cs="Times New Roman" w:eastAsia="Times New Roman" w:hAnsi="Times New Roman"/>
          <w:sz w:val="20"/>
          <w:szCs w:val="20"/>
          <w:color w:val="auto"/>
        </w:rPr>
        <w:t>“(b) Performance Covenant. Beginning with the reporting period ending June 30, 2023, and at all times thereafter, Borrower shall satisfy either of (i) Performance Covenant A, Performance Covenant B or Performance Covenant D, tested at all times, or (ii) Performance Covenant C, tested quarterly.</w:t>
      </w:r>
    </w:p>
    <w:p>
      <w:pPr>
        <w:spacing w:after="0" w:line="174" w:lineRule="exact"/>
        <w:rPr>
          <w:sz w:val="20"/>
          <w:szCs w:val="20"/>
          <w:color w:val="auto"/>
        </w:rPr>
      </w:pPr>
    </w:p>
    <w:p>
      <w:pPr>
        <w:ind w:left="1600" w:hanging="535"/>
        <w:spacing w:after="0"/>
        <w:tabs>
          <w:tab w:leader="none" w:pos="1600"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 Section 7.23 is hereby amended and restated as follows:</w:t>
      </w:r>
    </w:p>
    <w:p>
      <w:pPr>
        <w:spacing w:after="0" w:line="216" w:lineRule="exact"/>
        <w:rPr>
          <w:sz w:val="20"/>
          <w:szCs w:val="20"/>
          <w:color w:val="auto"/>
        </w:rPr>
      </w:pPr>
    </w:p>
    <w:p>
      <w:pPr>
        <w:ind w:left="320" w:firstLine="749"/>
        <w:spacing w:after="0" w:line="264" w:lineRule="auto"/>
        <w:rPr>
          <w:sz w:val="20"/>
          <w:szCs w:val="20"/>
          <w:color w:val="auto"/>
        </w:rPr>
      </w:pPr>
      <w:r>
        <w:rPr>
          <w:rFonts w:ascii="Times New Roman" w:cs="Times New Roman" w:eastAsia="Times New Roman" w:hAnsi="Times New Roman"/>
          <w:sz w:val="19"/>
          <w:szCs w:val="19"/>
          <w:color w:val="auto"/>
        </w:rPr>
        <w:t>“7.23. Malta Subsidiary. Notwithstanding Section 2(iii) of the Joinder Agreement dated May 9, 2022, by and between Malta Subsidiary and Agent, Malta Subsidiary may request an Advance from the Lenders in an aggregate principal amount of up to</w:t>
      </w:r>
    </w:p>
    <w:p>
      <w:pPr>
        <w:jc w:val="both"/>
        <w:ind w:left="320" w:hanging="3"/>
        <w:spacing w:after="0" w:line="242" w:lineRule="auto"/>
        <w:tabs>
          <w:tab w:leader="none" w:pos="80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Borrower may request an Advance in such amount, in each case, subject to the terms and conditions of the Agreement. The Malta Subsidiary may not hold Cash outside of the United States at any time in excess of the sum of (i) [***] and (ii) [***].</w:t>
      </w:r>
    </w:p>
    <w:p>
      <w:pPr>
        <w:spacing w:after="0" w:line="187" w:lineRule="exact"/>
        <w:rPr>
          <w:sz w:val="20"/>
          <w:szCs w:val="20"/>
          <w:color w:val="auto"/>
        </w:rPr>
      </w:pPr>
    </w:p>
    <w:p>
      <w:pPr>
        <w:ind w:left="1060" w:right="1700" w:firstLine="5"/>
        <w:spacing w:after="0" w:line="464" w:lineRule="auto"/>
        <w:tabs>
          <w:tab w:leader="none" w:pos="1599"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Sections 11.2(a) and (b)</w:t>
      </w:r>
      <w:r>
        <w:rPr>
          <w:rFonts w:ascii="Times New Roman" w:cs="Times New Roman" w:eastAsia="Times New Roman" w:hAnsi="Times New Roman"/>
          <w:sz w:val="20"/>
          <w:szCs w:val="20"/>
          <w:color w:val="auto"/>
        </w:rPr>
        <w:t>. Sections 11.2(a) and (b) are hereby amended and restated as follows: “(a) If to Agent:</w:t>
      </w:r>
    </w:p>
    <w:p>
      <w:pPr>
        <w:spacing w:after="0" w:line="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Legal Department</w:t>
      </w:r>
    </w:p>
    <w:p>
      <w:pPr>
        <w:ind w:left="1100"/>
        <w:spacing w:after="0"/>
        <w:rPr>
          <w:sz w:val="20"/>
          <w:szCs w:val="20"/>
          <w:color w:val="auto"/>
        </w:rPr>
      </w:pPr>
      <w:r>
        <w:rPr>
          <w:rFonts w:ascii="Times New Roman" w:cs="Times New Roman" w:eastAsia="Times New Roman" w:hAnsi="Times New Roman"/>
          <w:sz w:val="20"/>
          <w:szCs w:val="20"/>
          <w:color w:val="auto"/>
        </w:rPr>
        <w:t>Attention: Chief Legal Officer and Michael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13" w:right="339" w:bottom="1440" w:gutter="0" w:footer="0" w:header="0"/>
        </w:sectPr>
      </w:pPr>
    </w:p>
    <w:bookmarkStart w:id="117" w:name="page118"/>
    <w:bookmarkEnd w:id="117"/>
    <w:p>
      <w:pPr>
        <w:ind w:left="760"/>
        <w:spacing w:after="0"/>
        <w:rPr>
          <w:sz w:val="20"/>
          <w:szCs w:val="20"/>
          <w:color w:val="auto"/>
        </w:rPr>
      </w:pPr>
      <w:r>
        <w:rPr>
          <w:rFonts w:ascii="Times New Roman" w:cs="Times New Roman" w:eastAsia="Times New Roman" w:hAnsi="Times New Roman"/>
          <w:sz w:val="20"/>
          <w:szCs w:val="20"/>
          <w:color w:val="auto"/>
        </w:rPr>
        <w:t>Dutra</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1 North B Street, Suite 2000</w:t>
      </w:r>
    </w:p>
    <w:p>
      <w:pPr>
        <w:ind w:left="1540"/>
        <w:spacing w:after="0"/>
        <w:rPr>
          <w:sz w:val="20"/>
          <w:szCs w:val="20"/>
          <w:color w:val="auto"/>
        </w:rPr>
      </w:pPr>
      <w:r>
        <w:rPr>
          <w:rFonts w:ascii="Times New Roman" w:cs="Times New Roman" w:eastAsia="Times New Roman" w:hAnsi="Times New Roman"/>
          <w:sz w:val="20"/>
          <w:szCs w:val="20"/>
          <w:color w:val="auto"/>
        </w:rPr>
        <w:t>San Mateo, CA 94401</w:t>
      </w:r>
    </w:p>
    <w:p>
      <w:pPr>
        <w:ind w:left="1540"/>
        <w:spacing w:after="0"/>
        <w:rPr>
          <w:sz w:val="20"/>
          <w:szCs w:val="20"/>
          <w:color w:val="auto"/>
        </w:rPr>
      </w:pPr>
      <w:r>
        <w:rPr>
          <w:rFonts w:ascii="Times New Roman" w:cs="Times New Roman" w:eastAsia="Times New Roman" w:hAnsi="Times New Roman"/>
          <w:sz w:val="20"/>
          <w:szCs w:val="20"/>
          <w:color w:val="auto"/>
        </w:rPr>
        <w:t>email: legal@htgc.com and mdutra@htgc.com</w:t>
      </w:r>
    </w:p>
    <w:p>
      <w:pPr>
        <w:ind w:left="1540"/>
        <w:spacing w:after="0"/>
        <w:rPr>
          <w:sz w:val="20"/>
          <w:szCs w:val="20"/>
          <w:color w:val="auto"/>
        </w:rPr>
      </w:pPr>
      <w:r>
        <w:rPr>
          <w:rFonts w:ascii="Times New Roman" w:cs="Times New Roman" w:eastAsia="Times New Roman" w:hAnsi="Times New Roman"/>
          <w:sz w:val="20"/>
          <w:szCs w:val="20"/>
          <w:color w:val="auto"/>
        </w:rPr>
        <w:t>Telephone: 650-289-3060</w:t>
      </w:r>
    </w:p>
    <w:p>
      <w:pPr>
        <w:spacing w:after="0" w:line="194"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If to the Lenders:</w:t>
      </w:r>
    </w:p>
    <w:p>
      <w:pPr>
        <w:spacing w:after="0" w:line="2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Legal Department</w:t>
      </w:r>
    </w:p>
    <w:p>
      <w:pPr>
        <w:ind w:left="1540"/>
        <w:spacing w:after="0"/>
        <w:rPr>
          <w:sz w:val="20"/>
          <w:szCs w:val="20"/>
          <w:color w:val="auto"/>
        </w:rPr>
      </w:pPr>
      <w:r>
        <w:rPr>
          <w:rFonts w:ascii="Times New Roman" w:cs="Times New Roman" w:eastAsia="Times New Roman" w:hAnsi="Times New Roman"/>
          <w:sz w:val="20"/>
          <w:szCs w:val="20"/>
          <w:color w:val="auto"/>
        </w:rPr>
        <w:t>Attention: Chief Legal Officer and Michael Dutra</w:t>
      </w:r>
    </w:p>
    <w:p>
      <w:pPr>
        <w:ind w:left="1540"/>
        <w:spacing w:after="0"/>
        <w:rPr>
          <w:sz w:val="20"/>
          <w:szCs w:val="20"/>
          <w:color w:val="auto"/>
        </w:rPr>
      </w:pPr>
      <w:r>
        <w:rPr>
          <w:rFonts w:ascii="Times New Roman" w:cs="Times New Roman" w:eastAsia="Times New Roman" w:hAnsi="Times New Roman"/>
          <w:sz w:val="20"/>
          <w:szCs w:val="20"/>
          <w:color w:val="auto"/>
        </w:rPr>
        <w:t>1 North B Street, Suite 2000</w:t>
      </w:r>
    </w:p>
    <w:p>
      <w:pPr>
        <w:ind w:left="1540"/>
        <w:spacing w:after="0"/>
        <w:rPr>
          <w:sz w:val="20"/>
          <w:szCs w:val="20"/>
          <w:color w:val="auto"/>
        </w:rPr>
      </w:pPr>
      <w:r>
        <w:rPr>
          <w:rFonts w:ascii="Times New Roman" w:cs="Times New Roman" w:eastAsia="Times New Roman" w:hAnsi="Times New Roman"/>
          <w:sz w:val="20"/>
          <w:szCs w:val="20"/>
          <w:color w:val="auto"/>
        </w:rPr>
        <w:t>San Mateo, CA 94401</w:t>
      </w:r>
    </w:p>
    <w:p>
      <w:pPr>
        <w:ind w:left="1540"/>
        <w:spacing w:after="0"/>
        <w:rPr>
          <w:sz w:val="20"/>
          <w:szCs w:val="20"/>
          <w:color w:val="auto"/>
        </w:rPr>
      </w:pPr>
      <w:r>
        <w:rPr>
          <w:rFonts w:ascii="Times New Roman" w:cs="Times New Roman" w:eastAsia="Times New Roman" w:hAnsi="Times New Roman"/>
          <w:sz w:val="20"/>
          <w:szCs w:val="20"/>
          <w:color w:val="auto"/>
        </w:rPr>
        <w:t>email: legal@htgc.com and mdutra@htgc.com</w:t>
      </w:r>
    </w:p>
    <w:p>
      <w:pPr>
        <w:ind w:left="1540"/>
        <w:spacing w:after="0"/>
        <w:rPr>
          <w:sz w:val="20"/>
          <w:szCs w:val="20"/>
          <w:color w:val="auto"/>
        </w:rPr>
      </w:pPr>
      <w:r>
        <w:rPr>
          <w:rFonts w:ascii="Times New Roman" w:cs="Times New Roman" w:eastAsia="Times New Roman" w:hAnsi="Times New Roman"/>
          <w:sz w:val="20"/>
          <w:szCs w:val="20"/>
          <w:color w:val="auto"/>
        </w:rPr>
        <w:t>Telephone: 650-289-3060”</w:t>
      </w:r>
    </w:p>
    <w:p>
      <w:pPr>
        <w:spacing w:after="0" w:line="194" w:lineRule="exact"/>
        <w:rPr>
          <w:sz w:val="20"/>
          <w:szCs w:val="20"/>
          <w:color w:val="auto"/>
        </w:rPr>
      </w:pPr>
    </w:p>
    <w:p>
      <w:pPr>
        <w:ind w:left="2040" w:hanging="535"/>
        <w:spacing w:after="0"/>
        <w:tabs>
          <w:tab w:leader="none" w:pos="2040" w:val="left"/>
        </w:tabs>
        <w:numPr>
          <w:ilvl w:val="0"/>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Exhibit E is hereby amended and replaced with Exhibit E attached hereto.</w:t>
      </w:r>
    </w:p>
    <w:p>
      <w:pPr>
        <w:spacing w:after="0" w:line="215"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Schedule 1.1</w:t>
      </w:r>
      <w:r>
        <w:rPr>
          <w:rFonts w:ascii="Times New Roman" w:cs="Times New Roman" w:eastAsia="Times New Roman" w:hAnsi="Times New Roman"/>
          <w:sz w:val="20"/>
          <w:szCs w:val="20"/>
          <w:color w:val="auto"/>
        </w:rPr>
        <w:t>. Schedule 1.1 is hereby amended and replaced with Schedule 1.1 attached hereto.</w:t>
      </w:r>
    </w:p>
    <w:p>
      <w:pPr>
        <w:spacing w:after="0" w:line="215"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Schedule 7.20(b)</w:t>
      </w:r>
      <w:r>
        <w:rPr>
          <w:rFonts w:ascii="Times New Roman" w:cs="Times New Roman" w:eastAsia="Times New Roman" w:hAnsi="Times New Roman"/>
          <w:sz w:val="20"/>
          <w:szCs w:val="20"/>
          <w:color w:val="auto"/>
        </w:rPr>
        <w:t>. A new Schedule 7.20(b) to the Loan Agreement is attached hereto.</w:t>
      </w:r>
    </w:p>
    <w:p>
      <w:pPr>
        <w:spacing w:after="0" w:line="212" w:lineRule="exact"/>
        <w:rPr>
          <w:sz w:val="20"/>
          <w:szCs w:val="20"/>
          <w:color w:val="auto"/>
        </w:rPr>
      </w:pPr>
    </w:p>
    <w:p>
      <w:pPr>
        <w:jc w:val="both"/>
        <w:ind w:firstLine="757"/>
        <w:spacing w:after="0" w:line="256" w:lineRule="auto"/>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References Within Existing Loan Agreement</w:t>
      </w:r>
      <w:r>
        <w:rPr>
          <w:rFonts w:ascii="Times New Roman" w:cs="Times New Roman" w:eastAsia="Times New Roman" w:hAnsi="Times New Roman"/>
          <w:sz w:val="20"/>
          <w:szCs w:val="20"/>
          <w:color w:val="auto"/>
        </w:rPr>
        <w:t>. Each reference in the Existing Loan Agreement to “this Agreement”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words “hereof,” “herein,” “hereunder,” or words of like import, shall mean and be a reference to the Existing Loan Agreement as amended by this Amendment. This Amendment shall be a Loan Document.</w:t>
      </w:r>
    </w:p>
    <w:p>
      <w:pPr>
        <w:spacing w:after="0" w:line="1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SECTION 3Conditions to Effectiveness of this Amendment</w:t>
      </w:r>
      <w:r>
        <w:rPr>
          <w:rFonts w:ascii="Times New Roman" w:cs="Times New Roman" w:eastAsia="Times New Roman" w:hAnsi="Times New Roman"/>
          <w:sz w:val="20"/>
          <w:szCs w:val="20"/>
          <w:color w:val="auto"/>
        </w:rPr>
        <w:t>. The effectiveness of this Amendment shall be subject to satisfaction of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following conditions precedent being met:</w:t>
      </w:r>
    </w:p>
    <w:p>
      <w:pPr>
        <w:spacing w:after="0" w:line="156" w:lineRule="exact"/>
        <w:rPr>
          <w:sz w:val="20"/>
          <w:szCs w:val="20"/>
          <w:color w:val="auto"/>
        </w:rPr>
      </w:pPr>
    </w:p>
    <w:p>
      <w:pPr>
        <w:ind w:left="1020" w:hanging="263"/>
        <w:spacing w:after="0"/>
        <w:tabs>
          <w:tab w:leader="none" w:pos="1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Agent’s receipt of this Amendment, executed by Agent, each Lender and Borrower; and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Amendment Effective Date, immediately after giving effect to the amendment of the Loan Agreement contemplated hereby: (i) the representations and warranties contained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be true and correct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and (ii) there exist no Events of Default or events that with the passage of time would result in an Event of Default.</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b w:val="1"/>
          <w:bCs w:val="1"/>
          <w:color w:val="auto"/>
        </w:rPr>
        <w:t>SECTION 4Representations and Warranties</w:t>
      </w:r>
      <w:r>
        <w:rPr>
          <w:rFonts w:ascii="Times New Roman" w:cs="Times New Roman" w:eastAsia="Times New Roman" w:hAnsi="Times New Roman"/>
          <w:sz w:val="20"/>
          <w:szCs w:val="20"/>
          <w:color w:val="auto"/>
        </w:rPr>
        <w:t>. To induce Agent and Lenders to enter into this Amendment, Borrower hereby confirms,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date hereof, (a) that the representations and warranties made by it in Section 5 of the Loan Agreement and in the other Loan Documents are true and correct in all material respects;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materiality qualifier shall not be applicable to any representations and warranties that already are qualified or modified by materiality in the text thereof and that any representations and warranties made as of a specific date are only true and correct in all material respects as of such date, and that no Event of Default has occurred and is continuing, (b) that no event that has had or could reasonably be expected to have a Material Adverse Effect has occurred and is continuing and Borrower is not aware of any event likely to occur that is reasonably expected to result in a Material Adverse Effect; (c) [reserved]; (d)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ind w:firstLine="509"/>
        <w:spacing w:after="0" w:line="258" w:lineRule="auto"/>
        <w:rPr>
          <w:sz w:val="20"/>
          <w:szCs w:val="20"/>
          <w:color w:val="auto"/>
        </w:rPr>
      </w:pPr>
      <w:r>
        <w:rPr>
          <w:rFonts w:ascii="Times New Roman" w:cs="Times New Roman" w:eastAsia="Times New Roman" w:hAnsi="Times New Roman"/>
          <w:sz w:val="19"/>
          <w:szCs w:val="19"/>
          <w:color w:val="auto"/>
        </w:rPr>
        <w:t xml:space="preserve">to or held by Lenders; (e)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(f)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each reference in Section 5 of the Loan Agreement to “this Agreement,” and the words “hereof,” “herein,” “hereunder,” or words of like import in such Section, shall mean and be a reference to the Loan Agreement as amended by this Amendment.</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5Tranche 2. </w:t>
      </w:r>
      <w:r>
        <w:rPr>
          <w:rFonts w:ascii="Times New Roman" w:cs="Times New Roman" w:eastAsia="Times New Roman" w:hAnsi="Times New Roman"/>
          <w:sz w:val="20"/>
          <w:szCs w:val="20"/>
          <w:color w:val="auto"/>
        </w:rPr>
        <w:t>Borrower, Agent and Lenders acknowledge and agree that no Tranche 2 Advances have been made and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July 1, 2024, the Tranche 2 Commitment has expired.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6Miscellaneous.</w:t>
      </w:r>
    </w:p>
    <w:p>
      <w:pPr>
        <w:spacing w:after="0" w:line="216" w:lineRule="exact"/>
        <w:rPr>
          <w:sz w:val="20"/>
          <w:szCs w:val="20"/>
          <w:color w:val="auto"/>
        </w:rPr>
      </w:pPr>
    </w:p>
    <w:p>
      <w:pPr>
        <w:ind w:left="1020" w:hanging="263"/>
        <w:spacing w:after="0"/>
        <w:tabs>
          <w:tab w:leader="none" w:pos="10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Documents Otherwise Not Affected; Reaffirmation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expressly amended pursuant hereto or referenced herein, the Loan Agreement and the other Loan Documents shall remain unchanged and in full force and effect and are hereby ratified and confirmed in all respects.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79" w:lineRule="exact"/>
        <w:rPr>
          <w:rFonts w:ascii="Times New Roman" w:cs="Times New Roman" w:eastAsia="Times New Roman" w:hAnsi="Times New Roman"/>
          <w:sz w:val="20"/>
          <w:szCs w:val="20"/>
          <w:u w:val="single" w:color="auto"/>
          <w:color w:val="auto"/>
        </w:rPr>
      </w:pPr>
    </w:p>
    <w:p>
      <w:pPr>
        <w:jc w:val="both"/>
        <w:ind w:firstLine="1505"/>
        <w:spacing w:after="0" w:line="243" w:lineRule="auto"/>
        <w:tabs>
          <w:tab w:leader="none" w:pos="2036" w:val="left"/>
        </w:tabs>
        <w:numPr>
          <w:ilvl w:val="1"/>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Borrower hereby expressly (1) reaffirms, ratifies and confirms all Secured Obligations under the Loan Agreement and the other Loan Documents, (2) reaffirms, ratifies and confirms the grant of security under Section 3.1 of the Loan Agreement, (3) reaffirms that such grant of security in the Collateral secures all Secured Obligations under the Loan Agreement, and with effect from (and including) the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89"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6" w:val="left"/>
        </w:tabs>
        <w:numPr>
          <w:ilvl w:val="1"/>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0" w:lineRule="exact"/>
        <w:rPr>
          <w:rFonts w:ascii="Times New Roman" w:cs="Times New Roman" w:eastAsia="Times New Roman" w:hAnsi="Times New Roman"/>
          <w:sz w:val="20"/>
          <w:szCs w:val="20"/>
          <w:u w:val="single" w:color="auto"/>
          <w:color w:val="auto"/>
        </w:rPr>
      </w:pPr>
    </w:p>
    <w:p>
      <w:pPr>
        <w:jc w:val="both"/>
        <w:ind w:firstLine="757"/>
        <w:spacing w:after="0" w:line="250"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For purposes of determining compliance with the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each Lender that has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Amendment Effective Date specifying its objection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757"/>
        <w:spacing w:after="0" w:line="242" w:lineRule="auto"/>
        <w:tabs>
          <w:tab w:leader="none" w:pos="10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In consideration of the agreements of Agent and each Lender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Borrower, on behalf of itself and its successors, assigns, and other legal representatives, hereby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and individually as a “</w:t>
      </w:r>
      <w:r>
        <w:rPr>
          <w:rFonts w:ascii="Times New Roman" w:cs="Times New Roman" w:eastAsia="Times New Roman" w:hAnsi="Times New Roman"/>
          <w:sz w:val="20"/>
          <w:szCs w:val="20"/>
          <w:u w:val="single" w:color="auto"/>
          <w:color w:val="auto"/>
        </w:rPr>
        <w:t>Releasee</w:t>
      </w:r>
      <w:r>
        <w:rPr>
          <w:rFonts w:ascii="Times New Roman" w:cs="Times New Roman" w:eastAsia="Times New Roman" w:hAnsi="Times New Roman"/>
          <w:sz w:val="20"/>
          <w:szCs w:val="20"/>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both at law and in equity, to the extent Borrower has actual knowledge as of the date hereof that it owns, holds, has or claims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Borrower has actual knowledge of could now be asserted or shall affect in any manner the final, absolute and unconditional nature of the release set forth above. The provisions of this section shall survive payment in full of the Secured Obligations, full performance of all the terms of this Amendment and the other Loan Documents.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releases set forth above, Borrower expressly and completely waives and relinquishes any and all rights and benefits that it has or may ever have pursuant to Section 1542 of the Civil Code of the State of California, or any other similar provision of law or principle of equity in any jurisdiction pertaining to the matters released herein. Section 1542 provides as follows:</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jc w:val="both"/>
        <w:ind w:firstLine="757"/>
        <w:spacing w:after="0" w:line="256" w:lineRule="auto"/>
        <w:tabs>
          <w:tab w:leader="none" w:pos="10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Reliance</w:t>
      </w:r>
      <w:r>
        <w:rPr>
          <w:rFonts w:ascii="Times New Roman" w:cs="Times New Roman" w:eastAsia="Times New Roman" w:hAnsi="Times New Roman"/>
          <w:sz w:val="20"/>
          <w:szCs w:val="20"/>
          <w:color w:val="auto"/>
        </w:rPr>
        <w:t>. Borrower hereby acknowledges and confirms to Agent and Lenders that Borrower is executing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basis of its own investigation and for its own reasons without reliance upon any agreement, representation, understanding or communication by or on behalf of any other Person.</w:t>
      </w:r>
    </w:p>
    <w:p>
      <w:pPr>
        <w:spacing w:after="0" w:line="168"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Borrower agrees to pay to Agent on the date hereof the reasonable and documented out-of-pocket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expenses of Agent and Lender party hereto, and the fees and disbursements of counsel to Agent and Lender party hereto in connection with the negotiation, preparation, execution and delivery of this Amendment and any other documents to be delivered in connection herewith on the Amendment Effective Date.</w:t>
      </w:r>
    </w:p>
    <w:p>
      <w:pPr>
        <w:spacing w:after="0" w:line="17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Amendment binds and is for the benefit of the successors and permitted assigns of each party.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0" w:name="page121"/>
    <w:bookmarkEnd w:id="120"/>
    <w:p>
      <w:pPr>
        <w:jc w:val="both"/>
        <w:ind w:firstLine="757"/>
        <w:spacing w:after="0" w:line="247"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AND THE RIGHTS AND OBLIGATIONS OF THE PARTIES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IN ALL RESPECTS BE GOVERNED BY AND CONSTRUED IN ACCORDANCE WITH, THE INTERNAL LAWS OF THE STATE OF CALIFORNIA (WITHOUT REGARD TO THE CONFLICT OF LAWS PRINCIPLES THAT WOULD RESULT IN THE APPLICATION OF ANY LAWS OTHER THAN THE LAWS OF THE STATE OF CALIFORNIA), INCLUDING ALL MATTERS OF CONSTRUCTION, VALIDITY AND PERFORMANCE, REGARDLESS OF THE LOCATION OF THE COLLATERAL.</w:t>
      </w:r>
    </w:p>
    <w:p>
      <w:pPr>
        <w:spacing w:after="0" w:line="180"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Complete Agreement; Amendments</w:t>
      </w:r>
      <w:r>
        <w:rPr>
          <w:rFonts w:ascii="Times New Roman" w:cs="Times New Roman" w:eastAsia="Times New Roman" w:hAnsi="Times New Roman"/>
          <w:sz w:val="20"/>
          <w:szCs w:val="20"/>
          <w:color w:val="auto"/>
        </w:rPr>
        <w:t>. This Amendment and the Loan Documents represent the entire agreement about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5" w:lineRule="exact"/>
        <w:rPr>
          <w:rFonts w:ascii="Times New Roman" w:cs="Times New Roman" w:eastAsia="Times New Roman" w:hAnsi="Times New Roman"/>
          <w:sz w:val="20"/>
          <w:szCs w:val="20"/>
          <w:color w:val="auto"/>
        </w:rPr>
      </w:pPr>
    </w:p>
    <w:p>
      <w:pPr>
        <w:ind w:firstLine="757"/>
        <w:spacing w:after="0" w:line="273"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Severability of Provisions. </w:t>
      </w:r>
      <w:r>
        <w:rPr>
          <w:rFonts w:ascii="Times New Roman" w:cs="Times New Roman" w:eastAsia="Times New Roman" w:hAnsi="Times New Roman"/>
          <w:sz w:val="20"/>
          <w:szCs w:val="20"/>
          <w:color w:val="auto"/>
        </w:rPr>
        <w:t>Each provision of this Amendment is severable from every other provision in determining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any provision.</w:t>
      </w:r>
    </w:p>
    <w:p>
      <w:pPr>
        <w:spacing w:after="0" w:line="151"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any number of counterparts and by different parties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This Amendment and the documents related thereto shall constitute a Loan Document.</w:t>
      </w:r>
    </w:p>
    <w:p>
      <w:pPr>
        <w:spacing w:after="0" w:line="21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Execution of Certain Other Documents</w:t>
      </w:r>
      <w:r>
        <w:rPr>
          <w:rFonts w:ascii="Times New Roman" w:cs="Times New Roman" w:eastAsia="Times New Roman" w:hAnsi="Times New Roman"/>
          <w:sz w:val="20"/>
          <w:szCs w:val="20"/>
          <w:color w:val="auto"/>
        </w:rPr>
        <w:t>. The words “execution,” “execute”, “signed,” “signature,” and words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Amendment, as of the date first above written.</w:t>
      </w:r>
    </w:p>
    <w:p>
      <w:pPr>
        <w:spacing w:after="0" w:line="2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BORROWER:</w:t>
      </w:r>
    </w:p>
    <w:p>
      <w:pPr>
        <w:spacing w:after="0" w:line="2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197"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Herriot Tabuteau</w:t>
            </w:r>
          </w:p>
        </w:tc>
      </w:tr>
      <w:tr>
        <w:trPr>
          <w:trHeight w:val="42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Herriot Tabuteau</w:t>
            </w:r>
          </w:p>
        </w:tc>
        <w:tc>
          <w:tcPr>
            <w:tcW w:w="400" w:type="dxa"/>
            <w:vAlign w:val="bottom"/>
          </w:tcPr>
          <w:p>
            <w:pPr>
              <w:spacing w:after="0"/>
              <w:rPr>
                <w:sz w:val="24"/>
                <w:szCs w:val="24"/>
                <w:color w:val="auto"/>
              </w:rPr>
            </w:pPr>
          </w:p>
        </w:tc>
      </w:tr>
      <w:tr>
        <w:trPr>
          <w:trHeight w:val="42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CEO</w:t>
            </w:r>
          </w:p>
        </w:tc>
        <w:tc>
          <w:tcPr>
            <w:tcW w:w="400" w:type="dxa"/>
            <w:vAlign w:val="bottom"/>
          </w:tcPr>
          <w:p>
            <w:pPr>
              <w:spacing w:after="0"/>
              <w:rPr>
                <w:sz w:val="24"/>
                <w:szCs w:val="24"/>
                <w:color w:val="auto"/>
              </w:rPr>
            </w:pPr>
          </w:p>
        </w:tc>
      </w:tr>
    </w:tbl>
    <w:p>
      <w:pPr>
        <w:spacing w:after="0" w:line="200" w:lineRule="exact"/>
        <w:rPr>
          <w:sz w:val="20"/>
          <w:szCs w:val="20"/>
          <w:color w:val="auto"/>
        </w:rPr>
      </w:pPr>
    </w:p>
    <w:p>
      <w:pPr>
        <w:spacing w:after="0" w:line="23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[SIGNATURES CONTINUE ON THE NEXT PAGE]</w:t>
      </w:r>
    </w:p>
    <w:p>
      <w:pPr>
        <w:spacing w:after="0" w:line="200" w:lineRule="exact"/>
        <w:rPr>
          <w:sz w:val="20"/>
          <w:szCs w:val="20"/>
          <w:color w:val="auto"/>
        </w:rPr>
      </w:pPr>
    </w:p>
    <w:p>
      <w:pPr>
        <w:spacing w:after="0" w:line="2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[Signature Page to Fifth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122" w:name="page123"/>
    <w:bookmarkEnd w:id="122"/>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AGENT:</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197"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9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LENDER:</w:t>
      </w:r>
    </w:p>
    <w:p>
      <w:pPr>
        <w:spacing w:after="0" w:line="21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197"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HERCULES PRIVATE CREDIT FUND 1 L.P.</w:t>
      </w:r>
    </w:p>
    <w:p>
      <w:pPr>
        <w:spacing w:after="0" w:line="216"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Fifth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ind w:left="4120"/>
        <w:spacing w:after="0"/>
        <w:rPr>
          <w:sz w:val="20"/>
          <w:szCs w:val="20"/>
          <w:color w:val="auto"/>
        </w:rPr>
      </w:pPr>
      <w:r>
        <w:rPr>
          <w:rFonts w:ascii="Times New Roman" w:cs="Times New Roman" w:eastAsia="Times New Roman" w:hAnsi="Times New Roman"/>
          <w:sz w:val="19"/>
          <w:szCs w:val="19"/>
          <w:color w:val="auto"/>
        </w:rPr>
        <w:t>HERCULES PRIVATE GLOBAL VENTURE GROWTH FUND I L.P.</w:t>
      </w:r>
    </w:p>
    <w:p>
      <w:pPr>
        <w:spacing w:after="0" w:line="2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HERCULES FUNDING IV, LLC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[Signature Page to Fifth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440" w:top="1413" w:right="65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9"/>
          <w:szCs w:val="19"/>
          <w:b w:val="1"/>
          <w:bCs w:val="1"/>
          <w:color w:val="auto"/>
        </w:rPr>
        <w:t>EXHIBIT E</w:t>
      </w:r>
    </w:p>
    <w:p>
      <w:pPr>
        <w:sectPr>
          <w:pgSz w:w="11900" w:h="16838" w:orient="portrait"/>
          <w:cols w:equalWidth="0" w:num="1">
            <w:col w:w="9019"/>
          </w:cols>
          <w:pgMar w:left="1440" w:top="1409"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1029970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SCHEDULE 1.1</w:t>
      </w:r>
    </w:p>
    <w:p>
      <w:pPr>
        <w:sectPr>
          <w:pgSz w:w="11900" w:h="16838" w:orient="portrait"/>
          <w:cols w:equalWidth="0" w:num="1">
            <w:col w:w="9019"/>
          </w:cols>
          <w:pgMar w:left="1440" w:top="1409"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1304290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type w:val="continuous"/>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SCHEDULE 7.20(b)</w:t>
      </w:r>
    </w:p>
    <w:p>
      <w:pPr>
        <w:sectPr>
          <w:pgSz w:w="11900" w:h="16838" w:orient="portrait"/>
          <w:cols w:equalWidth="0" w:num="1">
            <w:col w:w="9019"/>
          </w:cols>
          <w:pgMar w:left="1440" w:top="1409"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2435860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OMNIBUS INCENTIVE COMPENSATION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STOCK OPTION SUMMARY OF GRANT</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Axsome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pursuant to its 2015 Omnibus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individual listed below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 nonqualified stock option to purchase shares of common stock of the Company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that may become vested and exercisable as set forth below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The Option is subject in all respects to the terms and conditions set forth herein, in the Nonqualified Stock Option Grant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Nonqualified Stock Option 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Plan, each of which is incorporated herein by reference and made part hereof. Unless otherwise defined herein, capitalized terms used in this Nonqualified Stock Option Summary of Grant (the “</w:t>
      </w:r>
      <w:r>
        <w:rPr>
          <w:rFonts w:ascii="Times New Roman" w:cs="Times New Roman" w:eastAsia="Times New Roman" w:hAnsi="Times New Roman"/>
          <w:sz w:val="18"/>
          <w:szCs w:val="18"/>
          <w:u w:val="single" w:color="auto"/>
          <w:color w:val="auto"/>
        </w:rPr>
        <w:t>Summary of Grant</w:t>
      </w:r>
      <w:r>
        <w:rPr>
          <w:rFonts w:ascii="Times New Roman" w:cs="Times New Roman" w:eastAsia="Times New Roman" w:hAnsi="Times New Roman"/>
          <w:sz w:val="18"/>
          <w:szCs w:val="18"/>
          <w:color w:val="auto"/>
        </w:rPr>
        <w:t>”) and the Nonqualified Stock Option Grant Agreement will have the meanings set forth in the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Participant:</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[NAME]</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[NUMBER] of shares of Company Stock</w:t>
            </w:r>
          </w:p>
        </w:tc>
      </w:tr>
      <w:tr>
        <w:trPr>
          <w:trHeight w:val="412"/>
        </w:trPr>
        <w:tc>
          <w:tcPr>
            <w:tcW w:w="20" w:type="dxa"/>
            <w:vAlign w:val="bottom"/>
          </w:tcPr>
          <w:p>
            <w:pPr>
              <w:spacing w:after="0"/>
              <w:rPr>
                <w:sz w:val="24"/>
                <w:szCs w:val="24"/>
                <w:color w:val="auto"/>
              </w:rPr>
            </w:pPr>
          </w:p>
        </w:tc>
        <w:tc>
          <w:tcPr>
            <w:tcW w:w="23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80" w:type="dxa"/>
            <w:vAlign w:val="bottom"/>
          </w:tcPr>
          <w:p>
            <w:pPr>
              <w:spacing w:after="0"/>
              <w:rPr>
                <w:sz w:val="24"/>
                <w:szCs w:val="24"/>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[Fair Market Value on Date of Grant]</w:t>
            </w:r>
          </w:p>
        </w:tc>
      </w:tr>
      <w:tr>
        <w:trPr>
          <w:trHeight w:val="20"/>
        </w:trPr>
        <w:tc>
          <w:tcPr>
            <w:tcW w:w="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Exercisability of the Option:</w:t>
            </w: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Except as set forth herein, the Option will vest and become exercisable on the following dates</w:t>
            </w:r>
          </w:p>
        </w:tc>
      </w:tr>
      <w:tr>
        <w:trPr>
          <w:trHeight w:val="196"/>
        </w:trPr>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900" w:type="dxa"/>
            <w:vAlign w:val="bottom"/>
            <w:gridSpan w:val="3"/>
          </w:tcPr>
          <w:p>
            <w:pPr>
              <w:ind w:left="920"/>
              <w:spacing w:after="0" w:line="196" w:lineRule="exact"/>
              <w:rPr>
                <w:sz w:val="20"/>
                <w:szCs w:val="20"/>
                <w:color w:val="auto"/>
              </w:rPr>
            </w:pPr>
            <w:r>
              <w:rPr>
                <w:rFonts w:ascii="Times New Roman" w:cs="Times New Roman" w:eastAsia="Times New Roman" w:hAnsi="Times New Roman"/>
                <w:sz w:val="18"/>
                <w:szCs w:val="18"/>
                <w:color w:val="auto"/>
              </w:rPr>
              <w:t>(each, a “Vesting Date”), provided that the Participant continues to be employed by, or provide</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service to, the Employer from the Date of Grant through the applicable Vesting Date:</w:t>
            </w: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9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[Insert Vesting Schedule]</w:t>
            </w: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The Option will be fully vested and exercisable on [Insert Date] if the Participant is employed</w:t>
            </w: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9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by, or providing services to, the Employer on such date.</w:t>
            </w:r>
          </w:p>
        </w:tc>
      </w:tr>
      <w:tr>
        <w:trPr>
          <w:trHeight w:val="64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90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 Page Follows]</w:t>
            </w:r>
          </w:p>
        </w:tc>
      </w:tr>
      <w:tr>
        <w:trPr>
          <w:trHeight w:val="1411"/>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8" w:name="page129"/>
    <w:bookmarkEnd w:id="128"/>
    <w:p>
      <w:pPr>
        <w:ind w:left="760"/>
        <w:spacing w:after="0"/>
        <w:rPr>
          <w:sz w:val="20"/>
          <w:szCs w:val="20"/>
          <w:color w:val="auto"/>
        </w:rPr>
      </w:pPr>
      <w:r>
        <w:rPr>
          <w:rFonts w:ascii="Times New Roman" w:cs="Times New Roman" w:eastAsia="Times New Roman" w:hAnsi="Times New Roman"/>
          <w:sz w:val="17"/>
          <w:szCs w:val="17"/>
          <w:color w:val="auto"/>
        </w:rPr>
        <w:t>IN WITNESS WHEREOF, the Company has caused its duly authorized officers to execute and attest this Agreement, effective as of the Date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Herriot Tabuteau, M.D.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 hereby acknowledge delivery of the Plan and the Plan prospectus together with this Summary of Grant and the Nonqualified Stock Option Grant Agreement. Additional copies of the Plan and the Plan prospectus are available by contacting Nick Pizzie, Chief Financial Officer at npizzie@axsome.com.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Participant</w:t>
      </w:r>
    </w:p>
    <w:p>
      <w:pPr>
        <w:spacing w:after="0" w:line="20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129" w:name="page130"/>
    <w:bookmarkEnd w:id="129"/>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NONQUALIFIED STOCK OPTION GRANT AGREEMENT</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(Pursuant to the 2015 Omnibus Incentive Compensation Plan)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Nonqualified Stock Option Grant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delivered by Axsome Therapeutics,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pursuant to the Summary of Grant delivered with this Agreement to the individual named in the Summary of Grant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Summary of Grant, which specifies the Participant, the date as of which the grant is made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vesting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specific details of the grant is incorporated herein by reference.</w:t>
      </w:r>
    </w:p>
    <w:p>
      <w:pPr>
        <w:spacing w:after="0" w:line="203" w:lineRule="exact"/>
        <w:rPr>
          <w:sz w:val="20"/>
          <w:szCs w:val="20"/>
          <w:color w:val="auto"/>
        </w:rPr>
      </w:pPr>
    </w:p>
    <w:p>
      <w:pPr>
        <w:ind w:right="60" w:firstLine="757"/>
        <w:spacing w:after="0" w:line="256" w:lineRule="auto"/>
        <w:tabs>
          <w:tab w:leader="none" w:pos="1018" w:val="left"/>
        </w:tabs>
        <w:numPr>
          <w:ilvl w:val="0"/>
          <w:numId w:val="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Option Grant</w:t>
      </w:r>
      <w:r>
        <w:rPr>
          <w:rFonts w:ascii="Times New Roman" w:cs="Times New Roman" w:eastAsia="Times New Roman" w:hAnsi="Times New Roman"/>
          <w:sz w:val="18"/>
          <w:szCs w:val="18"/>
          <w:color w:val="auto"/>
        </w:rPr>
        <w:t>. Upon the terms and conditions set forth in this Agreement and in the Company’s 2015 Omnibus 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Company hereby grants to the Participant a nonqualified stock option to purchase the number of shares of common stock of the Company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set forth in the Summary of Grant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The Participant hereby acknowledges the receipt of a copy of the official prospectus for the Plan. Copies of the Plan and the official Plan prospectus are available by contacting Nick Pizzie, Chief Financial Officer at npizzie@axsome.com. This Agreement is made pursuant to the Plan and is subject in its entirety to all applicable provisions of the Plan. Capitalized terms used herein and not otherwise defined will have the meanings set forth in the Plan. The Participant agrees to be bound by all of the terms and conditions of the Plan.</w:t>
      </w:r>
    </w:p>
    <w:p>
      <w:pPr>
        <w:spacing w:after="0" w:line="182"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Exercisability of the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u w:val="single" w:color="auto"/>
          <w:color w:val="auto"/>
        </w:rPr>
      </w:pPr>
    </w:p>
    <w:p>
      <w:pPr>
        <w:ind w:left="760" w:firstLine="745"/>
        <w:spacing w:after="0" w:line="282" w:lineRule="auto"/>
        <w:tabs>
          <w:tab w:leader="none" w:pos="2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become vested and exercisable as set forth in the Summary of Grant, provided that the Participant continues to be employed by, or provide service to, the Employer through the Vesting Date (as defined in the Summary of Grant).</w:t>
      </w:r>
    </w:p>
    <w:p>
      <w:pPr>
        <w:spacing w:after="0" w:line="161" w:lineRule="exact"/>
        <w:rPr>
          <w:rFonts w:ascii="Times New Roman" w:cs="Times New Roman" w:eastAsia="Times New Roman" w:hAnsi="Times New Roman"/>
          <w:sz w:val="18"/>
          <w:szCs w:val="18"/>
          <w:color w:val="auto"/>
        </w:rPr>
      </w:pPr>
    </w:p>
    <w:p>
      <w:pPr>
        <w:ind w:left="760" w:right="40" w:firstLine="745"/>
        <w:spacing w:after="0" w:line="266" w:lineRule="auto"/>
        <w:tabs>
          <w:tab w:leader="none" w:pos="2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exercisability of the Option is cumulative, but shall not exceed 100% of the shares of Company Stock subject to the Option. If the schedule set forth in the Summary of Grant would produce fractional shares of Company Stock, the number of shares of Company Stock for which the Option becomes exercisable shall be rounded down to the nearest whole share of Company Stock.</w:t>
      </w:r>
    </w:p>
    <w:p>
      <w:pPr>
        <w:spacing w:after="0" w:line="17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Term of Option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u w:val="single" w:color="auto"/>
          <w:color w:val="auto"/>
        </w:rPr>
      </w:pPr>
    </w:p>
    <w:p>
      <w:pPr>
        <w:ind w:right="120" w:firstLine="1505"/>
        <w:spacing w:after="0" w:line="258" w:lineRule="auto"/>
        <w:tabs>
          <w:tab w:leader="none" w:pos="20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have a term of ten years from the Date of Grant and will terminate at the expiration of that period, unless it is terminated at an earlier date pursuant to the provisions of this Agreement or the Plan. Notwithstanding the foregoing, in the event that on the last business day of the term of the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automatically terminate upon the happening of the first of the following events:</w:t>
      </w:r>
    </w:p>
    <w:p>
      <w:pPr>
        <w:spacing w:after="0" w:line="225" w:lineRule="exact"/>
        <w:rPr>
          <w:sz w:val="20"/>
          <w:szCs w:val="20"/>
          <w:color w:val="auto"/>
        </w:rPr>
      </w:pPr>
    </w:p>
    <w:p>
      <w:pPr>
        <w:ind w:right="160"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[NUMBER]-[PERIOD] period after the Participant ceases to be employed by, or provide service to, the Employer, if the termination is for any reason other than Disability, death or Cause.</w:t>
      </w:r>
    </w:p>
    <w:p>
      <w:pPr>
        <w:spacing w:after="0" w:line="161" w:lineRule="exact"/>
        <w:rPr>
          <w:rFonts w:ascii="Times New Roman" w:cs="Times New Roman" w:eastAsia="Times New Roman" w:hAnsi="Times New Roman"/>
          <w:sz w:val="18"/>
          <w:szCs w:val="18"/>
          <w:color w:val="auto"/>
        </w:rPr>
      </w:pPr>
    </w:p>
    <w:p>
      <w:pPr>
        <w:ind w:right="260"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one-year period after the Participant ceases to be employed by, or provide service to, the Employer on account of the Participant’s Disability.</w:t>
      </w:r>
    </w:p>
    <w:p>
      <w:pPr>
        <w:spacing w:after="0" w:line="161" w:lineRule="exact"/>
        <w:rPr>
          <w:rFonts w:ascii="Times New Roman" w:cs="Times New Roman" w:eastAsia="Times New Roman" w:hAnsi="Times New Roman"/>
          <w:sz w:val="18"/>
          <w:szCs w:val="18"/>
          <w:color w:val="auto"/>
        </w:rPr>
      </w:pPr>
    </w:p>
    <w:p>
      <w:pPr>
        <w:ind w:right="40" w:firstLine="1505"/>
        <w:spacing w:after="0" w:line="282" w:lineRule="auto"/>
        <w:tabs>
          <w:tab w:leader="none" w:pos="20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one-year period after the Participant ceases to be employed by, or provide service to, the Employer, if the Participant dies while employed by, or providing service to, the Employer or</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within 90 days after the Participant ceases to be so employed or provide such services on account of a termination described in subsection (i) above.</w:t>
      </w:r>
    </w:p>
    <w:p>
      <w:pPr>
        <w:spacing w:after="0" w:line="225" w:lineRule="exact"/>
        <w:rPr>
          <w:sz w:val="20"/>
          <w:szCs w:val="20"/>
          <w:color w:val="auto"/>
        </w:rPr>
      </w:pPr>
    </w:p>
    <w:p>
      <w:pPr>
        <w:ind w:right="320" w:firstLine="1505"/>
        <w:spacing w:after="0" w:line="266" w:lineRule="auto"/>
        <w:tabs>
          <w:tab w:leader="none" w:pos="20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Participant ceases to be employed by, or provide service to, the Employer for Cause. In addition, notwithstanding the prior provisions of this Section 3, if the Participant engages in conduct that constitutes Cause after the Participant’s employment or service terminates, the Option will immediately terminate.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no event may the Option be exercised after the date that is immediately before the tenth anniversary of the Date of Grant; provided, however, that if the term of the Option is extended pursuant to Section 3(a) above, in no event may the Option be exercised after the date that is immediately before the expiration of the extended term of the Option. Any portion of the Option that is not exercisable at the time the Participant ceases to be employed by, or provide service to, the Employer will immediately terminate.</w:t>
      </w:r>
    </w:p>
    <w:p>
      <w:pPr>
        <w:spacing w:after="0" w:line="176" w:lineRule="exact"/>
        <w:rPr>
          <w:sz w:val="20"/>
          <w:szCs w:val="20"/>
          <w:color w:val="auto"/>
        </w:rPr>
      </w:pPr>
    </w:p>
    <w:p>
      <w:pPr>
        <w:ind w:left="1020" w:hanging="263"/>
        <w:spacing w:after="0"/>
        <w:tabs>
          <w:tab w:leader="none" w:pos="1020" w:val="left"/>
        </w:tabs>
        <w:numPr>
          <w:ilvl w:val="0"/>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Exercise Procedures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u w:val="single" w:color="auto"/>
          <w:color w:val="auto"/>
        </w:rPr>
      </w:pPr>
    </w:p>
    <w:p>
      <w:pPr>
        <w:ind w:right="20" w:firstLine="1505"/>
        <w:spacing w:after="0" w:line="254" w:lineRule="auto"/>
        <w:tabs>
          <w:tab w:leader="none" w:pos="20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2 and 3 above, the Participant may exercise part or all of the exercisable Option by giving the Company written notice of intent to exercise in the manner provided in this Agreement, specifying the number of shares of Company Stock as to which the Option is to be exercised. At such time as the Committee shall determine, the Participant shall pay the Exercise Price (i) in cash, (ii) unless the Committee determines otherwise, by delivering shares of Company Stock owned by the Participant, which shall be valued at their Fair Market Value on the date of exercise, or by attestation (on a form prescribed by the Committee) to ownership of shares of Company Stock having a Fair Market Value on the date of exercise at least equal to the Exercise Price, (iii) by payment through a broker in accordance with procedures permitted by Regulation T of the Federal Reserve Board, (iv) by withholding shares of Company Stock subject to the exercisable Option, which have a Fair Market Value on the date of exercise equal to the Exercise Price, or (v) by such other method as the Committee may approve, to the extent permitted by applicable law. The Committee may impose from time to time such limitations as it deems appropriate on the use of shares of Company Stock to exercise the Option.</w:t>
      </w:r>
    </w:p>
    <w:p>
      <w:pPr>
        <w:spacing w:after="0" w:line="188" w:lineRule="exact"/>
        <w:rPr>
          <w:rFonts w:ascii="Times New Roman" w:cs="Times New Roman" w:eastAsia="Times New Roman" w:hAnsi="Times New Roman"/>
          <w:sz w:val="18"/>
          <w:szCs w:val="18"/>
          <w:color w:val="auto"/>
        </w:rPr>
      </w:pPr>
    </w:p>
    <w:p>
      <w:pPr>
        <w:ind w:right="40" w:firstLine="1505"/>
        <w:spacing w:after="0" w:line="256" w:lineRule="auto"/>
        <w:tabs>
          <w:tab w:leader="none" w:pos="20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deliver shares of Company Stock upon exercise of the Option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 The Company may require that the Participant (or other person exercising the Option after the Participant’s death) represent that the Participant is purchasing shares of Company Stock for the Participant’s own account and not with a view to or for sale in connection with any distribution of the shares of Company Stock, or such other representation as the Committee deems appropriate.</w:t>
      </w:r>
    </w:p>
    <w:p>
      <w:pPr>
        <w:spacing w:after="0" w:line="187" w:lineRule="exact"/>
        <w:rPr>
          <w:rFonts w:ascii="Times New Roman" w:cs="Times New Roman" w:eastAsia="Times New Roman" w:hAnsi="Times New Roman"/>
          <w:sz w:val="18"/>
          <w:szCs w:val="18"/>
          <w:color w:val="auto"/>
        </w:rPr>
      </w:pPr>
    </w:p>
    <w:p>
      <w:pPr>
        <w:ind w:right="140" w:firstLine="1505"/>
        <w:spacing w:after="0" w:line="256" w:lineRule="auto"/>
        <w:tabs>
          <w:tab w:leader="none" w:pos="20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Company under this Agreement shall be subject to the rights of the Company as set forth in the Plan to withhold amounts required to be withheld for any taxes, if applicable. Subject to Committee approval, the Participant may elect to satisfy any tax withholding obligation of the Employer with respect to the Option by having shares of Company Stock withheld up to an amount that does not exceed the applicable withholding tax rate for federal (including FICA), state and local tax liabilities. Unless the Committee determines otherwise, the fair market value (measured at the time of the transaction) of the shares withheld for taxes shall not exceed the Participant’s minimum applicable tax withholding amount.</w:t>
      </w:r>
    </w:p>
    <w:p>
      <w:pPr>
        <w:spacing w:after="0" w:line="187"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the Option (or portion thereof), the Option (or portion thereof) will terminate and cease to be outstanding.</w:t>
      </w:r>
    </w:p>
    <w:p>
      <w:pPr>
        <w:spacing w:after="0" w:line="221" w:lineRule="exact"/>
        <w:rPr>
          <w:rFonts w:ascii="Times New Roman" w:cs="Times New Roman" w:eastAsia="Times New Roman" w:hAnsi="Times New Roman"/>
          <w:sz w:val="18"/>
          <w:szCs w:val="18"/>
          <w:color w:val="auto"/>
        </w:rPr>
      </w:pPr>
    </w:p>
    <w:p>
      <w:pPr>
        <w:jc w:val="both"/>
        <w:ind w:right="200" w:firstLine="757"/>
        <w:spacing w:after="0" w:line="268" w:lineRule="auto"/>
        <w:tabs>
          <w:tab w:leader="none" w:pos="1018" w:val="left"/>
        </w:tabs>
        <w:numPr>
          <w:ilvl w:val="0"/>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No Shareholder Rights</w:t>
      </w:r>
      <w:r>
        <w:rPr>
          <w:rFonts w:ascii="Times New Roman" w:cs="Times New Roman" w:eastAsia="Times New Roman" w:hAnsi="Times New Roman"/>
          <w:sz w:val="18"/>
          <w:szCs w:val="18"/>
          <w:color w:val="auto"/>
        </w:rPr>
        <w:t>. Neither the Participant, nor any person entitled to exercise the Participant’s rights in the event of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death, shall have any of the rights and privileges of a stockholder with respect to the shares of Company Stock subject to the Option, until certificates for shares of Company Stock have been issued upon the exercise of the Option.</w:t>
      </w:r>
    </w:p>
    <w:p>
      <w:pPr>
        <w:spacing w:after="0" w:line="170" w:lineRule="exact"/>
        <w:rPr>
          <w:rFonts w:ascii="Times New Roman" w:cs="Times New Roman" w:eastAsia="Times New Roman" w:hAnsi="Times New Roman"/>
          <w:sz w:val="18"/>
          <w:szCs w:val="18"/>
          <w:u w:val="single" w:color="auto"/>
          <w:color w:val="auto"/>
        </w:rPr>
      </w:pPr>
    </w:p>
    <w:p>
      <w:pPr>
        <w:ind w:right="140" w:firstLine="757"/>
        <w:spacing w:after="0" w:line="286" w:lineRule="auto"/>
        <w:tabs>
          <w:tab w:leader="none" w:pos="1018" w:val="left"/>
        </w:tabs>
        <w:numPr>
          <w:ilvl w:val="0"/>
          <w:numId w:val="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The provisions of the Plan applicable to a Change of Control will apply to the Option, and, in the event of a 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the Committee may take such actions as it deems appropriate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1" w:name="page132"/>
    <w:bookmarkEnd w:id="131"/>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Plan; provided that, if the Option continues in effect after a Change of Control and the Participant’s employment or service is terminated by the Employer without Cause upon or within 12 months following the Change in Control, any unvested portion of the Option shall become fully vested upon such cessation of employment or service.</w:t>
      </w:r>
    </w:p>
    <w:p>
      <w:pPr>
        <w:spacing w:after="0" w:line="172" w:lineRule="exact"/>
        <w:rPr>
          <w:sz w:val="20"/>
          <w:szCs w:val="20"/>
          <w:color w:val="auto"/>
        </w:rPr>
      </w:pPr>
    </w:p>
    <w:p>
      <w:pPr>
        <w:ind w:right="60" w:firstLine="757"/>
        <w:spacing w:after="0" w:line="262" w:lineRule="auto"/>
        <w:tabs>
          <w:tab w:leader="none" w:pos="1018"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Restrictions on Exercise</w:t>
      </w:r>
      <w:r>
        <w:rPr>
          <w:rFonts w:ascii="Times New Roman" w:cs="Times New Roman" w:eastAsia="Times New Roman" w:hAnsi="Times New Roman"/>
          <w:sz w:val="18"/>
          <w:szCs w:val="18"/>
          <w:color w:val="auto"/>
        </w:rPr>
        <w:t>. Except as the Committee may otherwise permit pursuant to the Plan, only the Participant may exercise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Participant’s lifetime and, after the Participant’s death, the Option will be exercisable (subject to the limitations specified in the Plan) solely by the legal representatives of the Participant, or by the person who acquires the right to exercise the Option by will or by the laws of descent and distribution, to the extent that the Option is exercisable pursuant to this Agreement.</w:t>
      </w:r>
    </w:p>
    <w:p>
      <w:pPr>
        <w:spacing w:after="0" w:line="176" w:lineRule="exact"/>
        <w:rPr>
          <w:rFonts w:ascii="Times New Roman" w:cs="Times New Roman" w:eastAsia="Times New Roman" w:hAnsi="Times New Roman"/>
          <w:sz w:val="18"/>
          <w:szCs w:val="18"/>
          <w:u w:val="single" w:color="auto"/>
          <w:color w:val="auto"/>
        </w:rPr>
      </w:pPr>
    </w:p>
    <w:p>
      <w:pPr>
        <w:ind w:right="260" w:firstLine="757"/>
        <w:spacing w:after="0" w:line="317" w:lineRule="auto"/>
        <w:tabs>
          <w:tab w:leader="none" w:pos="1018" w:val="left"/>
        </w:tabs>
        <w:numPr>
          <w:ilvl w:val="0"/>
          <w:numId w:val="7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contains the entire agreement of the parties with respect to the Option granted hereby and may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changed orally but only by an instrument in writing signed by the party against whom enforcement of any change, modification or extension is sought.</w:t>
      </w:r>
    </w:p>
    <w:p>
      <w:pPr>
        <w:spacing w:after="0" w:line="131" w:lineRule="exact"/>
        <w:rPr>
          <w:rFonts w:ascii="Times New Roman" w:cs="Times New Roman" w:eastAsia="Times New Roman" w:hAnsi="Times New Roman"/>
          <w:sz w:val="17"/>
          <w:szCs w:val="17"/>
          <w:u w:val="single" w:color="auto"/>
          <w:color w:val="auto"/>
        </w:rPr>
      </w:pPr>
    </w:p>
    <w:p>
      <w:pPr>
        <w:ind w:right="140" w:firstLine="757"/>
        <w:spacing w:after="0" w:line="257" w:lineRule="auto"/>
        <w:tabs>
          <w:tab w:leader="none" w:pos="1018"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Grant Subject to Plan Provisions</w:t>
      </w:r>
      <w:r>
        <w:rPr>
          <w:rFonts w:ascii="Times New Roman" w:cs="Times New Roman" w:eastAsia="Times New Roman" w:hAnsi="Times New Roman"/>
          <w:sz w:val="18"/>
          <w:szCs w:val="18"/>
          <w:color w:val="auto"/>
        </w:rPr>
        <w:t>. This grant is made pursuant to the Plan, the terms of which are incorporated herein by reference,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respects will be interpreted in accordance with the Plan. This grant is subject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(c) changes in capitalization of the Company and (d) other requirements of applicable law. The Committee will have the authority to interpret and construe this grant pursuant to the terms of the Plan, and its decisions will be conclusive as to any questions arising hereunder.</w:t>
      </w:r>
    </w:p>
    <w:p>
      <w:pPr>
        <w:spacing w:after="0" w:line="182" w:lineRule="exact"/>
        <w:rPr>
          <w:rFonts w:ascii="Times New Roman" w:cs="Times New Roman" w:eastAsia="Times New Roman" w:hAnsi="Times New Roman"/>
          <w:sz w:val="18"/>
          <w:szCs w:val="18"/>
          <w:u w:val="single" w:color="auto"/>
          <w:color w:val="auto"/>
        </w:rPr>
      </w:pPr>
    </w:p>
    <w:p>
      <w:pPr>
        <w:ind w:firstLine="757"/>
        <w:spacing w:after="0" w:line="256" w:lineRule="auto"/>
        <w:tabs>
          <w:tab w:leader="none" w:pos="1018"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Assignment and Transfers</w:t>
      </w:r>
      <w:r>
        <w:rPr>
          <w:rFonts w:ascii="Times New Roman" w:cs="Times New Roman" w:eastAsia="Times New Roman" w:hAnsi="Times New Roman"/>
          <w:sz w:val="18"/>
          <w:szCs w:val="18"/>
          <w:color w:val="auto"/>
        </w:rPr>
        <w:t>. Except as the Committee may otherwise permit pursuant to the Plan, the rights and interests of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Option or any right hereunder, except as provided for in this Agreement, or in the event of the levy or any attachment, execution or similar process upon the rights or interests hereby conferred, the Company may terminate the Option by notice to the Participant, and the Option and all rights hereunder will thereupon become null and void. The rights and protections of the Company hereunder will extend to any successors or assigns of the Company and to the Company’s parents, subsidiaries, and affiliates. This Agreement may be assigned by the Company without the Participant’s consent.</w:t>
      </w:r>
    </w:p>
    <w:p>
      <w:pPr>
        <w:spacing w:after="0" w:line="182" w:lineRule="exact"/>
        <w:rPr>
          <w:rFonts w:ascii="Times New Roman" w:cs="Times New Roman" w:eastAsia="Times New Roman" w:hAnsi="Times New Roman"/>
          <w:sz w:val="18"/>
          <w:szCs w:val="18"/>
          <w:u w:val="single" w:color="auto"/>
          <w:color w:val="auto"/>
        </w:rPr>
      </w:pPr>
    </w:p>
    <w:p>
      <w:pPr>
        <w:ind w:right="60" w:firstLine="757"/>
        <w:spacing w:after="0" w:line="268" w:lineRule="auto"/>
        <w:tabs>
          <w:tab w:leader="none" w:pos="1018"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No Employment or Other Rights</w:t>
      </w:r>
      <w:r>
        <w:rPr>
          <w:rFonts w:ascii="Times New Roman" w:cs="Times New Roman" w:eastAsia="Times New Roman" w:hAnsi="Times New Roman"/>
          <w:sz w:val="18"/>
          <w:szCs w:val="18"/>
          <w:color w:val="auto"/>
        </w:rPr>
        <w:t>. This Agreement will not confer upon the Participant any right to be retained in the employment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will not interfere in any way with the right of the Company to terminate the Participant’s employment at any time. The right of the Company to terminate at will the Participant’s employment at any time for any reason is specifically reserved.</w:t>
      </w:r>
    </w:p>
    <w:p>
      <w:pPr>
        <w:spacing w:after="0" w:line="170" w:lineRule="exact"/>
        <w:rPr>
          <w:rFonts w:ascii="Times New Roman" w:cs="Times New Roman" w:eastAsia="Times New Roman" w:hAnsi="Times New Roman"/>
          <w:sz w:val="18"/>
          <w:szCs w:val="18"/>
          <w:u w:val="single" w:color="auto"/>
          <w:color w:val="auto"/>
        </w:rPr>
      </w:pPr>
    </w:p>
    <w:p>
      <w:pPr>
        <w:ind w:right="40" w:firstLine="757"/>
        <w:spacing w:after="0" w:line="259" w:lineRule="auto"/>
        <w:tabs>
          <w:tab w:leader="none" w:pos="1018"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Any notice to the Company provided for in this instrument will be addressed to the Company in care of Nick Pizzie,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at the Company’s corporate headquarters, and any notice to the Participant will be addressed to such Participant at the current address shown on the payroll records of the Company, or to such other address as the Participant may designate to the Company in writing. Any notice will be delivered by hand, sent by telecopy or enclosed in a properly sealed envelope addressed as stated above, registered and deposited, postage prepaid, in a post office regularly maintained by the United States Postal Service.</w:t>
      </w:r>
    </w:p>
    <w:p>
      <w:pPr>
        <w:spacing w:after="0" w:line="179" w:lineRule="exact"/>
        <w:rPr>
          <w:rFonts w:ascii="Times New Roman" w:cs="Times New Roman" w:eastAsia="Times New Roman" w:hAnsi="Times New Roman"/>
          <w:sz w:val="18"/>
          <w:szCs w:val="18"/>
          <w:u w:val="single" w:color="auto"/>
          <w:color w:val="auto"/>
        </w:rPr>
      </w:pPr>
    </w:p>
    <w:p>
      <w:pPr>
        <w:ind w:right="80" w:firstLine="757"/>
        <w:spacing w:after="0" w:line="256" w:lineRule="auto"/>
        <w:tabs>
          <w:tab w:leader="none" w:pos="1018"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Recoupment Policy</w:t>
      </w:r>
      <w:r>
        <w:rPr>
          <w:rFonts w:ascii="Times New Roman" w:cs="Times New Roman" w:eastAsia="Times New Roman" w:hAnsi="Times New Roman"/>
          <w:sz w:val="18"/>
          <w:szCs w:val="18"/>
          <w:color w:val="auto"/>
        </w:rPr>
        <w:t>. The Participant agrees that, subject to the requirements of applicable law, if the Participant breaches any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agreement between the Participant and the Employer or otherwise engages in activities that constitute Cause either while employed by, or providing service to, the Employer or within two years thereafter, the Option shall terminate, and the Company may rescind any exercise of the Option and delivery of shares upon such exercise, as applicable on such terms as the Committee shall determine, including the right to require that in the event of any such rescission, (a) the Participant shall return to the Company the shares received upon the exercise of the Option or, (b)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spacing w:after="0" w:line="258" w:lineRule="auto"/>
        <w:rPr>
          <w:sz w:val="20"/>
          <w:szCs w:val="20"/>
          <w:color w:val="auto"/>
        </w:rPr>
      </w:pPr>
      <w:r>
        <w:rPr>
          <w:rFonts w:ascii="Times New Roman" w:cs="Times New Roman" w:eastAsia="Times New Roman" w:hAnsi="Times New Roman"/>
          <w:sz w:val="18"/>
          <w:szCs w:val="18"/>
          <w:color w:val="auto"/>
        </w:rPr>
        <w:t>market value (as determined by the Committee) of the shares on the date of the breach of any restrictive covenant agreement or activity constituting Cause), net of the price originally paid by the Participant for the shares. The Participant agrees that payment by the Participant shall be made in such manner and on such terms and conditions as may be required by the Committee and the Employer shall be entitled to set off against the amount of any such payment any amounts otherwise owed to the Participant by the Employer. In addition, the Participant agrees that the Option shall be subject to any applicable clawback or recoupment policies, share trading policies and other policies that may be implemented by the Board from time to time.</w:t>
      </w:r>
    </w:p>
    <w:p>
      <w:pPr>
        <w:spacing w:after="0" w:line="179" w:lineRule="exact"/>
        <w:rPr>
          <w:sz w:val="20"/>
          <w:szCs w:val="20"/>
          <w:color w:val="auto"/>
        </w:rPr>
      </w:pPr>
    </w:p>
    <w:p>
      <w:pPr>
        <w:ind w:right="340" w:firstLine="757"/>
        <w:spacing w:after="0" w:line="286" w:lineRule="auto"/>
        <w:tabs>
          <w:tab w:leader="none" w:pos="1018"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The validity, construction, interpretation and effect of this Agreement will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laws of the State of Delaware, without giving effect to the conflicts of laws provisions thereof.</w:t>
      </w:r>
    </w:p>
    <w:p>
      <w:pPr>
        <w:spacing w:after="0" w:line="154" w:lineRule="exact"/>
        <w:rPr>
          <w:rFonts w:ascii="Times New Roman" w:cs="Times New Roman" w:eastAsia="Times New Roman" w:hAnsi="Times New Roman"/>
          <w:sz w:val="18"/>
          <w:szCs w:val="18"/>
          <w:u w:val="single" w:color="auto"/>
          <w:color w:val="auto"/>
        </w:rPr>
      </w:pPr>
    </w:p>
    <w:p>
      <w:pPr>
        <w:ind w:right="260" w:firstLine="757"/>
        <w:spacing w:after="0" w:line="286" w:lineRule="auto"/>
        <w:tabs>
          <w:tab w:leader="none" w:pos="1018"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Application of Section 409A of the Code</w:t>
      </w:r>
      <w:r>
        <w:rPr>
          <w:rFonts w:ascii="Times New Roman" w:cs="Times New Roman" w:eastAsia="Times New Roman" w:hAnsi="Times New Roman"/>
          <w:sz w:val="18"/>
          <w:szCs w:val="18"/>
          <w:color w:val="auto"/>
        </w:rPr>
        <w:t>. This Agreement is intended to be exempt from section 409A of the Code and to the extent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subject to section 409A of the Code, it will in all respects be administered in accordance with section 409A of the Code.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jc w:val="center"/>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r>
        <w:rPr>
          <w:rFonts w:ascii="Arial" w:cs="Arial" w:eastAsia="Arial" w:hAnsi="Arial"/>
          <w:sz w:val="18"/>
          <w:szCs w:val="18"/>
          <w:color w:val="auto"/>
        </w:rPr>
        <w:t>: ______________________________________</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Axsome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Axsome Therapeutics, Inc. 2015 Omnibus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All of the RSUs are nonvested and forfeitable as of the Grant Date. So long as your employment or service is continuous from the Grant Date through the applicable date upon which vesting is scheduled to occur:</w:t>
      </w:r>
    </w:p>
    <w:p>
      <w:pPr>
        <w:spacing w:after="0" w:line="154"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twenty-five percent (25%) of the RSUs will be exercisable on the first anniversary of the Grant Date (the “</w:t>
      </w:r>
      <w:r>
        <w:rPr>
          <w:rFonts w:ascii="Arial" w:cs="Arial" w:eastAsia="Arial" w:hAnsi="Arial"/>
          <w:sz w:val="18"/>
          <w:szCs w:val="18"/>
          <w:u w:val="single" w:color="auto"/>
          <w:color w:val="auto"/>
        </w:rPr>
        <w:t>Initial 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as to an additional twenty-five percent (25%) of the original number of RSUs at the end of each successive full twelve (12) month period following the Initial Vesting Date such that 100% of the RSUs will be vested and nonforfeitable on the fourth anniversary of the Grant Date.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if your employment or service with the Company is terminated coincident with or within one year following a Change of Control by the Company or its successor without Cause, the RSUs that are unvested as of the date of termination will immediately become 100%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6" w:lineRule="exact"/>
        <w:rPr>
          <w:sz w:val="20"/>
          <w:szCs w:val="20"/>
          <w:color w:val="auto"/>
        </w:rPr>
      </w:pPr>
    </w:p>
    <w:p>
      <w:pPr>
        <w:ind w:left="120"/>
        <w:spacing w:after="0"/>
        <w:tabs>
          <w:tab w:leader="none" w:pos="922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p>
      <w:pPr>
        <w:ind w:left="120"/>
        <w:spacing w:after="0"/>
        <w:tabs>
          <w:tab w:leader="none" w:pos="922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4" w:name="page135"/>
    <w:bookmarkEnd w:id="134"/>
    <w:p>
      <w:pPr>
        <w:jc w:val="center"/>
        <w:ind w:right="-11"/>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Stock Unit Agreement</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under the</w:t>
      </w:r>
    </w:p>
    <w:p>
      <w:pPr>
        <w:jc w:val="center"/>
        <w:ind w:right="-11"/>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ind w:left="-8" w:right="100" w:firstLine="757"/>
        <w:spacing w:after="0" w:line="271" w:lineRule="auto"/>
        <w:tabs>
          <w:tab w:leader="none" w:pos="1010"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53" w:lineRule="exact"/>
        <w:rPr>
          <w:rFonts w:ascii="Arial" w:cs="Arial" w:eastAsia="Arial" w:hAnsi="Arial"/>
          <w:sz w:val="18"/>
          <w:szCs w:val="18"/>
          <w:u w:val="single" w:color="auto"/>
          <w:color w:val="auto"/>
        </w:rPr>
      </w:pPr>
    </w:p>
    <w:p>
      <w:pPr>
        <w:ind w:left="-8" w:right="260" w:firstLine="757"/>
        <w:spacing w:after="0" w:line="247" w:lineRule="auto"/>
        <w:tabs>
          <w:tab w:leader="none" w:pos="1010"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173" w:lineRule="exact"/>
        <w:rPr>
          <w:rFonts w:ascii="Arial" w:cs="Arial" w:eastAsia="Arial" w:hAnsi="Arial"/>
          <w:sz w:val="18"/>
          <w:szCs w:val="18"/>
          <w:u w:val="single" w:color="auto"/>
          <w:color w:val="auto"/>
        </w:rPr>
      </w:pPr>
    </w:p>
    <w:p>
      <w:pPr>
        <w:ind w:left="-8" w:right="320" w:firstLine="757"/>
        <w:spacing w:after="0" w:line="247" w:lineRule="auto"/>
        <w:tabs>
          <w:tab w:leader="none" w:pos="1010"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w:t>
      </w:r>
    </w:p>
    <w:p>
      <w:pPr>
        <w:spacing w:after="0" w:line="173" w:lineRule="exact"/>
        <w:rPr>
          <w:rFonts w:ascii="Arial" w:cs="Arial" w:eastAsia="Arial" w:hAnsi="Arial"/>
          <w:sz w:val="18"/>
          <w:szCs w:val="18"/>
          <w:u w:val="single" w:color="auto"/>
          <w:color w:val="auto"/>
        </w:rPr>
      </w:pPr>
    </w:p>
    <w:p>
      <w:pPr>
        <w:ind w:left="-8" w:right="20" w:firstLine="757"/>
        <w:spacing w:after="0" w:line="244" w:lineRule="auto"/>
        <w:tabs>
          <w:tab w:leader="none" w:pos="1010"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176" w:lineRule="exact"/>
        <w:rPr>
          <w:rFonts w:ascii="Arial" w:cs="Arial" w:eastAsia="Arial" w:hAnsi="Arial"/>
          <w:sz w:val="18"/>
          <w:szCs w:val="18"/>
          <w:u w:val="single" w:color="auto"/>
          <w:color w:val="auto"/>
        </w:rPr>
      </w:pPr>
    </w:p>
    <w:p>
      <w:pPr>
        <w:ind w:left="1012" w:hanging="263"/>
        <w:spacing w:after="0"/>
        <w:tabs>
          <w:tab w:leader="none" w:pos="1012"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12" w:lineRule="exact"/>
        <w:rPr>
          <w:sz w:val="20"/>
          <w:szCs w:val="20"/>
          <w:color w:val="auto"/>
        </w:rPr>
      </w:pPr>
    </w:p>
    <w:p>
      <w:pPr>
        <w:ind w:left="-8" w:firstLine="757"/>
        <w:spacing w:after="0"/>
        <w:tabs>
          <w:tab w:leader="none" w:pos="1010" w:val="left"/>
        </w:tabs>
        <w:numPr>
          <w:ilvl w:val="1"/>
          <w:numId w:val="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84" w:lineRule="exact"/>
        <w:rPr>
          <w:rFonts w:ascii="Arial" w:cs="Arial" w:eastAsia="Arial" w:hAnsi="Arial"/>
          <w:sz w:val="18"/>
          <w:szCs w:val="18"/>
          <w:u w:val="single" w:color="auto"/>
          <w:color w:val="auto"/>
        </w:rPr>
      </w:pPr>
    </w:p>
    <w:p>
      <w:pPr>
        <w:ind w:left="-8" w:right="60" w:firstLine="757"/>
        <w:spacing w:after="0" w:line="254" w:lineRule="auto"/>
        <w:tabs>
          <w:tab w:leader="none" w:pos="1010" w:val="left"/>
        </w:tabs>
        <w:numPr>
          <w:ilvl w:val="1"/>
          <w:numId w:val="7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Timing of Settlement</w:t>
      </w:r>
      <w:r>
        <w:rPr>
          <w:rFonts w:ascii="Arial" w:cs="Arial" w:eastAsia="Arial" w:hAnsi="Arial"/>
          <w:sz w:val="17"/>
          <w:szCs w:val="17"/>
          <w:color w:val="auto"/>
        </w:rPr>
        <w:t>. Your RSUs will be settled by the Company, via the issuance of Company Stock as described herein, on the date that the RSUs become vested and nonforfeitable.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Treasury Regulation 1.409A-1(b)</w:t>
      </w:r>
    </w:p>
    <w:p>
      <w:pPr>
        <w:ind w:left="272" w:hanging="272"/>
        <w:spacing w:after="0"/>
        <w:tabs>
          <w:tab w:leader="none" w:pos="2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and shall be construed and administered in such a manner.</w:t>
      </w:r>
    </w:p>
    <w:p>
      <w:pPr>
        <w:spacing w:after="0" w:line="194" w:lineRule="exact"/>
        <w:rPr>
          <w:sz w:val="20"/>
          <w:szCs w:val="20"/>
          <w:color w:val="auto"/>
        </w:rPr>
      </w:pPr>
    </w:p>
    <w:p>
      <w:pPr>
        <w:ind w:left="-8" w:right="20" w:firstLine="757"/>
        <w:spacing w:after="0" w:line="242" w:lineRule="auto"/>
        <w:tabs>
          <w:tab w:leader="none" w:pos="1010" w:val="left"/>
        </w:tabs>
        <w:numPr>
          <w:ilvl w:val="0"/>
          <w:numId w:val="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thereafter as requested by the Company, you hereby authorize any required withholding from the Company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may, in its sole discretion, satisfy all or any portion of the Withholding Taxes obligation relating to your RSUs by any of the following means or by a combination of such means: (i)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35" w:name="page136"/>
    <w:bookmarkEnd w:id="135"/>
    <w:p>
      <w:pPr>
        <w:ind w:right="40"/>
        <w:spacing w:after="0" w:line="237" w:lineRule="auto"/>
        <w:rPr>
          <w:sz w:val="20"/>
          <w:szCs w:val="20"/>
          <w:color w:val="auto"/>
        </w:rPr>
      </w:pPr>
      <w:r>
        <w:rPr>
          <w:rFonts w:ascii="Arial" w:cs="Arial" w:eastAsia="Arial" w:hAnsi="Arial"/>
          <w:sz w:val="18"/>
          <w:szCs w:val="18"/>
          <w:color w:val="auto"/>
        </w:rPr>
        <w:t>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Dealer</w:t>
      </w:r>
      <w:r>
        <w:rPr>
          <w:rFonts w:ascii="Arial" w:cs="Arial" w:eastAsia="Arial" w:hAnsi="Arial"/>
          <w:sz w:val="18"/>
          <w:szCs w:val="18"/>
          <w:color w:val="auto"/>
        </w:rPr>
        <w:t>”) whereby you irrevocably elect to sell a portion of the shares to be delivered under the Agreement to satisfy the Withholding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end of trading on the trading date immediately prior to the date on which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7.  Adjustments for Corporate Transactions and Other Events</w:t>
      </w:r>
      <w:r>
        <w:rPr>
          <w:rFonts w:ascii="Arial" w:cs="Arial" w:eastAsia="Arial" w:hAnsi="Arial"/>
          <w:sz w:val="18"/>
          <w:szCs w:val="18"/>
          <w:color w:val="auto"/>
        </w:rPr>
        <w:t>.</w:t>
      </w:r>
    </w:p>
    <w:p>
      <w:pPr>
        <w:spacing w:after="0" w:line="212" w:lineRule="exact"/>
        <w:rPr>
          <w:sz w:val="20"/>
          <w:szCs w:val="20"/>
          <w:color w:val="auto"/>
        </w:rPr>
      </w:pPr>
    </w:p>
    <w:p>
      <w:pPr>
        <w:ind w:right="60" w:firstLine="757"/>
        <w:spacing w:after="0" w:line="244" w:lineRule="auto"/>
        <w:tabs>
          <w:tab w:leader="none" w:pos="1018" w:val="left"/>
        </w:tabs>
        <w:numPr>
          <w:ilvl w:val="0"/>
          <w:numId w:val="8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76" w:lineRule="exact"/>
        <w:rPr>
          <w:rFonts w:ascii="Arial" w:cs="Arial" w:eastAsia="Arial" w:hAnsi="Arial"/>
          <w:sz w:val="18"/>
          <w:szCs w:val="18"/>
          <w:u w:val="single" w:color="auto"/>
          <w:color w:val="auto"/>
        </w:rPr>
      </w:pPr>
    </w:p>
    <w:p>
      <w:pPr>
        <w:ind w:firstLine="757"/>
        <w:spacing w:after="0"/>
        <w:tabs>
          <w:tab w:leader="none" w:pos="1018" w:val="left"/>
        </w:tabs>
        <w:numPr>
          <w:ilvl w:val="0"/>
          <w:numId w:val="8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144" w:lineRule="exact"/>
        <w:rPr>
          <w:sz w:val="20"/>
          <w:szCs w:val="20"/>
          <w:color w:val="auto"/>
        </w:rPr>
      </w:pPr>
    </w:p>
    <w:p>
      <w:pPr>
        <w:ind w:right="100" w:firstLine="757"/>
        <w:spacing w:after="0" w:line="215" w:lineRule="exact"/>
        <w:tabs>
          <w:tab w:leader="none" w:pos="1018" w:val="left"/>
        </w:tabs>
        <w:numPr>
          <w:ilvl w:val="0"/>
          <w:numId w:val="8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82" w:lineRule="exact"/>
        <w:rPr>
          <w:rFonts w:ascii="Arial" w:cs="Arial" w:eastAsia="Arial" w:hAnsi="Arial"/>
          <w:sz w:val="18"/>
          <w:szCs w:val="18"/>
          <w:u w:val="single" w:color="auto"/>
          <w:color w:val="auto"/>
        </w:rPr>
      </w:pPr>
    </w:p>
    <w:p>
      <w:pPr>
        <w:ind w:right="240" w:firstLine="757"/>
        <w:spacing w:after="0" w:line="271" w:lineRule="auto"/>
        <w:tabs>
          <w:tab w:leader="none" w:pos="1018" w:val="left"/>
        </w:tabs>
        <w:numPr>
          <w:ilvl w:val="0"/>
          <w:numId w:val="8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153" w:lineRule="exact"/>
        <w:rPr>
          <w:rFonts w:ascii="Arial" w:cs="Arial" w:eastAsia="Arial" w:hAnsi="Arial"/>
          <w:sz w:val="18"/>
          <w:szCs w:val="18"/>
          <w:u w:val="single" w:color="auto"/>
          <w:color w:val="auto"/>
        </w:rPr>
      </w:pPr>
    </w:p>
    <w:p>
      <w:pPr>
        <w:ind w:right="260" w:firstLine="757"/>
        <w:spacing w:after="0" w:line="247" w:lineRule="auto"/>
        <w:tabs>
          <w:tab w:leader="none" w:pos="1018" w:val="left"/>
        </w:tabs>
        <w:numPr>
          <w:ilvl w:val="0"/>
          <w:numId w:val="8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ind w:right="400"/>
        <w:spacing w:after="0" w:line="271" w:lineRule="auto"/>
        <w:rPr>
          <w:sz w:val="20"/>
          <w:szCs w:val="20"/>
          <w:color w:val="auto"/>
        </w:rPr>
      </w:pPr>
      <w:r>
        <w:rPr>
          <w:rFonts w:ascii="Arial" w:cs="Arial" w:eastAsia="Arial" w:hAnsi="Arial"/>
          <w:sz w:val="18"/>
          <w:szCs w:val="18"/>
          <w:color w:val="auto"/>
        </w:rPr>
        <w:t>the dissolution or liquidation of the Company, or any sale or transfer of all or any part of the Company's assets or business, or any other corporate act or proceeding, whether of a similar character or otherwise.</w:t>
      </w:r>
    </w:p>
    <w:p>
      <w:pPr>
        <w:spacing w:after="0" w:line="154" w:lineRule="exact"/>
        <w:rPr>
          <w:sz w:val="20"/>
          <w:szCs w:val="20"/>
          <w:color w:val="auto"/>
        </w:rPr>
      </w:pPr>
    </w:p>
    <w:p>
      <w:pPr>
        <w:ind w:right="20" w:firstLine="757"/>
        <w:spacing w:after="0" w:line="239" w:lineRule="auto"/>
        <w:tabs>
          <w:tab w:leader="none" w:pos="1018" w:val="left"/>
        </w:tabs>
        <w:numPr>
          <w:ilvl w:val="0"/>
          <w:numId w:val="8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9" w:lineRule="exact"/>
        <w:rPr>
          <w:rFonts w:ascii="Arial" w:cs="Arial" w:eastAsia="Arial" w:hAnsi="Arial"/>
          <w:sz w:val="18"/>
          <w:szCs w:val="18"/>
          <w:u w:val="single" w:color="auto"/>
          <w:color w:val="auto"/>
        </w:rPr>
      </w:pPr>
    </w:p>
    <w:p>
      <w:pPr>
        <w:ind w:firstLine="757"/>
        <w:spacing w:after="0" w:line="239" w:lineRule="auto"/>
        <w:tabs>
          <w:tab w:leader="none" w:pos="1018" w:val="left"/>
        </w:tabs>
        <w:numPr>
          <w:ilvl w:val="0"/>
          <w:numId w:val="8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rFonts w:ascii="Arial" w:cs="Arial" w:eastAsia="Arial" w:hAnsi="Arial"/>
          <w:sz w:val="18"/>
          <w:szCs w:val="18"/>
          <w:u w:val="single" w:color="auto"/>
          <w:color w:val="auto"/>
        </w:rPr>
      </w:pPr>
    </w:p>
    <w:p>
      <w:pPr>
        <w:ind w:right="140" w:firstLine="757"/>
        <w:spacing w:after="0" w:line="247" w:lineRule="auto"/>
        <w:tabs>
          <w:tab w:leader="none" w:pos="1018" w:val="left"/>
        </w:tabs>
        <w:numPr>
          <w:ilvl w:val="0"/>
          <w:numId w:val="8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73" w:lineRule="exact"/>
        <w:rPr>
          <w:rFonts w:ascii="Arial" w:cs="Arial" w:eastAsia="Arial" w:hAnsi="Arial"/>
          <w:sz w:val="18"/>
          <w:szCs w:val="18"/>
          <w:u w:val="single" w:color="auto"/>
          <w:color w:val="auto"/>
        </w:rPr>
      </w:pPr>
    </w:p>
    <w:p>
      <w:pPr>
        <w:jc w:val="both"/>
        <w:ind w:right="80" w:firstLine="757"/>
        <w:spacing w:after="0" w:line="253" w:lineRule="auto"/>
        <w:tabs>
          <w:tab w:leader="none" w:pos="1018" w:val="left"/>
        </w:tabs>
        <w:numPr>
          <w:ilvl w:val="0"/>
          <w:numId w:val="8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any manner that would have a materially adverse effect on the RSUs as determined in the discretion of the Administrator, except as provided in the Plan or in a written document signed by each of the parties hereto.</w:t>
      </w:r>
    </w:p>
    <w:p>
      <w:pPr>
        <w:spacing w:after="0" w:line="168" w:lineRule="exact"/>
        <w:rPr>
          <w:rFonts w:ascii="Arial" w:cs="Arial" w:eastAsia="Arial" w:hAnsi="Arial"/>
          <w:sz w:val="18"/>
          <w:szCs w:val="18"/>
          <w:u w:val="single" w:color="auto"/>
          <w:color w:val="auto"/>
        </w:rPr>
      </w:pPr>
    </w:p>
    <w:p>
      <w:pPr>
        <w:ind w:right="20" w:firstLine="757"/>
        <w:spacing w:after="0" w:line="238" w:lineRule="auto"/>
        <w:tabs>
          <w:tab w:leader="none" w:pos="1018" w:val="left"/>
        </w:tabs>
        <w:numPr>
          <w:ilvl w:val="0"/>
          <w:numId w:val="84"/>
        </w:numPr>
        <w:rPr>
          <w:rFonts w:ascii="Arial" w:cs="Arial" w:eastAsia="Arial" w:hAnsi="Arial"/>
          <w:sz w:val="18"/>
          <w:szCs w:val="18"/>
          <w:u w:val="single" w:color="auto"/>
          <w:color w:val="auto"/>
        </w:rPr>
      </w:pPr>
      <w:r>
        <w:rPr>
          <w:rFonts w:ascii="Arial" w:cs="Arial" w:eastAsia="Arial" w:hAnsi="Arial"/>
          <w:sz w:val="18"/>
          <w:szCs w:val="18"/>
          <w:color w:val="auto"/>
        </w:rPr>
        <w:t>Recoupment Policy.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(as determined by the Administrator) of the shares on the date of the breach of any restrictive covenant agreement or activity constituting Cause). You agree that payment shall be made in such manner and on such terms and conditions as may be required by the Committee and you shall be entitled to set off against the amount of any such payment any amounts otherwise owed to you by the Company. In addition, you agree that the RSU shall be subject to any applicable clawback or recoupment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policies, share trading policies and other policies that may be implemented by the Board from time to time.</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180" w:lineRule="exact"/>
        <w:rPr>
          <w:sz w:val="20"/>
          <w:szCs w:val="20"/>
          <w:color w:val="auto"/>
        </w:rPr>
      </w:pPr>
    </w:p>
    <w:p>
      <w:pPr>
        <w:ind w:right="40" w:firstLine="757"/>
        <w:spacing w:after="0" w:line="247" w:lineRule="auto"/>
        <w:tabs>
          <w:tab w:leader="none" w:pos="1018"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73" w:lineRule="exact"/>
        <w:rPr>
          <w:rFonts w:ascii="Arial" w:cs="Arial" w:eastAsia="Arial" w:hAnsi="Arial"/>
          <w:sz w:val="18"/>
          <w:szCs w:val="18"/>
          <w:u w:val="single" w:color="auto"/>
          <w:color w:val="auto"/>
        </w:rPr>
      </w:pPr>
    </w:p>
    <w:p>
      <w:pPr>
        <w:jc w:val="both"/>
        <w:ind w:right="260" w:firstLine="757"/>
        <w:spacing w:after="0" w:line="247" w:lineRule="auto"/>
        <w:tabs>
          <w:tab w:leader="none" w:pos="1018"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3" w:lineRule="exact"/>
        <w:rPr>
          <w:rFonts w:ascii="Arial" w:cs="Arial" w:eastAsia="Arial" w:hAnsi="Arial"/>
          <w:sz w:val="18"/>
          <w:szCs w:val="18"/>
          <w:u w:val="single" w:color="auto"/>
          <w:color w:val="auto"/>
        </w:rPr>
      </w:pPr>
    </w:p>
    <w:p>
      <w:pPr>
        <w:ind w:right="120" w:firstLine="757"/>
        <w:spacing w:after="0" w:line="253" w:lineRule="auto"/>
        <w:tabs>
          <w:tab w:leader="none" w:pos="1018"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168" w:lineRule="exact"/>
        <w:rPr>
          <w:rFonts w:ascii="Arial" w:cs="Arial" w:eastAsia="Arial" w:hAnsi="Arial"/>
          <w:sz w:val="18"/>
          <w:szCs w:val="18"/>
          <w:u w:val="single" w:color="auto"/>
          <w:color w:val="auto"/>
        </w:rPr>
      </w:pPr>
    </w:p>
    <w:p>
      <w:pPr>
        <w:ind w:left="1020" w:hanging="263"/>
        <w:spacing w:after="0"/>
        <w:tabs>
          <w:tab w:leader="none" w:pos="1020"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w:t>
      </w:r>
    </w:p>
    <w:p>
      <w:pPr>
        <w:spacing w:after="0" w:line="13" w:lineRule="exact"/>
        <w:rPr>
          <w:rFonts w:ascii="Arial" w:cs="Arial" w:eastAsia="Arial" w:hAnsi="Arial"/>
          <w:sz w:val="18"/>
          <w:szCs w:val="18"/>
          <w:u w:val="single" w:color="auto"/>
          <w:color w:val="auto"/>
        </w:rPr>
      </w:pPr>
    </w:p>
    <w:p>
      <w:pPr>
        <w:jc w:val="both"/>
        <w:ind w:right="120"/>
        <w:spacing w:after="0" w:line="242" w:lineRule="auto"/>
        <w:rPr>
          <w:rFonts w:ascii="Arial" w:cs="Arial" w:eastAsia="Arial" w:hAnsi="Arial"/>
          <w:sz w:val="18"/>
          <w:szCs w:val="18"/>
          <w:u w:val="single" w:color="auto"/>
          <w:color w:val="auto"/>
        </w:rPr>
      </w:pPr>
      <w:r>
        <w:rPr>
          <w:rFonts w:ascii="Arial" w:cs="Arial" w:eastAsia="Arial" w:hAnsi="Arial"/>
          <w:sz w:val="18"/>
          <w:szCs w:val="18"/>
          <w:color w:val="auto"/>
        </w:rPr>
        <w:t>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179" w:lineRule="exact"/>
        <w:rPr>
          <w:rFonts w:ascii="Arial" w:cs="Arial" w:eastAsia="Arial" w:hAnsi="Arial"/>
          <w:sz w:val="18"/>
          <w:szCs w:val="18"/>
          <w:u w:val="single" w:color="auto"/>
          <w:color w:val="auto"/>
        </w:rPr>
      </w:pPr>
    </w:p>
    <w:p>
      <w:pPr>
        <w:ind w:right="20" w:firstLine="757"/>
        <w:spacing w:after="0"/>
        <w:tabs>
          <w:tab w:leader="none" w:pos="1018"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80" w:lineRule="exact"/>
        <w:rPr>
          <w:rFonts w:ascii="Arial" w:cs="Arial" w:eastAsia="Arial" w:hAnsi="Arial"/>
          <w:sz w:val="18"/>
          <w:szCs w:val="18"/>
          <w:u w:val="single" w:color="auto"/>
          <w:color w:val="auto"/>
        </w:rPr>
      </w:pPr>
    </w:p>
    <w:p>
      <w:pPr>
        <w:jc w:val="both"/>
        <w:ind w:right="120" w:firstLine="757"/>
        <w:spacing w:after="0" w:line="247" w:lineRule="auto"/>
        <w:tabs>
          <w:tab w:leader="none" w:pos="1018" w:val="left"/>
        </w:tabs>
        <w:numPr>
          <w:ilvl w:val="0"/>
          <w:numId w:val="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ind w:right="100"/>
        <w:spacing w:after="0" w:line="247" w:lineRule="auto"/>
        <w:rPr>
          <w:sz w:val="20"/>
          <w:szCs w:val="20"/>
          <w:color w:val="auto"/>
        </w:rPr>
      </w:pPr>
      <w:r>
        <w:rPr>
          <w:rFonts w:ascii="Arial" w:cs="Arial" w:eastAsia="Arial" w:hAnsi="Arial"/>
          <w:sz w:val="18"/>
          <w:szCs w:val="18"/>
          <w:color w:val="auto"/>
        </w:rPr>
        <w:t>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4" w:lineRule="exact"/>
        <w:rPr>
          <w:sz w:val="20"/>
          <w:szCs w:val="20"/>
          <w:color w:val="auto"/>
        </w:rPr>
      </w:pPr>
    </w:p>
    <w:p>
      <w:pPr>
        <w:ind w:right="160" w:firstLine="757"/>
        <w:spacing w:after="0" w:line="271" w:lineRule="auto"/>
        <w:tabs>
          <w:tab w:leader="none" w:pos="1018"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53" w:lineRule="exact"/>
        <w:rPr>
          <w:rFonts w:ascii="Arial" w:cs="Arial" w:eastAsia="Arial" w:hAnsi="Arial"/>
          <w:sz w:val="18"/>
          <w:szCs w:val="18"/>
          <w:u w:val="single" w:color="auto"/>
          <w:color w:val="auto"/>
        </w:rPr>
      </w:pPr>
    </w:p>
    <w:p>
      <w:pPr>
        <w:ind w:right="40" w:firstLine="757"/>
        <w:spacing w:after="0" w:line="242" w:lineRule="auto"/>
        <w:tabs>
          <w:tab w:leader="none" w:pos="1018"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78" w:lineRule="exact"/>
        <w:rPr>
          <w:rFonts w:ascii="Arial" w:cs="Arial" w:eastAsia="Arial" w:hAnsi="Arial"/>
          <w:sz w:val="18"/>
          <w:szCs w:val="18"/>
          <w:u w:val="single" w:color="auto"/>
          <w:color w:val="auto"/>
        </w:rPr>
      </w:pPr>
    </w:p>
    <w:p>
      <w:pPr>
        <w:ind w:firstLine="757"/>
        <w:spacing w:after="0" w:line="238" w:lineRule="auto"/>
        <w:tabs>
          <w:tab w:leader="none" w:pos="1018"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85" w:lineRule="exact"/>
        <w:rPr>
          <w:rFonts w:ascii="Arial" w:cs="Arial" w:eastAsia="Arial" w:hAnsi="Arial"/>
          <w:sz w:val="18"/>
          <w:szCs w:val="18"/>
          <w:u w:val="single" w:color="auto"/>
          <w:color w:val="auto"/>
        </w:rPr>
      </w:pPr>
    </w:p>
    <w:p>
      <w:pPr>
        <w:ind w:firstLine="757"/>
        <w:spacing w:after="0" w:line="237" w:lineRule="auto"/>
        <w:tabs>
          <w:tab w:leader="none" w:pos="1018"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spacing w:after="0" w:line="271" w:lineRule="auto"/>
        <w:rPr>
          <w:sz w:val="20"/>
          <w:szCs w:val="20"/>
          <w:color w:val="auto"/>
        </w:rPr>
      </w:pPr>
      <w:r>
        <w:rPr>
          <w:rFonts w:ascii="Arial" w:cs="Arial" w:eastAsia="Arial" w:hAnsi="Arial"/>
          <w:sz w:val="18"/>
          <w:szCs w:val="18"/>
          <w:color w:val="auto"/>
        </w:rPr>
        <w:t>writing the Company’s Secretary. You understand, however, that refusing or withdrawing your consent may affect your ability to accept a restricted stock unit award.</w:t>
      </w:r>
    </w:p>
    <w:p>
      <w:pPr>
        <w:spacing w:after="0" w:line="15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17" w:right="77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color w:val="auto"/>
        </w:rPr>
        <w:t>GLOSSARY</w:t>
      </w:r>
    </w:p>
    <w:p>
      <w:pPr>
        <w:spacing w:after="0" w:line="320" w:lineRule="exact"/>
        <w:rPr>
          <w:sz w:val="20"/>
          <w:szCs w:val="20"/>
          <w:color w:val="auto"/>
        </w:rPr>
      </w:pPr>
    </w:p>
    <w:p>
      <w:pPr>
        <w:ind w:left="1900" w:hanging="395"/>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herein by reference.</w:t>
      </w:r>
    </w:p>
    <w:p>
      <w:pPr>
        <w:spacing w:after="0" w:line="190" w:lineRule="exact"/>
        <w:rPr>
          <w:rFonts w:ascii="Arial" w:cs="Arial" w:eastAsia="Arial" w:hAnsi="Arial"/>
          <w:sz w:val="18"/>
          <w:szCs w:val="18"/>
          <w:color w:val="auto"/>
        </w:rPr>
      </w:pPr>
    </w:p>
    <w:p>
      <w:pPr>
        <w:ind w:left="1900" w:hanging="395"/>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9"/>
          <w:szCs w:val="19"/>
          <w:color w:val="auto"/>
        </w:rPr>
        <w:t>has the meaning set forth in the Plan.</w:t>
      </w:r>
    </w:p>
    <w:p>
      <w:pPr>
        <w:spacing w:after="0" w:line="216" w:lineRule="exact"/>
        <w:rPr>
          <w:rFonts w:ascii="Arial" w:cs="Arial" w:eastAsia="Arial" w:hAnsi="Arial"/>
          <w:sz w:val="18"/>
          <w:szCs w:val="18"/>
          <w:color w:val="auto"/>
        </w:rPr>
      </w:pPr>
    </w:p>
    <w:p>
      <w:pPr>
        <w:ind w:left="1900" w:hanging="395"/>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w:t>
      </w:r>
      <w:r>
        <w:rPr>
          <w:rFonts w:ascii="Arial" w:cs="Arial" w:eastAsia="Arial" w:hAnsi="Arial"/>
          <w:sz w:val="18"/>
          <w:szCs w:val="18"/>
          <w:color w:val="auto"/>
        </w:rPr>
        <w:t>” shall mean common stock of the Company.</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18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Axsome Therapeutics, Inc., and shall include all its successors except where the context otherwise requires. For purposes of determining whether a Change of Control has occurred, Company shall mean only Axsome Therapeutics, Inc.</w:t>
      </w:r>
    </w:p>
    <w:p>
      <w:pPr>
        <w:spacing w:after="0" w:line="168" w:lineRule="exact"/>
        <w:rPr>
          <w:rFonts w:ascii="Arial" w:cs="Arial" w:eastAsia="Arial" w:hAnsi="Arial"/>
          <w:sz w:val="18"/>
          <w:szCs w:val="18"/>
          <w:color w:val="auto"/>
        </w:rPr>
      </w:pPr>
    </w:p>
    <w:p>
      <w:pPr>
        <w:ind w:left="1900" w:hanging="395"/>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Axsome Therapeutics, Inc. 2015 Omnibus Incentive Compensation Plan, as in effect from time to</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w:t>
      </w:r>
    </w:p>
    <w:p>
      <w:pPr>
        <w:spacing w:after="0" w:line="193" w:lineRule="exact"/>
        <w:rPr>
          <w:rFonts w:ascii="Arial" w:cs="Arial" w:eastAsia="Arial" w:hAnsi="Arial"/>
          <w:sz w:val="18"/>
          <w:szCs w:val="18"/>
          <w:color w:val="auto"/>
        </w:rPr>
      </w:pPr>
    </w:p>
    <w:p>
      <w:pPr>
        <w:ind w:right="20" w:firstLine="1505"/>
        <w:spacing w:after="0" w:line="271" w:lineRule="auto"/>
        <w:tabs>
          <w:tab w:leader="none" w:pos="18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rFonts w:ascii="Arial" w:cs="Arial" w:eastAsia="Arial" w:hAnsi="Arial"/>
          <w:sz w:val="18"/>
          <w:szCs w:val="18"/>
          <w:color w:val="auto"/>
        </w:rPr>
      </w:pPr>
    </w:p>
    <w:p>
      <w:pPr>
        <w:jc w:val="both"/>
        <w:ind w:firstLine="1505"/>
        <w:spacing w:after="0" w:line="247" w:lineRule="auto"/>
        <w:tabs>
          <w:tab w:leader="none" w:pos="1897"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jc w:val="center"/>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r>
        <w:rPr>
          <w:rFonts w:ascii="Arial" w:cs="Arial" w:eastAsia="Arial" w:hAnsi="Arial"/>
          <w:sz w:val="18"/>
          <w:szCs w:val="18"/>
          <w:color w:val="auto"/>
        </w:rPr>
        <w:t>: __________________________________</w:t>
      </w:r>
    </w:p>
    <w:p>
      <w:pPr>
        <w:spacing w:after="0" w:line="200" w:lineRule="exact"/>
        <w:rPr>
          <w:sz w:val="20"/>
          <w:szCs w:val="20"/>
          <w:color w:val="auto"/>
        </w:rPr>
      </w:pPr>
    </w:p>
    <w:p>
      <w:pPr>
        <w:spacing w:after="0" w:line="22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Axsome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Axsome Therapeutics, Inc. 2015 Omnibus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 RSUs: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Vesting Schedule: All of the RSUs are nonvested and forfeitable as of the Grant Date. So long as your employment or service is continuous from the Grant Date through the applicable date upon which vesting is scheduled to occur:</w:t>
      </w:r>
    </w:p>
    <w:p>
      <w:pPr>
        <w:spacing w:after="0" w:line="154" w:lineRule="exact"/>
        <w:rPr>
          <w:sz w:val="20"/>
          <w:szCs w:val="20"/>
          <w:color w:val="auto"/>
        </w:rPr>
      </w:pPr>
    </w:p>
    <w:p>
      <w:pPr>
        <w:jc w:val="both"/>
        <w:ind w:left="760" w:right="760"/>
        <w:spacing w:after="0" w:line="247" w:lineRule="auto"/>
        <w:rPr>
          <w:sz w:val="20"/>
          <w:szCs w:val="20"/>
          <w:color w:val="auto"/>
        </w:rPr>
      </w:pPr>
      <w:r>
        <w:rPr>
          <w:rFonts w:ascii="Arial" w:cs="Arial" w:eastAsia="Arial" w:hAnsi="Arial"/>
          <w:sz w:val="18"/>
          <w:szCs w:val="18"/>
          <w:color w:val="auto"/>
        </w:rPr>
        <w:t>twenty-five percent (25%) of the RSUs will be vested on the first anniversary of the Grant Date (the “</w:t>
      </w:r>
      <w:r>
        <w:rPr>
          <w:rFonts w:ascii="Arial" w:cs="Arial" w:eastAsia="Arial" w:hAnsi="Arial"/>
          <w:sz w:val="18"/>
          <w:szCs w:val="18"/>
          <w:u w:val="single" w:color="auto"/>
          <w:color w:val="auto"/>
        </w:rPr>
        <w:t>Initial Vesting Date</w:t>
      </w:r>
      <w:r>
        <w:rPr>
          <w:rFonts w:ascii="Arial" w:cs="Arial" w:eastAsia="Arial" w:hAnsi="Arial"/>
          <w:sz w:val="18"/>
          <w:szCs w:val="18"/>
          <w:color w:val="auto"/>
        </w:rPr>
        <w:t>”) and as to an additional twenty-five percent (25%) of the original number of RSUs on each anniversary of each such date following the Initial Vesting Date such that 100% of the RSUs will be vested and nonforfeitable on the fourth anniversary of the Grant Date.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if your employment or service with the Company is terminated coincident with or within one year following a Change of Control by the Company or its successor without Cause, the RSUs that are unvested as of the date of termination will immediately become 100%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ind w:left="120"/>
        <w:spacing w:after="0"/>
        <w:tabs>
          <w:tab w:leader="none" w:pos="920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1" w:lineRule="exact"/>
        <w:rPr>
          <w:sz w:val="20"/>
          <w:szCs w:val="20"/>
          <w:color w:val="auto"/>
        </w:rPr>
      </w:pPr>
    </w:p>
    <w:p>
      <w:pPr>
        <w:ind w:left="120"/>
        <w:spacing w:after="0"/>
        <w:tabs>
          <w:tab w:leader="none" w:pos="888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Unit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jc w:val="center"/>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194" w:lineRule="exact"/>
        <w:rPr>
          <w:sz w:val="20"/>
          <w:szCs w:val="20"/>
          <w:color w:val="auto"/>
        </w:rPr>
      </w:pPr>
    </w:p>
    <w:p>
      <w:pPr>
        <w:ind w:right="20" w:firstLine="757"/>
        <w:spacing w:after="0" w:line="271" w:lineRule="auto"/>
        <w:tabs>
          <w:tab w:leader="none" w:pos="1018"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53" w:lineRule="exact"/>
        <w:rPr>
          <w:rFonts w:ascii="Arial" w:cs="Arial" w:eastAsia="Arial" w:hAnsi="Arial"/>
          <w:sz w:val="18"/>
          <w:szCs w:val="18"/>
          <w:u w:val="single" w:color="auto"/>
          <w:color w:val="auto"/>
        </w:rPr>
      </w:pPr>
    </w:p>
    <w:p>
      <w:pPr>
        <w:jc w:val="both"/>
        <w:ind w:firstLine="757"/>
        <w:spacing w:after="0" w:line="247" w:lineRule="auto"/>
        <w:tabs>
          <w:tab w:leader="none" w:pos="1018"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173" w:lineRule="exact"/>
        <w:rPr>
          <w:rFonts w:ascii="Arial" w:cs="Arial" w:eastAsia="Arial" w:hAnsi="Arial"/>
          <w:sz w:val="18"/>
          <w:szCs w:val="18"/>
          <w:u w:val="single" w:color="auto"/>
          <w:color w:val="auto"/>
        </w:rPr>
      </w:pPr>
    </w:p>
    <w:p>
      <w:pPr>
        <w:jc w:val="both"/>
        <w:ind w:firstLine="757"/>
        <w:spacing w:after="0" w:line="247" w:lineRule="auto"/>
        <w:tabs>
          <w:tab w:leader="none" w:pos="1018"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w:t>
      </w:r>
    </w:p>
    <w:p>
      <w:pPr>
        <w:spacing w:after="0" w:line="173" w:lineRule="exact"/>
        <w:rPr>
          <w:rFonts w:ascii="Arial" w:cs="Arial" w:eastAsia="Arial" w:hAnsi="Arial"/>
          <w:sz w:val="18"/>
          <w:szCs w:val="18"/>
          <w:u w:val="single" w:color="auto"/>
          <w:color w:val="auto"/>
        </w:rPr>
      </w:pPr>
    </w:p>
    <w:p>
      <w:pPr>
        <w:jc w:val="both"/>
        <w:ind w:firstLine="757"/>
        <w:spacing w:after="0" w:line="244" w:lineRule="auto"/>
        <w:tabs>
          <w:tab w:leader="none" w:pos="1018"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vested during your lifetime only by you or your guardian or legal representative. Notwithstanding the foregoing, the RSUs may be transferred upon your death by last will and testament or under the laws of descent and distribution.</w:t>
      </w:r>
    </w:p>
    <w:p>
      <w:pPr>
        <w:spacing w:after="0" w:line="176" w:lineRule="exact"/>
        <w:rPr>
          <w:rFonts w:ascii="Arial" w:cs="Arial" w:eastAsia="Arial" w:hAnsi="Arial"/>
          <w:sz w:val="18"/>
          <w:szCs w:val="18"/>
          <w:u w:val="single" w:color="auto"/>
          <w:color w:val="auto"/>
        </w:rPr>
      </w:pPr>
    </w:p>
    <w:p>
      <w:pPr>
        <w:ind w:left="1020" w:hanging="263"/>
        <w:spacing w:after="0"/>
        <w:tabs>
          <w:tab w:leader="none" w:pos="1020"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12" w:lineRule="exact"/>
        <w:rPr>
          <w:sz w:val="20"/>
          <w:szCs w:val="20"/>
          <w:color w:val="auto"/>
        </w:rPr>
      </w:pPr>
    </w:p>
    <w:p>
      <w:pPr>
        <w:ind w:right="60" w:firstLine="757"/>
        <w:spacing w:after="0"/>
        <w:tabs>
          <w:tab w:leader="none" w:pos="1018" w:val="left"/>
        </w:tabs>
        <w:numPr>
          <w:ilvl w:val="0"/>
          <w:numId w:val="8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vested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84" w:lineRule="exact"/>
        <w:rPr>
          <w:rFonts w:ascii="Arial" w:cs="Arial" w:eastAsia="Arial" w:hAnsi="Arial"/>
          <w:sz w:val="18"/>
          <w:szCs w:val="18"/>
          <w:u w:val="single" w:color="auto"/>
          <w:color w:val="auto"/>
        </w:rPr>
      </w:pPr>
    </w:p>
    <w:p>
      <w:pPr>
        <w:ind w:right="40" w:firstLine="757"/>
        <w:spacing w:after="0"/>
        <w:tabs>
          <w:tab w:leader="none" w:pos="1018" w:val="left"/>
        </w:tabs>
        <w:numPr>
          <w:ilvl w:val="0"/>
          <w:numId w:val="8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Timing of Settlement</w:t>
      </w:r>
      <w:r>
        <w:rPr>
          <w:rFonts w:ascii="Arial" w:cs="Arial" w:eastAsia="Arial" w:hAnsi="Arial"/>
          <w:sz w:val="18"/>
          <w:szCs w:val="18"/>
          <w:color w:val="auto"/>
        </w:rPr>
        <w:t>. Your vested RSUs will be settled by the Company, via the issuance of Company Stock as described herein, on the earliest of one of the following events: (1) Change of Control; (2) your “separation from service” as defined in Section 409A and applicable regulations and guidance thereunder (“Section 409A”), including your termination due to death or Disability; or (3) the seventh (7th) anniversary of the Grant Date.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Section 409A and shall be construed and administered in such a manner.</w:t>
      </w:r>
    </w:p>
    <w:p>
      <w:pPr>
        <w:spacing w:after="0" w:line="185" w:lineRule="exact"/>
        <w:rPr>
          <w:sz w:val="20"/>
          <w:szCs w:val="20"/>
          <w:color w:val="auto"/>
        </w:rPr>
      </w:pPr>
    </w:p>
    <w:p>
      <w:pPr>
        <w:jc w:val="both"/>
        <w:ind w:firstLine="757"/>
        <w:spacing w:after="0" w:line="253" w:lineRule="auto"/>
        <w:tabs>
          <w:tab w:leader="none" w:pos="1018" w:val="left"/>
        </w:tabs>
        <w:numPr>
          <w:ilvl w:val="0"/>
          <w:numId w:val="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before or thereafter as requested by the Company, you hereby authorize any required withholding from the Company Stock issuable to you and/or otherwise agree to make adequate provision in cash for any sums required to satisfy the federal, state, local and foreign tax withholding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jc w:val="both"/>
        <w:spacing w:after="0" w:line="237" w:lineRule="auto"/>
        <w:rPr>
          <w:sz w:val="20"/>
          <w:szCs w:val="20"/>
          <w:color w:val="auto"/>
        </w:rPr>
      </w:pPr>
      <w:r>
        <w:rPr>
          <w:rFonts w:ascii="Arial" w:cs="Arial" w:eastAsia="Arial" w:hAnsi="Arial"/>
          <w:sz w:val="18"/>
          <w:szCs w:val="18"/>
          <w:color w:val="auto"/>
        </w:rPr>
        <w:t>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end of trading on the trading date immediately prior to the date on which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7.  Adjustments for Corporate Transactions and Other Events</w:t>
      </w:r>
      <w:r>
        <w:rPr>
          <w:rFonts w:ascii="Arial" w:cs="Arial" w:eastAsia="Arial" w:hAnsi="Arial"/>
          <w:sz w:val="18"/>
          <w:szCs w:val="18"/>
          <w:color w:val="auto"/>
        </w:rPr>
        <w:t>.</w:t>
      </w:r>
    </w:p>
    <w:p>
      <w:pPr>
        <w:spacing w:after="0" w:line="212" w:lineRule="exact"/>
        <w:rPr>
          <w:sz w:val="20"/>
          <w:szCs w:val="20"/>
          <w:color w:val="auto"/>
        </w:rPr>
      </w:pPr>
    </w:p>
    <w:p>
      <w:pPr>
        <w:ind w:right="60" w:firstLine="757"/>
        <w:spacing w:after="0" w:line="244" w:lineRule="auto"/>
        <w:tabs>
          <w:tab w:leader="none" w:pos="1018" w:val="left"/>
        </w:tabs>
        <w:numPr>
          <w:ilvl w:val="0"/>
          <w:numId w:val="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76" w:lineRule="exact"/>
        <w:rPr>
          <w:rFonts w:ascii="Arial" w:cs="Arial" w:eastAsia="Arial" w:hAnsi="Arial"/>
          <w:sz w:val="18"/>
          <w:szCs w:val="18"/>
          <w:u w:val="single" w:color="auto"/>
          <w:color w:val="auto"/>
        </w:rPr>
      </w:pPr>
    </w:p>
    <w:p>
      <w:pPr>
        <w:ind w:firstLine="757"/>
        <w:spacing w:after="0"/>
        <w:tabs>
          <w:tab w:leader="none" w:pos="1018" w:val="left"/>
        </w:tabs>
        <w:numPr>
          <w:ilvl w:val="0"/>
          <w:numId w:val="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144" w:lineRule="exact"/>
        <w:rPr>
          <w:sz w:val="20"/>
          <w:szCs w:val="20"/>
          <w:color w:val="auto"/>
        </w:rPr>
      </w:pPr>
    </w:p>
    <w:p>
      <w:pPr>
        <w:jc w:val="both"/>
        <w:ind w:firstLine="757"/>
        <w:spacing w:after="0" w:line="215" w:lineRule="exact"/>
        <w:tabs>
          <w:tab w:leader="none" w:pos="1018" w:val="left"/>
        </w:tabs>
        <w:numPr>
          <w:ilvl w:val="0"/>
          <w:numId w:val="9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82" w:lineRule="exact"/>
        <w:rPr>
          <w:rFonts w:ascii="Arial" w:cs="Arial" w:eastAsia="Arial" w:hAnsi="Arial"/>
          <w:sz w:val="18"/>
          <w:szCs w:val="18"/>
          <w:u w:val="single" w:color="auto"/>
          <w:color w:val="auto"/>
        </w:rPr>
      </w:pPr>
    </w:p>
    <w:p>
      <w:pPr>
        <w:ind w:firstLine="757"/>
        <w:spacing w:after="0" w:line="271" w:lineRule="auto"/>
        <w:tabs>
          <w:tab w:leader="none" w:pos="1018" w:val="left"/>
        </w:tabs>
        <w:numPr>
          <w:ilvl w:val="0"/>
          <w:numId w:val="9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153" w:lineRule="exact"/>
        <w:rPr>
          <w:rFonts w:ascii="Arial" w:cs="Arial" w:eastAsia="Arial" w:hAnsi="Arial"/>
          <w:sz w:val="18"/>
          <w:szCs w:val="18"/>
          <w:u w:val="single" w:color="auto"/>
          <w:color w:val="auto"/>
        </w:rPr>
      </w:pPr>
    </w:p>
    <w:p>
      <w:pPr>
        <w:ind w:firstLine="757"/>
        <w:spacing w:after="0" w:line="271" w:lineRule="auto"/>
        <w:tabs>
          <w:tab w:leader="none" w:pos="1018" w:val="left"/>
        </w:tabs>
        <w:numPr>
          <w:ilvl w:val="0"/>
          <w:numId w:val="9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jc w:val="both"/>
        <w:spacing w:after="0" w:line="247" w:lineRule="auto"/>
        <w:rPr>
          <w:sz w:val="20"/>
          <w:szCs w:val="20"/>
          <w:color w:val="auto"/>
        </w:rPr>
      </w:pPr>
      <w:r>
        <w:rPr>
          <w:rFonts w:ascii="Arial" w:cs="Arial" w:eastAsia="Arial" w:hAnsi="Arial"/>
          <w:sz w:val="18"/>
          <w:szCs w:val="18"/>
          <w:color w:val="auto"/>
        </w:rPr>
        <w:t>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4" w:lineRule="exact"/>
        <w:rPr>
          <w:sz w:val="20"/>
          <w:szCs w:val="20"/>
          <w:color w:val="auto"/>
        </w:rPr>
      </w:pPr>
    </w:p>
    <w:p>
      <w:pPr>
        <w:jc w:val="both"/>
        <w:ind w:firstLine="757"/>
        <w:spacing w:after="0" w:line="239" w:lineRule="auto"/>
        <w:tabs>
          <w:tab w:leader="none" w:pos="1018"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9" w:lineRule="exact"/>
        <w:rPr>
          <w:rFonts w:ascii="Arial" w:cs="Arial" w:eastAsia="Arial" w:hAnsi="Arial"/>
          <w:sz w:val="18"/>
          <w:szCs w:val="18"/>
          <w:u w:val="single" w:color="auto"/>
          <w:color w:val="auto"/>
        </w:rPr>
      </w:pPr>
    </w:p>
    <w:p>
      <w:pPr>
        <w:jc w:val="both"/>
        <w:ind w:firstLine="757"/>
        <w:spacing w:after="0" w:line="239" w:lineRule="auto"/>
        <w:tabs>
          <w:tab w:leader="none" w:pos="1018"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rFonts w:ascii="Arial" w:cs="Arial" w:eastAsia="Arial" w:hAnsi="Arial"/>
          <w:sz w:val="18"/>
          <w:szCs w:val="18"/>
          <w:u w:val="single" w:color="auto"/>
          <w:color w:val="auto"/>
        </w:rPr>
      </w:pPr>
    </w:p>
    <w:p>
      <w:pPr>
        <w:jc w:val="both"/>
        <w:ind w:firstLine="757"/>
        <w:spacing w:after="0" w:line="247" w:lineRule="auto"/>
        <w:tabs>
          <w:tab w:leader="none" w:pos="1018"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173" w:lineRule="exact"/>
        <w:rPr>
          <w:rFonts w:ascii="Arial" w:cs="Arial" w:eastAsia="Arial" w:hAnsi="Arial"/>
          <w:sz w:val="18"/>
          <w:szCs w:val="18"/>
          <w:u w:val="single" w:color="auto"/>
          <w:color w:val="auto"/>
        </w:rPr>
      </w:pPr>
    </w:p>
    <w:p>
      <w:pPr>
        <w:jc w:val="both"/>
        <w:ind w:firstLine="757"/>
        <w:spacing w:after="0" w:line="253" w:lineRule="auto"/>
        <w:tabs>
          <w:tab w:leader="none" w:pos="1018"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8" w:lineRule="exact"/>
        <w:rPr>
          <w:rFonts w:ascii="Arial" w:cs="Arial" w:eastAsia="Arial" w:hAnsi="Arial"/>
          <w:sz w:val="18"/>
          <w:szCs w:val="18"/>
          <w:u w:val="single" w:color="auto"/>
          <w:color w:val="auto"/>
        </w:rPr>
      </w:pPr>
    </w:p>
    <w:p>
      <w:pPr>
        <w:jc w:val="both"/>
        <w:ind w:firstLine="757"/>
        <w:spacing w:after="0" w:line="239" w:lineRule="auto"/>
        <w:tabs>
          <w:tab w:leader="none" w:pos="1018"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Recoupment Policy</w:t>
      </w:r>
      <w:r>
        <w:rPr>
          <w:rFonts w:ascii="Arial" w:cs="Arial" w:eastAsia="Arial" w:hAnsi="Arial"/>
          <w:sz w:val="18"/>
          <w:szCs w:val="18"/>
          <w:color w:val="auto"/>
        </w:rPr>
        <w:t>.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(as determined by the Administrator) of the shares on the date of the breach of any restrictive covenant agreement or activity constituting Cause). You agree that payment shall be made in such manner and 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5" w:name="page146"/>
    <w:bookmarkEnd w:id="145"/>
    <w:p>
      <w:pPr>
        <w:jc w:val="both"/>
        <w:spacing w:after="0" w:line="253" w:lineRule="auto"/>
        <w:rPr>
          <w:sz w:val="20"/>
          <w:szCs w:val="20"/>
          <w:color w:val="auto"/>
        </w:rPr>
      </w:pPr>
      <w:r>
        <w:rPr>
          <w:rFonts w:ascii="Arial" w:cs="Arial" w:eastAsia="Arial" w:hAnsi="Arial"/>
          <w:sz w:val="18"/>
          <w:szCs w:val="18"/>
          <w:color w:val="auto"/>
        </w:rPr>
        <w:t>such terms and conditions as may be required by the Committee and you shall be entitled to set off against the amount of any such payment any amounts otherwise owed to you by the Company. In addition, you agree that the RSU shall be subject to any applicable clawback or recoupment policies, share trading policies and other policies that may be implemented by the Board from time to time.</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and is settled is intended to constitute a “separate payment” for purposes of Section 409A of the Code and Treasury Regulation Section 1.409A-2(b)(2).</w:t>
      </w:r>
    </w:p>
    <w:p>
      <w:pPr>
        <w:spacing w:after="0" w:line="180" w:lineRule="exact"/>
        <w:rPr>
          <w:sz w:val="20"/>
          <w:szCs w:val="20"/>
          <w:color w:val="auto"/>
        </w:rPr>
      </w:pPr>
    </w:p>
    <w:p>
      <w:pPr>
        <w:jc w:val="both"/>
        <w:ind w:firstLine="757"/>
        <w:spacing w:after="0" w:line="247" w:lineRule="auto"/>
        <w:tabs>
          <w:tab w:leader="none" w:pos="1018"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73" w:lineRule="exact"/>
        <w:rPr>
          <w:rFonts w:ascii="Arial" w:cs="Arial" w:eastAsia="Arial" w:hAnsi="Arial"/>
          <w:sz w:val="18"/>
          <w:szCs w:val="18"/>
          <w:u w:val="single" w:color="auto"/>
          <w:color w:val="auto"/>
        </w:rPr>
      </w:pPr>
    </w:p>
    <w:p>
      <w:pPr>
        <w:jc w:val="both"/>
        <w:ind w:firstLine="757"/>
        <w:spacing w:after="0" w:line="247" w:lineRule="auto"/>
        <w:tabs>
          <w:tab w:leader="none" w:pos="1018"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3" w:lineRule="exact"/>
        <w:rPr>
          <w:rFonts w:ascii="Arial" w:cs="Arial" w:eastAsia="Arial" w:hAnsi="Arial"/>
          <w:sz w:val="18"/>
          <w:szCs w:val="18"/>
          <w:u w:val="single" w:color="auto"/>
          <w:color w:val="auto"/>
        </w:rPr>
      </w:pPr>
    </w:p>
    <w:p>
      <w:pPr>
        <w:jc w:val="both"/>
        <w:ind w:firstLine="757"/>
        <w:spacing w:after="0" w:line="253" w:lineRule="auto"/>
        <w:tabs>
          <w:tab w:leader="none" w:pos="1018"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168" w:lineRule="exact"/>
        <w:rPr>
          <w:rFonts w:ascii="Arial" w:cs="Arial" w:eastAsia="Arial" w:hAnsi="Arial"/>
          <w:sz w:val="18"/>
          <w:szCs w:val="18"/>
          <w:u w:val="single" w:color="auto"/>
          <w:color w:val="auto"/>
        </w:rPr>
      </w:pPr>
    </w:p>
    <w:p>
      <w:pPr>
        <w:jc w:val="both"/>
        <w:ind w:firstLine="757"/>
        <w:spacing w:after="0" w:line="247" w:lineRule="auto"/>
        <w:tabs>
          <w:tab w:leader="none" w:pos="1018"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 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173" w:lineRule="exact"/>
        <w:rPr>
          <w:rFonts w:ascii="Arial" w:cs="Arial" w:eastAsia="Arial" w:hAnsi="Arial"/>
          <w:sz w:val="18"/>
          <w:szCs w:val="18"/>
          <w:u w:val="single" w:color="auto"/>
          <w:color w:val="auto"/>
        </w:rPr>
      </w:pPr>
    </w:p>
    <w:p>
      <w:pPr>
        <w:jc w:val="both"/>
        <w:ind w:firstLine="757"/>
        <w:spacing w:after="0"/>
        <w:tabs>
          <w:tab w:leader="none" w:pos="1018"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180" w:lineRule="exact"/>
        <w:rPr>
          <w:rFonts w:ascii="Arial" w:cs="Arial" w:eastAsia="Arial" w:hAnsi="Arial"/>
          <w:sz w:val="18"/>
          <w:szCs w:val="18"/>
          <w:u w:val="single" w:color="auto"/>
          <w:color w:val="auto"/>
        </w:rPr>
      </w:pPr>
    </w:p>
    <w:p>
      <w:pPr>
        <w:jc w:val="both"/>
        <w:ind w:firstLine="757"/>
        <w:spacing w:after="0" w:line="253" w:lineRule="auto"/>
        <w:tabs>
          <w:tab w:leader="none" w:pos="1018"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6" w:name="page147"/>
    <w:bookmarkEnd w:id="146"/>
    <w:p>
      <w:pPr>
        <w:jc w:val="both"/>
        <w:spacing w:after="0" w:line="242" w:lineRule="auto"/>
        <w:rPr>
          <w:sz w:val="20"/>
          <w:szCs w:val="20"/>
          <w:color w:val="auto"/>
        </w:rPr>
      </w:pPr>
      <w:r>
        <w:rPr>
          <w:rFonts w:ascii="Arial" w:cs="Arial" w:eastAsia="Arial" w:hAnsi="Arial"/>
          <w:sz w:val="18"/>
          <w:szCs w:val="18"/>
          <w:color w:val="auto"/>
        </w:rPr>
        <w:t>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79" w:lineRule="exact"/>
        <w:rPr>
          <w:sz w:val="20"/>
          <w:szCs w:val="20"/>
          <w:color w:val="auto"/>
        </w:rPr>
      </w:pPr>
    </w:p>
    <w:p>
      <w:pPr>
        <w:ind w:firstLine="757"/>
        <w:spacing w:after="0" w:line="271" w:lineRule="auto"/>
        <w:tabs>
          <w:tab w:leader="none" w:pos="1018"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53" w:lineRule="exact"/>
        <w:rPr>
          <w:rFonts w:ascii="Arial" w:cs="Arial" w:eastAsia="Arial" w:hAnsi="Arial"/>
          <w:sz w:val="18"/>
          <w:szCs w:val="18"/>
          <w:u w:val="single" w:color="auto"/>
          <w:color w:val="auto"/>
        </w:rPr>
      </w:pPr>
    </w:p>
    <w:p>
      <w:pPr>
        <w:jc w:val="both"/>
        <w:ind w:firstLine="757"/>
        <w:spacing w:after="0" w:line="242" w:lineRule="auto"/>
        <w:tabs>
          <w:tab w:leader="none" w:pos="1018"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78" w:lineRule="exact"/>
        <w:rPr>
          <w:rFonts w:ascii="Arial" w:cs="Arial" w:eastAsia="Arial" w:hAnsi="Arial"/>
          <w:sz w:val="18"/>
          <w:szCs w:val="18"/>
          <w:u w:val="single" w:color="auto"/>
          <w:color w:val="auto"/>
        </w:rPr>
      </w:pPr>
    </w:p>
    <w:p>
      <w:pPr>
        <w:jc w:val="both"/>
        <w:ind w:firstLine="757"/>
        <w:spacing w:after="0" w:line="238" w:lineRule="auto"/>
        <w:tabs>
          <w:tab w:leader="none" w:pos="1018"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 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185" w:lineRule="exact"/>
        <w:rPr>
          <w:rFonts w:ascii="Arial" w:cs="Arial" w:eastAsia="Arial" w:hAnsi="Arial"/>
          <w:sz w:val="18"/>
          <w:szCs w:val="18"/>
          <w:u w:val="single" w:color="auto"/>
          <w:color w:val="auto"/>
        </w:rPr>
      </w:pPr>
    </w:p>
    <w:p>
      <w:pPr>
        <w:jc w:val="both"/>
        <w:ind w:firstLine="757"/>
        <w:spacing w:after="0" w:line="237" w:lineRule="auto"/>
        <w:tabs>
          <w:tab w:leader="none" w:pos="1018"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t>understand, however, that refusing or withdrawing your consent may affect your ability to accept a restricted stock unit award.</w:t>
      </w:r>
    </w:p>
    <w:p>
      <w:pPr>
        <w:sectPr>
          <w:pgSz w:w="11900" w:h="16838" w:orient="portrait"/>
          <w:cols w:equalWidth="0" w:num="1">
            <w:col w:w="10139"/>
          </w:cols>
          <w:pgMar w:left="320" w:top="1417" w:right="1440" w:bottom="1440" w:gutter="0" w:footer="0" w:header="0"/>
        </w:sectPr>
      </w:pPr>
    </w:p>
    <w:p>
      <w:pPr>
        <w:spacing w:after="0" w:line="223"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Glossary begins on next page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type w:val="continuous"/>
        </w:sectPr>
      </w:pPr>
    </w:p>
    <w:bookmarkStart w:id="148" w:name="page149"/>
    <w:bookmarkEnd w:id="148"/>
    <w:p>
      <w:pPr>
        <w:jc w:val="center"/>
        <w:ind w:right="-19"/>
        <w:spacing w:after="0"/>
        <w:rPr>
          <w:sz w:val="20"/>
          <w:szCs w:val="20"/>
          <w:color w:val="auto"/>
        </w:rPr>
      </w:pPr>
      <w:r>
        <w:rPr>
          <w:rFonts w:ascii="Arial" w:cs="Arial" w:eastAsia="Arial" w:hAnsi="Arial"/>
          <w:sz w:val="18"/>
          <w:szCs w:val="18"/>
          <w:color w:val="auto"/>
        </w:rPr>
        <w:t>GLOSSARY</w:t>
      </w:r>
    </w:p>
    <w:p>
      <w:pPr>
        <w:spacing w:after="0" w:line="320" w:lineRule="exact"/>
        <w:rPr>
          <w:sz w:val="20"/>
          <w:szCs w:val="20"/>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herein by reference.</w:t>
      </w:r>
    </w:p>
    <w:p>
      <w:pPr>
        <w:spacing w:after="0" w:line="207" w:lineRule="exact"/>
        <w:rPr>
          <w:rFonts w:ascii="Arial" w:cs="Arial" w:eastAsia="Arial" w:hAnsi="Arial"/>
          <w:sz w:val="18"/>
          <w:szCs w:val="18"/>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set forth in the Plan.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common stock of the Company.</w:t>
      </w:r>
    </w:p>
    <w:p>
      <w:pPr>
        <w:spacing w:after="0" w:line="211" w:lineRule="exact"/>
        <w:rPr>
          <w:rFonts w:ascii="Arial" w:cs="Arial" w:eastAsia="Arial" w:hAnsi="Arial"/>
          <w:sz w:val="18"/>
          <w:szCs w:val="18"/>
          <w:color w:val="auto"/>
        </w:rPr>
      </w:pPr>
    </w:p>
    <w:p>
      <w:pPr>
        <w:jc w:val="both"/>
        <w:ind w:firstLine="1505"/>
        <w:spacing w:after="0" w:line="253" w:lineRule="auto"/>
        <w:tabs>
          <w:tab w:leader="none" w:pos="18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Axsome Therapeutics, Inc., and shall include all its successors except where the context otherwise requires. For purposes of determining whether a Change of Control has occurred, Company shall mean only Axsome Therapeutics, Inc.</w:t>
      </w:r>
    </w:p>
    <w:p>
      <w:pPr>
        <w:spacing w:after="0" w:line="168" w:lineRule="exact"/>
        <w:rPr>
          <w:rFonts w:ascii="Arial" w:cs="Arial" w:eastAsia="Arial" w:hAnsi="Arial"/>
          <w:sz w:val="18"/>
          <w:szCs w:val="18"/>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shall have the meaning in the Plan subject to the requirements of Treasury Regulation Section 1.409A-</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3(i)(4).</w:t>
      </w:r>
    </w:p>
    <w:p>
      <w:pPr>
        <w:spacing w:after="0" w:line="193" w:lineRule="exact"/>
        <w:rPr>
          <w:rFonts w:ascii="Arial" w:cs="Arial" w:eastAsia="Arial" w:hAnsi="Arial"/>
          <w:sz w:val="18"/>
          <w:szCs w:val="18"/>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211" w:lineRule="exact"/>
        <w:rPr>
          <w:rFonts w:ascii="Arial" w:cs="Arial" w:eastAsia="Arial" w:hAnsi="Arial"/>
          <w:sz w:val="18"/>
          <w:szCs w:val="18"/>
          <w:color w:val="auto"/>
        </w:rPr>
      </w:pPr>
    </w:p>
    <w:p>
      <w:pPr>
        <w:ind w:firstLine="1505"/>
        <w:spacing w:after="0" w:line="271" w:lineRule="auto"/>
        <w:tabs>
          <w:tab w:leader="none" w:pos="18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Axsome Therapeutics, Inc. 2015 Omnibus Incentive Compensation Plan, as in effect from time to</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w:t>
      </w:r>
    </w:p>
    <w:p>
      <w:pPr>
        <w:spacing w:after="0" w:line="193" w:lineRule="exact"/>
        <w:rPr>
          <w:rFonts w:ascii="Arial" w:cs="Arial" w:eastAsia="Arial" w:hAnsi="Arial"/>
          <w:sz w:val="18"/>
          <w:szCs w:val="18"/>
          <w:color w:val="auto"/>
        </w:rPr>
      </w:pPr>
    </w:p>
    <w:p>
      <w:pPr>
        <w:ind w:right="20" w:firstLine="1505"/>
        <w:spacing w:after="0" w:line="271" w:lineRule="auto"/>
        <w:tabs>
          <w:tab w:leader="none" w:pos="18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rFonts w:ascii="Arial" w:cs="Arial" w:eastAsia="Arial" w:hAnsi="Arial"/>
          <w:sz w:val="18"/>
          <w:szCs w:val="18"/>
          <w:color w:val="auto"/>
        </w:rPr>
      </w:pPr>
    </w:p>
    <w:p>
      <w:pPr>
        <w:jc w:val="both"/>
        <w:ind w:firstLine="1505"/>
        <w:spacing w:after="0" w:line="247" w:lineRule="auto"/>
        <w:tabs>
          <w:tab w:leader="none" w:pos="18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30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12, 2024</w:t>
      </w:r>
      <w:r>
        <w:rPr>
          <w:sz w:val="20"/>
          <w:szCs w:val="20"/>
          <w:color w:val="auto"/>
        </w:rPr>
        <w:tab/>
      </w: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29210</wp:posOffset>
            </wp:positionV>
            <wp:extent cx="3566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1516380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sz w:val="20"/>
          <w:szCs w:val="20"/>
          <w:color w:val="auto"/>
        </w:rPr>
      </w:pPr>
    </w:p>
    <w:p>
      <w:pPr>
        <w:jc w:val="both"/>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sz w:val="20"/>
          <w:szCs w:val="20"/>
          <w:color w:val="auto"/>
        </w:rPr>
      </w:pPr>
    </w:p>
    <w:p>
      <w:pPr>
        <w:ind w:left="760" w:right="20" w:hanging="360"/>
        <w:spacing w:after="0" w:line="281"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sz w:val="20"/>
          <w:szCs w:val="20"/>
          <w:color w:val="auto"/>
        </w:rPr>
      </w:pPr>
    </w:p>
    <w:p>
      <w:pPr>
        <w:ind w:left="760" w:right="520" w:hanging="360"/>
        <w:spacing w:after="0" w:line="298"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760" w:right="160" w:hanging="360"/>
        <w:spacing w:after="0" w:line="281"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760" w:right="40" w:hanging="360"/>
        <w:spacing w:after="0" w:line="298"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760" w:right="300" w:hanging="360"/>
        <w:spacing w:after="0" w:line="298"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12, 2024</w:t>
      </w:r>
      <w:r>
        <w:rPr>
          <w:sz w:val="20"/>
          <w:szCs w:val="20"/>
          <w:color w:val="auto"/>
        </w:rPr>
        <w:tab/>
      </w:r>
      <w:r>
        <w:rPr>
          <w:rFonts w:ascii="Times New Roman" w:cs="Times New Roman" w:eastAsia="Times New Roman" w:hAnsi="Times New Roman"/>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29210</wp:posOffset>
            </wp:positionV>
            <wp:extent cx="3566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1516380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2024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12, 2024</w:t>
      </w:r>
      <w:r>
        <w:rPr>
          <w:sz w:val="20"/>
          <w:szCs w:val="20"/>
          <w:color w:val="auto"/>
        </w:rPr>
        <w:tab/>
      </w: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29210</wp:posOffset>
            </wp:positionV>
            <wp:extent cx="3566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4"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September 30, 2024 as filed with the Securities and Exchange Commission (the “Report”), I, Nick Pizzie, Chief Financial Officer of the Company, certify, pursuant to 18 U.S.C. §1350, as adopted pursuant to §906 of the Sarbanes-Oxley Act of 2002, that, based on my knowledge:</w:t>
      </w:r>
    </w:p>
    <w:p>
      <w:pPr>
        <w:spacing w:after="0" w:line="204" w:lineRule="exact"/>
        <w:rPr>
          <w:sz w:val="20"/>
          <w:szCs w:val="20"/>
          <w:color w:val="auto"/>
        </w:rPr>
      </w:pPr>
    </w:p>
    <w:p>
      <w:pPr>
        <w:ind w:left="260" w:hanging="252"/>
        <w:spacing w:after="0"/>
        <w:tabs>
          <w:tab w:leader="none" w:pos="2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November 12, 2024</w:t>
      </w:r>
      <w:r>
        <w:rPr>
          <w:sz w:val="20"/>
          <w:szCs w:val="20"/>
          <w:color w:val="auto"/>
        </w:rPr>
        <w:tab/>
      </w:r>
      <w:r>
        <w:rPr>
          <w:rFonts w:ascii="Times New Roman" w:cs="Times New Roman" w:eastAsia="Times New Roman" w:hAnsi="Times New Roman"/>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29210</wp:posOffset>
            </wp:positionV>
            <wp:extent cx="3566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3" w:name="page154"/>
    <w:bookmarkEnd w:id="1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14"/>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lowerRoman"/>
      <w:start w:val="8"/>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1."/>
      <w:numFmt w:val="upperLetter"/>
      <w:start w:val="2"/>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1"/>
    </w:lvl>
    <w:lvl w:ilvl="1">
      <w:lvlJc w:val="left"/>
      <w:lvlText w:val="(%2)"/>
      <w:numFmt w:val="lowerLetter"/>
      <w:start w:val="9"/>
    </w:lvl>
  </w:abstractNum>
  <w:abstractNum w:abstractNumId="51">
    <w:nsid w:val="7BD3EE7B"/>
    <w:multiLevelType w:val="hybridMultilevel"/>
    <w:lvl w:ilvl="0">
      <w:lvlJc w:val="left"/>
      <w:lvlText w:val="(%1)"/>
      <w:numFmt w:val="lowerRoman"/>
      <w:start w:val="2"/>
    </w:lvl>
  </w:abstractNum>
  <w:abstractNum w:abstractNumId="52">
    <w:nsid w:val="51D9C564"/>
    <w:multiLevelType w:val="hybridMultilevel"/>
    <w:lvl w:ilvl="0">
      <w:lvlJc w:val="left"/>
      <w:lvlText w:val="%1"/>
      <w:numFmt w:val="lowerRoman"/>
      <w:start w:val="1"/>
    </w:lvl>
    <w:lvl w:ilvl="1">
      <w:lvlJc w:val="left"/>
      <w:lvlText w:val="(%2)"/>
      <w:numFmt w:val="decimal"/>
      <w:start w:val="1"/>
    </w:lvl>
  </w:abstractNum>
  <w:abstractNum w:abstractNumId="53">
    <w:nsid w:val="613EFDC5"/>
    <w:multiLevelType w:val="hybridMultilevel"/>
    <w:lvl w:ilvl="0">
      <w:lvlJc w:val="left"/>
      <w:lvlText w:val="(%1)"/>
      <w:numFmt w:val="lowerRoman"/>
      <w:start w:val="16"/>
    </w:lvl>
    <w:lvl w:ilvl="1">
      <w:lvlJc w:val="left"/>
      <w:lvlText w:val="%2"/>
      <w:numFmt w:val="decimal"/>
      <w:start w:val="1"/>
    </w:lvl>
  </w:abstractNum>
  <w:abstractNum w:abstractNumId="54">
    <w:nsid w:val="BF72B14"/>
    <w:multiLevelType w:val="hybridMultilevel"/>
    <w:lvl w:ilvl="0">
      <w:lvlJc w:val="left"/>
      <w:lvlText w:val="%1"/>
      <w:numFmt w:val="lowerRoman"/>
      <w:start w:val="1"/>
    </w:lvl>
    <w:lvl w:ilvl="1">
      <w:lvlJc w:val="left"/>
      <w:lvlText w:val="(%2)"/>
      <w:numFmt w:val="decimal"/>
      <w:start w:val="2"/>
    </w:lvl>
  </w:abstractNum>
  <w:abstractNum w:abstractNumId="55">
    <w:nsid w:val="11447B73"/>
    <w:multiLevelType w:val="hybridMultilevel"/>
    <w:lvl w:ilvl="0">
      <w:lvlJc w:val="left"/>
      <w:lvlText w:val="(%1)"/>
      <w:numFmt w:val="lowerRoman"/>
      <w:start w:val="4"/>
    </w:lvl>
    <w:lvl w:ilvl="1">
      <w:lvlJc w:val="left"/>
      <w:lvlText w:val="%2"/>
      <w:numFmt w:val="decimal"/>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1"/>
      <w:numFmt w:val="lowerRoman"/>
      <w:start w:val="1"/>
    </w:lvl>
    <w:lvl w:ilvl="1">
      <w:lvlJc w:val="left"/>
      <w:lvlText w:val="(%2)"/>
      <w:numFmt w:val="decimal"/>
      <w:start w:val="2"/>
    </w:lvl>
  </w:abstractNum>
  <w:abstractNum w:abstractNumId="58">
    <w:nsid w:val="8F2B15E"/>
    <w:multiLevelType w:val="hybridMultilevel"/>
    <w:lvl w:ilvl="0">
      <w:lvlJc w:val="left"/>
      <w:lvlText w:val="(%1)"/>
      <w:numFmt w:val="lowerRoman"/>
      <w:start w:val="5"/>
    </w:lvl>
    <w:lvl w:ilvl="1">
      <w:lvlJc w:val="left"/>
      <w:lvlText w:val="%2"/>
      <w:numFmt w:val="decimal"/>
      <w:start w:val="1"/>
    </w:lvl>
  </w:abstractNum>
  <w:abstractNum w:abstractNumId="59">
    <w:nsid w:val="1A32234B"/>
    <w:multiLevelType w:val="hybridMultilevel"/>
    <w:lvl w:ilvl="0">
      <w:lvlJc w:val="left"/>
      <w:lvlText w:val="(%1)"/>
      <w:numFmt w:val="lowerRoman"/>
      <w:start w:val="6"/>
    </w:lvl>
  </w:abstractNum>
  <w:abstractNum w:abstractNumId="60">
    <w:nsid w:val="3B0FD379"/>
    <w:multiLevelType w:val="hybridMultilevel"/>
    <w:lvl w:ilvl="0">
      <w:lvlJc w:val="left"/>
      <w:lvlText w:val="(%1)"/>
      <w:numFmt w:val="lowerRoman"/>
      <w:start w:val="7"/>
    </w:lvl>
  </w:abstractNum>
  <w:abstractNum w:abstractNumId="61">
    <w:nsid w:val="68EB2F63"/>
    <w:multiLevelType w:val="hybridMultilevel"/>
    <w:lvl w:ilvl="0">
      <w:lvlJc w:val="left"/>
      <w:lvlText w:val="(%1)"/>
      <w:numFmt w:val="lowerRoman"/>
      <w:start w:val="8"/>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1)"/>
      <w:numFmt w:val="lowerRoman"/>
      <w:start w:val="9"/>
    </w:lvl>
  </w:abstractNum>
  <w:abstractNum w:abstractNumId="64">
    <w:nsid w:val="6A5EE64"/>
    <w:multiLevelType w:val="hybridMultilevel"/>
    <w:lvl w:ilvl="0">
      <w:lvlJc w:val="left"/>
      <w:lvlText w:val="(%1)"/>
      <w:numFmt w:val="lowerRoman"/>
      <w:start w:val="10"/>
    </w:lvl>
  </w:abstractNum>
  <w:abstractNum w:abstractNumId="65">
    <w:nsid w:val="14330624"/>
    <w:multiLevelType w:val="hybridMultilevel"/>
    <w:lvl w:ilvl="0">
      <w:lvlJc w:val="left"/>
      <w:lvlText w:val="(%1)"/>
      <w:numFmt w:val="lowerLetter"/>
      <w:start w:val="2"/>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1"/>
    </w:lvl>
    <w:lvl w:ilvl="1">
      <w:lvlJc w:val="left"/>
      <w:lvlText w:val="(%2)"/>
      <w:numFmt w:val="lowerRoman"/>
      <w:start w:val="1"/>
    </w:lvl>
  </w:abstractNum>
  <w:abstractNum w:abstractNumId="68">
    <w:nsid w:val="71EA1109"/>
    <w:multiLevelType w:val="hybridMultilevel"/>
    <w:lvl w:ilvl="0">
      <w:lvlJc w:val="left"/>
      <w:lvlText w:val="(%1)"/>
      <w:numFmt w:val="lowerLetter"/>
      <w:start w:val="3"/>
    </w:lvl>
  </w:abstractNum>
  <w:abstractNum w:abstractNumId="69">
    <w:nsid w:val="100F59DC"/>
    <w:multiLevelType w:val="hybridMultilevel"/>
    <w:lvl w:ilvl="0">
      <w:lvlJc w:val="left"/>
      <w:lvlText w:val="(%1)"/>
      <w:numFmt w:val="lowerLetter"/>
      <w:start w:val="4"/>
    </w:lvl>
  </w:abstractNum>
  <w:abstractNum w:abstractNumId="70">
    <w:nsid w:val="7FB7E0AA"/>
    <w:multiLevelType w:val="hybridMultilevel"/>
    <w:lvl w:ilvl="0">
      <w:lvlJc w:val="left"/>
      <w:lvlText w:val="(%1)"/>
      <w:numFmt w:val="lowerLetter"/>
      <w:start w:val="7"/>
    </w:lvl>
  </w:abstractNum>
  <w:abstractNum w:abstractNumId="71">
    <w:nsid w:val="6EB5BD4"/>
    <w:multiLevelType w:val="hybridMultilevel"/>
    <w:lvl w:ilvl="0">
      <w:lvlJc w:val="left"/>
      <w:lvlText w:val="%1."/>
      <w:numFmt w:val="decimal"/>
      <w:start w:val="1"/>
    </w:lvl>
    <w:lvl w:ilvl="1">
      <w:lvlJc w:val="left"/>
      <w:lvlText w:val="(%2)"/>
      <w:numFmt w:val="lowerLetter"/>
      <w:start w:val="1"/>
    </w:lvl>
  </w:abstractNum>
  <w:abstractNum w:abstractNumId="72">
    <w:nsid w:val="6F6DD9AC"/>
    <w:multiLevelType w:val="hybridMultilevel"/>
    <w:lvl w:ilvl="0">
      <w:lvlJc w:val="left"/>
      <w:lvlText w:val="(%1)"/>
      <w:numFmt w:val="lowerRoman"/>
      <w:start w:val="1"/>
    </w:lvl>
  </w:abstractNum>
  <w:abstractNum w:abstractNumId="73">
    <w:nsid w:val="94211F2"/>
    <w:multiLevelType w:val="hybridMultilevel"/>
    <w:lvl w:ilvl="0">
      <w:lvlJc w:val="left"/>
      <w:lvlText w:val="(%1)"/>
      <w:numFmt w:val="lowerRoman"/>
      <w:start w:val="4"/>
    </w:lvl>
  </w:abstractNum>
  <w:abstractNum w:abstractNumId="74">
    <w:nsid w:val="885E1B"/>
    <w:multiLevelType w:val="hybridMultilevel"/>
    <w:lvl w:ilvl="0">
      <w:lvlJc w:val="left"/>
      <w:lvlText w:val="%1."/>
      <w:numFmt w:val="decimal"/>
      <w:start w:val="4"/>
    </w:lvl>
    <w:lvl w:ilvl="1">
      <w:lvlJc w:val="left"/>
      <w:lvlText w:val="(%2)"/>
      <w:numFmt w:val="lowerLetter"/>
      <w:start w:val="1"/>
    </w:lvl>
  </w:abstractNum>
  <w:abstractNum w:abstractNumId="75">
    <w:nsid w:val="76272110"/>
    <w:multiLevelType w:val="hybridMultilevel"/>
    <w:lvl w:ilvl="0">
      <w:lvlJc w:val="left"/>
      <w:lvlText w:val="%1."/>
      <w:numFmt w:val="decimal"/>
      <w:start w:val="7"/>
    </w:lvl>
  </w:abstractNum>
  <w:abstractNum w:abstractNumId="76">
    <w:nsid w:val="4C04A8AF"/>
    <w:multiLevelType w:val="hybridMultilevel"/>
    <w:lvl w:ilvl="0">
      <w:lvlJc w:val="left"/>
      <w:lvlText w:val="%1."/>
      <w:numFmt w:val="decimal"/>
      <w:start w:val="14"/>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decimal"/>
      <w:start w:val="1"/>
    </w:lvl>
    <w:lvl w:ilvl="1">
      <w:lvlJc w:val="left"/>
      <w:lvlText w:val="(%2)"/>
      <w:numFmt w:val="lowerLetter"/>
      <w:start w:val="1"/>
    </w:lvl>
  </w:abstractNum>
  <w:abstractNum w:abstractNumId="79">
    <w:nsid w:val="3222E7CD"/>
    <w:multiLevelType w:val="hybridMultilevel"/>
    <w:lvl w:ilvl="0">
      <w:lvlJc w:val="left"/>
      <w:lvlText w:val="(%1)"/>
      <w:numFmt w:val="decimal"/>
      <w:start w:val="4"/>
    </w:lvl>
    <w:lvl w:ilvl="1">
      <w:lvlJc w:val="left"/>
      <w:lvlText w:val="%2"/>
      <w:numFmt w:val="lowerLetter"/>
      <w:start w:val="1"/>
    </w:lvl>
  </w:abstractNum>
  <w:abstractNum w:abstractNumId="80">
    <w:nsid w:val="74DE0EE3"/>
    <w:multiLevelType w:val="hybridMultilevel"/>
    <w:lvl w:ilvl="0">
      <w:lvlJc w:val="left"/>
      <w:lvlText w:val="%1."/>
      <w:numFmt w:val="decimal"/>
      <w:start w:val="6"/>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decimal"/>
      <w:start w:val="8"/>
    </w:lvl>
  </w:abstractNum>
  <w:abstractNum w:abstractNumId="83">
    <w:nsid w:val="46B7D447"/>
    <w:multiLevelType w:val="hybridMultilevel"/>
    <w:lvl w:ilvl="0">
      <w:lvlJc w:val="left"/>
      <w:lvlText w:val="%1."/>
      <w:numFmt w:val="decimal"/>
      <w:start w:val="11"/>
    </w:lvl>
  </w:abstractNum>
  <w:abstractNum w:abstractNumId="84">
    <w:nsid w:val="4A2AC315"/>
    <w:multiLevelType w:val="hybridMultilevel"/>
    <w:lvl w:ilvl="0">
      <w:lvlJc w:val="left"/>
      <w:lvlText w:val="%1."/>
      <w:numFmt w:val="decimal"/>
      <w:start w:val="16"/>
    </w:lvl>
  </w:abstractNum>
  <w:abstractNum w:abstractNumId="85">
    <w:nsid w:val="39EE015C"/>
    <w:multiLevelType w:val="hybridMultilevel"/>
    <w:lvl w:ilvl="0">
      <w:lvlJc w:val="left"/>
      <w:lvlText w:val="%1."/>
      <w:numFmt w:val="decimal"/>
      <w:start w:val="22"/>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1."/>
      <w:numFmt w:val="decimal"/>
      <w:start w:val="6"/>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decimal"/>
      <w:start w:val="8"/>
    </w:lvl>
  </w:abstractNum>
  <w:abstractNum w:abstractNumId="92">
    <w:nsid w:val="49DA307D"/>
    <w:multiLevelType w:val="hybridMultilevel"/>
    <w:lvl w:ilvl="0">
      <w:lvlJc w:val="left"/>
      <w:lvlText w:val="%1."/>
      <w:numFmt w:val="decimal"/>
      <w:start w:val="11"/>
    </w:lvl>
  </w:abstractNum>
  <w:abstractNum w:abstractNumId="93">
    <w:nsid w:val="7055A5F5"/>
    <w:multiLevelType w:val="hybridMultilevel"/>
    <w:lvl w:ilvl="0">
      <w:lvlJc w:val="left"/>
      <w:lvlText w:val="%1."/>
      <w:numFmt w:val="decimal"/>
      <w:start w:val="16"/>
    </w:lvl>
  </w:abstractNum>
  <w:abstractNum w:abstractNumId="94">
    <w:nsid w:val="5FB8370B"/>
    <w:multiLevelType w:val="hybridMultilevel"/>
    <w:lvl w:ilvl="0">
      <w:lvlJc w:val="left"/>
      <w:lvlText w:val="%1."/>
      <w:numFmt w:val="decimal"/>
      <w:start w:val="22"/>
    </w:lvl>
  </w:abstractNum>
  <w:abstractNum w:abstractNumId="95">
    <w:nsid w:val="50801EE1"/>
    <w:multiLevelType w:val="hybridMultilevel"/>
    <w:lvl w:ilvl="0">
      <w:lvlJc w:val="left"/>
      <w:lvlText w:val="(%1)"/>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2024-11-12T09:20:55Z</dcterms:created>
  <dcterms:modified xsi:type="dcterms:W3CDTF">2024-11-12T09:20:55Z</dcterms:modified>
</cp:coreProperties>
</file>