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Murdock Hunter 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16,385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02/26/2026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16,385</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16,385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26, 2030. Vested shares will be delivered to the reporting person upon the earlier of (i) the closing of a Change in Control (as defined in the Issuer's 2025 Long-Term Incentive Plan ("2025 Plan")), (ii) the reporting person's separation of service from the Issuer (including termination with or without Cause (as defined in the 2025 Plan), or termination due to death or Total and Permanent Disability (as defined in the 2025 Plan)), or (iii) seven (7) years from the date of grant.</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Hunter Murdock</w:t>
            </w:r>
          </w:p>
        </w:tc>
        <w:tc>
          <w:tcPr>
            <w:tcW w:w="8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4008"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2026-02-27T18:19:35Z</dcterms:created>
  <dcterms:modified xsi:type="dcterms:W3CDTF">2026-02-27T18:19:35Z</dcterms:modified>
</cp:coreProperties>
</file>