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Axsome Therapeutics, Inc.</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05464T104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20" w:hanging="912"/>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Rule 13d-1(b)</w:t>
      </w:r>
    </w:p>
    <w:p>
      <w:pPr>
        <w:spacing w:after="0" w:line="23" w:lineRule="exact"/>
        <w:rPr>
          <w:sz w:val="24"/>
          <w:szCs w:val="24"/>
          <w:color w:val="auto"/>
        </w:rPr>
      </w:pPr>
    </w:p>
    <w:p>
      <w:pPr>
        <w:ind w:left="1140" w:hanging="113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Rule 13d-1(c)</w:t>
      </w:r>
    </w:p>
    <w:p>
      <w:pPr>
        <w:spacing w:after="0" w:line="9" w:lineRule="exact"/>
        <w:rPr>
          <w:sz w:val="24"/>
          <w:szCs w:val="24"/>
          <w:color w:val="auto"/>
        </w:rPr>
      </w:pPr>
    </w:p>
    <w:p>
      <w:pPr>
        <w:ind w:left="1140" w:hanging="1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11" w:lineRule="exact"/>
        <w:rPr>
          <w:sz w:val="24"/>
          <w:szCs w:val="24"/>
          <w:color w:val="auto"/>
        </w:rPr>
      </w:pPr>
    </w:p>
    <w:p>
      <w:pPr>
        <w:ind w:right="40" w:firstLine="8"/>
        <w:spacing w:after="0" w:line="27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115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w:t>
      </w:r>
    </w:p>
    <w:p>
      <w:pPr>
        <w:spacing w:after="0" w:line="200" w:lineRule="exact"/>
        <w:rPr>
          <w:sz w:val="24"/>
          <w:szCs w:val="24"/>
          <w:color w:val="auto"/>
        </w:rPr>
      </w:pPr>
    </w:p>
    <w:p>
      <w:pPr>
        <w:spacing w:after="0" w:line="24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3.</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Each Reporting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Person With:</w:t>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720"/>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jc w:val="center"/>
        <w:ind w:right="1720"/>
        <w:spacing w:after="0"/>
        <w:rPr>
          <w:sz w:val="20"/>
          <w:szCs w:val="20"/>
          <w:color w:val="auto"/>
        </w:rPr>
      </w:pPr>
      <w:r>
        <w:rPr>
          <w:rFonts w:ascii="Arial" w:cs="Arial" w:eastAsia="Arial" w:hAnsi="Arial"/>
          <w:sz w:val="18"/>
          <w:szCs w:val="18"/>
          <w:color w:val="auto"/>
        </w:rPr>
        <w:t>CUSIP No. 05464T104</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Iridian Asset Management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I.R.S. Identification Nos. of above persons (entities only).</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if a Member of a Group (See Instructions)</w:t>
      </w:r>
    </w:p>
    <w:p>
      <w:pPr>
        <w:spacing w:after="0" w:line="46"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color w:val="auto"/>
        </w:rPr>
        <w:t>(a) [X ]</w:t>
      </w:r>
      <w:r>
        <w:rPr>
          <w:sz w:val="20"/>
          <w:szCs w:val="20"/>
          <w:color w:val="auto"/>
        </w:rPr>
        <w:tab/>
      </w:r>
      <w:r>
        <w:rPr>
          <w:rFonts w:ascii="Arial" w:cs="Arial" w:eastAsia="Arial" w:hAnsi="Arial"/>
          <w:sz w:val="18"/>
          <w:szCs w:val="18"/>
          <w:color w:val="auto"/>
        </w:rPr>
        <w:t>(b) [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 USE ONLY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Delaware</w:t>
      </w:r>
    </w:p>
    <w:p>
      <w:pPr>
        <w:spacing w:after="0" w:line="211" w:lineRule="exact"/>
        <w:rPr>
          <w:sz w:val="24"/>
          <w:szCs w:val="24"/>
          <w:color w:val="auto"/>
        </w:rPr>
      </w:pPr>
    </w:p>
    <w:p>
      <w:pPr>
        <w:ind w:left="560" w:right="7600" w:hanging="551"/>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 N/A</w:t>
      </w:r>
    </w:p>
    <w:p>
      <w:pPr>
        <w:spacing w:after="0" w:line="170" w:lineRule="exact"/>
        <w:rPr>
          <w:rFonts w:ascii="Arial" w:cs="Arial" w:eastAsia="Arial" w:hAnsi="Arial"/>
          <w:sz w:val="18"/>
          <w:szCs w:val="18"/>
          <w:color w:val="auto"/>
        </w:rPr>
      </w:pPr>
    </w:p>
    <w:p>
      <w:pPr>
        <w:ind w:left="560" w:right="7420" w:hanging="551"/>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N/A</w:t>
      </w:r>
    </w:p>
    <w:p>
      <w:pPr>
        <w:spacing w:after="0" w:line="170" w:lineRule="exact"/>
        <w:rPr>
          <w:rFonts w:ascii="Arial" w:cs="Arial" w:eastAsia="Arial" w:hAnsi="Arial"/>
          <w:sz w:val="18"/>
          <w:szCs w:val="18"/>
          <w:color w:val="auto"/>
        </w:rPr>
      </w:pPr>
    </w:p>
    <w:p>
      <w:pPr>
        <w:ind w:left="560" w:right="7240" w:hanging="551"/>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N/A</w:t>
      </w:r>
    </w:p>
    <w:p>
      <w:pPr>
        <w:spacing w:after="0" w:line="170" w:lineRule="exact"/>
        <w:rPr>
          <w:rFonts w:ascii="Arial" w:cs="Arial" w:eastAsia="Arial" w:hAnsi="Arial"/>
          <w:sz w:val="18"/>
          <w:szCs w:val="18"/>
          <w:color w:val="auto"/>
        </w:rPr>
      </w:pPr>
    </w:p>
    <w:p>
      <w:pPr>
        <w:ind w:left="560" w:right="7060" w:hanging="551"/>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N/A</w:t>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Aggregate Amount Beneficially Owned by Each Reporting Person</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ectPr>
          <w:pgSz w:w="11900" w:h="16838" w:orient="portrait"/>
          <w:cols w:equalWidth="0" w:num="2">
            <w:col w:w="1200" w:space="540"/>
            <w:col w:w="9500"/>
          </w:cols>
          <w:pgMar w:left="320" w:top="1151" w:right="339" w:bottom="0" w:gutter="0" w:footer="0" w:header="0"/>
          <w:type w:val="continuous"/>
        </w:sectPr>
      </w:pPr>
    </w:p>
    <w:bookmarkStart w:id="1" w:name="page2"/>
    <w:bookmarkEnd w:id="1"/>
    <w:p>
      <w:pPr>
        <w:ind w:left="1080"/>
        <w:spacing w:after="0"/>
        <w:tabs>
          <w:tab w:leader="none" w:pos="1720" w:val="left"/>
          <w:tab w:leader="none" w:pos="8320" w:val="left"/>
        </w:tabs>
        <w:rPr>
          <w:sz w:val="20"/>
          <w:szCs w:val="20"/>
          <w:color w:val="auto"/>
        </w:rPr>
      </w:pPr>
      <w:r>
        <w:rPr>
          <w:rFonts w:ascii="Arial" w:cs="Arial" w:eastAsia="Arial" w:hAnsi="Arial"/>
          <w:sz w:val="17"/>
          <w:szCs w:val="17"/>
          <w:color w:val="auto"/>
        </w:rPr>
        <w:t>10.</w:t>
      </w:r>
      <w:r>
        <w:rPr>
          <w:sz w:val="20"/>
          <w:szCs w:val="20"/>
          <w:color w:val="auto"/>
        </w:rPr>
        <w:tab/>
      </w:r>
      <w:r>
        <w:rPr>
          <w:rFonts w:ascii="Arial" w:cs="Arial" w:eastAsia="Arial" w:hAnsi="Arial"/>
          <w:sz w:val="17"/>
          <w:szCs w:val="17"/>
          <w:color w:val="auto"/>
        </w:rPr>
        <w:t>Check if the Aggregate Amount in Row (9) Excludes Certain Shares (See Instructions)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740" w:right="4599" w:hanging="666"/>
        <w:spacing w:after="0" w:line="277" w:lineRule="auto"/>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N/A</w:t>
      </w:r>
    </w:p>
    <w:p>
      <w:pPr>
        <w:spacing w:after="0" w:line="170" w:lineRule="exact"/>
        <w:rPr>
          <w:rFonts w:ascii="Arial" w:cs="Arial" w:eastAsia="Arial" w:hAnsi="Arial"/>
          <w:sz w:val="18"/>
          <w:szCs w:val="18"/>
          <w:color w:val="auto"/>
        </w:rPr>
      </w:pPr>
    </w:p>
    <w:p>
      <w:pPr>
        <w:ind w:left="1740" w:hanging="666"/>
        <w:spacing w:after="0"/>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CUSIP No. 05464T104</w:t>
      </w:r>
    </w:p>
    <w:p>
      <w:pPr>
        <w:spacing w:after="0" w:line="211" w:lineRule="exact"/>
        <w:rPr>
          <w:sz w:val="20"/>
          <w:szCs w:val="20"/>
          <w:color w:val="auto"/>
        </w:rPr>
      </w:pPr>
    </w:p>
    <w:p>
      <w:pPr>
        <w:ind w:left="1740" w:hanging="666"/>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David L. Cohen</w:t>
      </w:r>
    </w:p>
    <w:p>
      <w:pPr>
        <w:spacing w:after="0" w:line="23"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ectPr>
          <w:pgSz w:w="11900" w:h="16838" w:orient="portrait"/>
          <w:cols w:equalWidth="0" w:num="1">
            <w:col w:w="10139"/>
          </w:cols>
          <w:pgMar w:left="320" w:top="341" w:right="1440" w:bottom="0" w:gutter="0" w:footer="0" w:header="0"/>
        </w:sect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Each Reporting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Check the Appropriate Box if a Member of a Group (See Instructions)</w:t>
      </w:r>
    </w:p>
    <w:p>
      <w:pPr>
        <w:spacing w:after="0" w:line="4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(a) [ X ]</w:t>
      </w:r>
      <w:r>
        <w:rPr>
          <w:sz w:val="20"/>
          <w:szCs w:val="20"/>
          <w:color w:val="auto"/>
        </w:rPr>
        <w:tab/>
      </w:r>
      <w:r>
        <w:rPr>
          <w:rFonts w:ascii="Arial" w:cs="Arial" w:eastAsia="Arial" w:hAnsi="Arial"/>
          <w:sz w:val="18"/>
          <w:szCs w:val="18"/>
          <w:color w:val="auto"/>
        </w:rPr>
        <w:t>(b) [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560" w:right="6499" w:hanging="551"/>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N/A</w:t>
      </w:r>
    </w:p>
    <w:p>
      <w:pPr>
        <w:spacing w:after="0" w:line="170" w:lineRule="exact"/>
        <w:rPr>
          <w:rFonts w:ascii="Arial" w:cs="Arial" w:eastAsia="Arial" w:hAnsi="Arial"/>
          <w:sz w:val="18"/>
          <w:szCs w:val="18"/>
          <w:color w:val="auto"/>
        </w:rPr>
      </w:pPr>
    </w:p>
    <w:p>
      <w:pPr>
        <w:ind w:left="560" w:right="6319" w:hanging="551"/>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N/A</w:t>
      </w:r>
    </w:p>
    <w:p>
      <w:pPr>
        <w:spacing w:after="0" w:line="170" w:lineRule="exact"/>
        <w:rPr>
          <w:rFonts w:ascii="Arial" w:cs="Arial" w:eastAsia="Arial" w:hAnsi="Arial"/>
          <w:sz w:val="18"/>
          <w:szCs w:val="18"/>
          <w:color w:val="auto"/>
        </w:rPr>
      </w:pPr>
    </w:p>
    <w:p>
      <w:pPr>
        <w:ind w:left="560" w:right="6139" w:hanging="551"/>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N/A</w:t>
      </w:r>
    </w:p>
    <w:p>
      <w:pPr>
        <w:spacing w:after="0" w:line="170" w:lineRule="exact"/>
        <w:rPr>
          <w:rFonts w:ascii="Arial" w:cs="Arial" w:eastAsia="Arial" w:hAnsi="Arial"/>
          <w:sz w:val="18"/>
          <w:szCs w:val="18"/>
          <w:color w:val="auto"/>
        </w:rPr>
      </w:pPr>
    </w:p>
    <w:p>
      <w:pPr>
        <w:ind w:left="560" w:right="5959" w:hanging="551"/>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N/A</w:t>
      </w:r>
    </w:p>
    <w:p>
      <w:pPr>
        <w:spacing w:after="0" w:line="170" w:lineRule="exact"/>
        <w:rPr>
          <w:sz w:val="20"/>
          <w:szCs w:val="20"/>
          <w:color w:val="auto"/>
        </w:rPr>
      </w:pPr>
    </w:p>
    <w:p>
      <w:pPr>
        <w:sectPr>
          <w:pgSz w:w="11900" w:h="16838" w:orient="portrait"/>
          <w:cols w:equalWidth="0" w:num="2">
            <w:col w:w="1200" w:space="540"/>
            <w:col w:w="8399"/>
          </w:cols>
          <w:pgMar w:left="320" w:top="341" w:right="1440" w:bottom="0" w:gutter="0" w:footer="0" w:header="0"/>
          <w:type w:val="continuous"/>
        </w:sectPr>
      </w:pPr>
    </w:p>
    <w:p>
      <w:pPr>
        <w:ind w:left="1740" w:right="3579" w:hanging="666"/>
        <w:spacing w:after="0" w:line="277" w:lineRule="auto"/>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N/A</w:t>
      </w:r>
    </w:p>
    <w:p>
      <w:pPr>
        <w:spacing w:after="0" w:line="170" w:lineRule="exact"/>
        <w:rPr>
          <w:sz w:val="20"/>
          <w:szCs w:val="20"/>
          <w:color w:val="auto"/>
        </w:rPr>
      </w:pPr>
    </w:p>
    <w:p>
      <w:pPr>
        <w:ind w:left="1080"/>
        <w:spacing w:after="0"/>
        <w:tabs>
          <w:tab w:leader="none" w:pos="1720" w:val="left"/>
          <w:tab w:leader="none" w:pos="8320" w:val="left"/>
        </w:tabs>
        <w:rPr>
          <w:sz w:val="20"/>
          <w:szCs w:val="20"/>
          <w:color w:val="auto"/>
        </w:rPr>
      </w:pPr>
      <w:r>
        <w:rPr>
          <w:rFonts w:ascii="Arial" w:cs="Arial" w:eastAsia="Arial" w:hAnsi="Arial"/>
          <w:sz w:val="17"/>
          <w:szCs w:val="17"/>
          <w:color w:val="auto"/>
        </w:rPr>
        <w:t>10.</w:t>
      </w:r>
      <w:r>
        <w:rPr>
          <w:sz w:val="20"/>
          <w:szCs w:val="20"/>
          <w:color w:val="auto"/>
        </w:rPr>
        <w:tab/>
      </w:r>
      <w:r>
        <w:rPr>
          <w:rFonts w:ascii="Arial" w:cs="Arial" w:eastAsia="Arial" w:hAnsi="Arial"/>
          <w:sz w:val="17"/>
          <w:szCs w:val="17"/>
          <w:color w:val="auto"/>
        </w:rPr>
        <w:t>Check if the Aggregate Amount in Row (9) Excludes Certain Shares (See Instructions)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740" w:right="4599" w:hanging="666"/>
        <w:spacing w:after="0" w:line="277" w:lineRule="auto"/>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N/A</w:t>
      </w:r>
    </w:p>
    <w:p>
      <w:pPr>
        <w:spacing w:after="0" w:line="170" w:lineRule="exact"/>
        <w:rPr>
          <w:rFonts w:ascii="Arial" w:cs="Arial" w:eastAsia="Arial" w:hAnsi="Arial"/>
          <w:sz w:val="18"/>
          <w:szCs w:val="18"/>
          <w:color w:val="auto"/>
        </w:rPr>
      </w:pPr>
    </w:p>
    <w:p>
      <w:pPr>
        <w:ind w:left="1740" w:hanging="666"/>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CUSIP No. 05464T104</w:t>
      </w:r>
    </w:p>
    <w:p>
      <w:pPr>
        <w:spacing w:after="0" w:line="211" w:lineRule="exact"/>
        <w:rPr>
          <w:sz w:val="20"/>
          <w:szCs w:val="20"/>
          <w:color w:val="auto"/>
        </w:rPr>
      </w:pPr>
    </w:p>
    <w:p>
      <w:pPr>
        <w:ind w:left="1740" w:hanging="666"/>
        <w:spacing w:after="0"/>
        <w:tabs>
          <w:tab w:leader="none" w:pos="1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Harold J. Levy</w:t>
      </w:r>
    </w:p>
    <w:p>
      <w:pPr>
        <w:spacing w:after="0" w:line="23"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0" w:lineRule="exact"/>
        <w:rPr>
          <w:rFonts w:ascii="Arial" w:cs="Arial" w:eastAsia="Arial" w:hAnsi="Arial"/>
          <w:sz w:val="18"/>
          <w:szCs w:val="18"/>
          <w:color w:val="auto"/>
        </w:rPr>
      </w:pPr>
    </w:p>
    <w:p>
      <w:pPr>
        <w:ind w:left="1740" w:hanging="666"/>
        <w:spacing w:after="0"/>
        <w:tabs>
          <w:tab w:leader="none" w:pos="1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740"/>
        <w:spacing w:after="0"/>
        <w:tabs>
          <w:tab w:leader="none" w:pos="2580" w:val="left"/>
        </w:tabs>
        <w:rPr>
          <w:sz w:val="20"/>
          <w:szCs w:val="20"/>
          <w:color w:val="auto"/>
        </w:rPr>
      </w:pPr>
      <w:r>
        <w:rPr>
          <w:rFonts w:ascii="Arial" w:cs="Arial" w:eastAsia="Arial" w:hAnsi="Arial"/>
          <w:sz w:val="18"/>
          <w:szCs w:val="18"/>
          <w:color w:val="auto"/>
        </w:rPr>
        <w:t>(a) [X]</w:t>
      </w:r>
      <w:r>
        <w:rPr>
          <w:sz w:val="20"/>
          <w:szCs w:val="20"/>
          <w:color w:val="auto"/>
        </w:rPr>
        <w:tab/>
      </w:r>
      <w:r>
        <w:rPr>
          <w:rFonts w:ascii="Arial" w:cs="Arial" w:eastAsia="Arial" w:hAnsi="Arial"/>
          <w:sz w:val="18"/>
          <w:szCs w:val="18"/>
          <w:color w:val="auto"/>
        </w:rPr>
        <w:t>(b) [  ]</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ind w:left="1080"/>
              <w:spacing w:after="0"/>
              <w:rPr>
                <w:sz w:val="20"/>
                <w:szCs w:val="20"/>
                <w:color w:val="auto"/>
              </w:rPr>
            </w:pPr>
            <w:r>
              <w:rPr>
                <w:rFonts w:ascii="Arial" w:cs="Arial" w:eastAsia="Arial" w:hAnsi="Arial"/>
                <w:sz w:val="18"/>
                <w:szCs w:val="18"/>
                <w:color w:val="auto"/>
              </w:rPr>
              <w:t>3.</w:t>
            </w: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18"/>
        </w:trPr>
        <w:tc>
          <w:tcPr>
            <w:tcW w:w="1480" w:type="dxa"/>
            <w:vAlign w:val="bottom"/>
          </w:tcPr>
          <w:p>
            <w:pPr>
              <w:ind w:left="1080"/>
              <w:spacing w:after="0"/>
              <w:rPr>
                <w:sz w:val="20"/>
                <w:szCs w:val="20"/>
                <w:color w:val="auto"/>
              </w:rPr>
            </w:pPr>
            <w:r>
              <w:rPr>
                <w:rFonts w:ascii="Arial" w:cs="Arial" w:eastAsia="Arial" w:hAnsi="Arial"/>
                <w:sz w:val="18"/>
                <w:szCs w:val="18"/>
                <w:color w:val="auto"/>
              </w:rPr>
              <w:t>4.</w:t>
            </w: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w w:val="91"/>
              </w:rPr>
              <w:t>Citizenship or Place of Organization</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Number of</w:t>
            </w:r>
          </w:p>
        </w:tc>
        <w:tc>
          <w:tcPr>
            <w:tcW w:w="620" w:type="dxa"/>
            <w:vAlign w:val="bottom"/>
          </w:tcPr>
          <w:p>
            <w:pPr>
              <w:ind w:left="260"/>
              <w:spacing w:after="0"/>
              <w:rPr>
                <w:sz w:val="20"/>
                <w:szCs w:val="20"/>
                <w:color w:val="auto"/>
              </w:rPr>
            </w:pPr>
            <w:r>
              <w:rPr>
                <w:rFonts w:ascii="Arial" w:cs="Arial" w:eastAsia="Arial" w:hAnsi="Arial"/>
                <w:sz w:val="18"/>
                <w:szCs w:val="18"/>
                <w:color w:val="auto"/>
              </w:rPr>
              <w:t>5.</w:t>
            </w:r>
          </w:p>
        </w:tc>
        <w:tc>
          <w:tcPr>
            <w:tcW w:w="228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Shares</w:t>
            </w:r>
          </w:p>
        </w:tc>
        <w:tc>
          <w:tcPr>
            <w:tcW w:w="6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Beneficially</w:t>
            </w:r>
          </w:p>
        </w:tc>
        <w:tc>
          <w:tcPr>
            <w:tcW w:w="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Owned by</w:t>
            </w:r>
          </w:p>
        </w:tc>
        <w:tc>
          <w:tcPr>
            <w:tcW w:w="620" w:type="dxa"/>
            <w:vAlign w:val="bottom"/>
          </w:tcPr>
          <w:p>
            <w:pPr>
              <w:ind w:left="260"/>
              <w:spacing w:after="0"/>
              <w:rPr>
                <w:sz w:val="20"/>
                <w:szCs w:val="20"/>
                <w:color w:val="auto"/>
              </w:rPr>
            </w:pPr>
            <w:r>
              <w:rPr>
                <w:rFonts w:ascii="Arial" w:cs="Arial" w:eastAsia="Arial" w:hAnsi="Arial"/>
                <w:sz w:val="18"/>
                <w:szCs w:val="18"/>
                <w:color w:val="auto"/>
              </w:rPr>
              <w:t>6.</w:t>
            </w:r>
          </w:p>
        </w:tc>
        <w:tc>
          <w:tcPr>
            <w:tcW w:w="228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Each Reporting</w:t>
            </w:r>
          </w:p>
        </w:tc>
        <w:tc>
          <w:tcPr>
            <w:tcW w:w="6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Person With:</w:t>
            </w:r>
          </w:p>
        </w:tc>
        <w:tc>
          <w:tcPr>
            <w:tcW w:w="620" w:type="dxa"/>
            <w:vAlign w:val="bottom"/>
            <w:vMerge w:val="restart"/>
          </w:tcPr>
          <w:p>
            <w:pPr>
              <w:ind w:left="260"/>
              <w:spacing w:after="0"/>
              <w:rPr>
                <w:sz w:val="20"/>
                <w:szCs w:val="20"/>
                <w:color w:val="auto"/>
              </w:rPr>
            </w:pPr>
            <w:r>
              <w:rPr>
                <w:rFonts w:ascii="Arial" w:cs="Arial" w:eastAsia="Arial" w:hAnsi="Arial"/>
                <w:sz w:val="18"/>
                <w:szCs w:val="18"/>
                <w:color w:val="auto"/>
              </w:rPr>
              <w:t>7.</w:t>
            </w: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ectPr>
          <w:pgSz w:w="11900" w:h="16838" w:orient="portrait"/>
          <w:cols w:equalWidth="0" w:num="1">
            <w:col w:w="10139"/>
          </w:cols>
          <w:pgMar w:left="320" w:top="341" w:right="1440" w:bottom="0" w:gutter="0" w:footer="0" w:header="0"/>
          <w:type w:val="continuous"/>
        </w:sectPr>
      </w:pPr>
    </w:p>
    <w:bookmarkStart w:id="2" w:name="page3"/>
    <w:bookmarkEnd w:id="2"/>
    <w:p>
      <w:pPr>
        <w:ind w:left="2300" w:right="6980" w:hanging="551"/>
        <w:spacing w:after="0" w:line="277" w:lineRule="auto"/>
        <w:tabs>
          <w:tab w:leader="none" w:pos="2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 N/A</w:t>
      </w:r>
    </w:p>
    <w:p>
      <w:pPr>
        <w:spacing w:after="0" w:line="170" w:lineRule="exact"/>
        <w:rPr>
          <w:rFonts w:ascii="Arial" w:cs="Arial" w:eastAsia="Arial" w:hAnsi="Arial"/>
          <w:sz w:val="18"/>
          <w:szCs w:val="18"/>
          <w:color w:val="auto"/>
        </w:rPr>
      </w:pPr>
    </w:p>
    <w:p>
      <w:pPr>
        <w:ind w:left="1740" w:right="4600" w:hanging="666"/>
        <w:spacing w:after="0" w:line="277" w:lineRule="auto"/>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N/A</w:t>
      </w:r>
    </w:p>
    <w:p>
      <w:pPr>
        <w:spacing w:after="0" w:line="170" w:lineRule="exact"/>
        <w:rPr>
          <w:sz w:val="20"/>
          <w:szCs w:val="20"/>
          <w:color w:val="auto"/>
        </w:rPr>
      </w:pPr>
    </w:p>
    <w:p>
      <w:pPr>
        <w:ind w:left="1080"/>
        <w:spacing w:after="0"/>
        <w:tabs>
          <w:tab w:leader="none" w:pos="1720" w:val="left"/>
          <w:tab w:leader="none" w:pos="8320" w:val="left"/>
        </w:tabs>
        <w:rPr>
          <w:sz w:val="20"/>
          <w:szCs w:val="20"/>
          <w:color w:val="auto"/>
        </w:rPr>
      </w:pPr>
      <w:r>
        <w:rPr>
          <w:rFonts w:ascii="Arial" w:cs="Arial" w:eastAsia="Arial" w:hAnsi="Arial"/>
          <w:sz w:val="17"/>
          <w:szCs w:val="17"/>
          <w:color w:val="auto"/>
        </w:rPr>
        <w:t>10.</w:t>
      </w:r>
      <w:r>
        <w:rPr>
          <w:sz w:val="20"/>
          <w:szCs w:val="20"/>
          <w:color w:val="auto"/>
        </w:rPr>
        <w:tab/>
      </w:r>
      <w:r>
        <w:rPr>
          <w:rFonts w:ascii="Arial" w:cs="Arial" w:eastAsia="Arial" w:hAnsi="Arial"/>
          <w:sz w:val="17"/>
          <w:szCs w:val="17"/>
          <w:color w:val="auto"/>
        </w:rPr>
        <w:t>Check if the Aggregate Amount in Row (9) Excludes Certain Shares (See Instructions)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740" w:right="5620" w:hanging="666"/>
        <w:spacing w:after="0" w:line="277" w:lineRule="auto"/>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N/A</w:t>
      </w:r>
    </w:p>
    <w:p>
      <w:pPr>
        <w:spacing w:after="0" w:line="170" w:lineRule="exact"/>
        <w:rPr>
          <w:rFonts w:ascii="Arial" w:cs="Arial" w:eastAsia="Arial" w:hAnsi="Arial"/>
          <w:sz w:val="18"/>
          <w:szCs w:val="18"/>
          <w:color w:val="auto"/>
        </w:rPr>
      </w:pPr>
    </w:p>
    <w:p>
      <w:pPr>
        <w:ind w:left="1740" w:hanging="666"/>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amends in its entirety the Schedule 13G filed for the month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920" w:hanging="49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1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Axsome Therapeutics, Inc.</w:t>
      </w:r>
    </w:p>
    <w:p>
      <w:pPr>
        <w:spacing w:after="0" w:line="225" w:lineRule="exact"/>
        <w:rPr>
          <w:rFonts w:ascii="Arial" w:cs="Arial" w:eastAsia="Arial" w:hAnsi="Arial"/>
          <w:sz w:val="18"/>
          <w:szCs w:val="18"/>
          <w:color w:val="auto"/>
        </w:rPr>
      </w:pPr>
    </w:p>
    <w:p>
      <w:pPr>
        <w:ind w:left="920" w:right="6860" w:hanging="494"/>
        <w:spacing w:after="0" w:line="342"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Address of Issuer's Principal Executive Offices 22 Cortlandt Street, New York, NY 10007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920" w:hanging="49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10" w:lineRule="exact"/>
        <w:rPr>
          <w:rFonts w:ascii="Arial" w:cs="Arial" w:eastAsia="Arial" w:hAnsi="Arial"/>
          <w:sz w:val="18"/>
          <w:szCs w:val="18"/>
          <w:color w:val="auto"/>
        </w:rPr>
      </w:pPr>
    </w:p>
    <w:p>
      <w:pPr>
        <w:ind w:left="920" w:right="60"/>
        <w:spacing w:after="0" w:line="258" w:lineRule="auto"/>
        <w:rPr>
          <w:rFonts w:ascii="Arial" w:cs="Arial" w:eastAsia="Arial" w:hAnsi="Arial"/>
          <w:sz w:val="18"/>
          <w:szCs w:val="18"/>
          <w:color w:val="auto"/>
        </w:rPr>
      </w:pPr>
      <w:r>
        <w:rPr>
          <w:rFonts w:ascii="Arial" w:cs="Arial" w:eastAsia="Arial" w:hAnsi="Arial"/>
          <w:sz w:val="18"/>
          <w:szCs w:val="18"/>
          <w:color w:val="auto"/>
        </w:rPr>
        <w:t>This Statement is being filed by and on behalf of Iridian Asset Management LLC ("Iridian"), David L. Cohen ("Cohen") and Harold J. Levy ("Levy") (collectively, the "Reporting Persons").</w:t>
      </w:r>
    </w:p>
    <w:p>
      <w:pPr>
        <w:spacing w:after="0" w:line="1" w:lineRule="exact"/>
        <w:rPr>
          <w:rFonts w:ascii="Arial" w:cs="Arial" w:eastAsia="Arial" w:hAnsi="Arial"/>
          <w:sz w:val="18"/>
          <w:szCs w:val="18"/>
          <w:color w:val="auto"/>
        </w:rPr>
      </w:pPr>
    </w:p>
    <w:p>
      <w:pPr>
        <w:ind w:left="920"/>
        <w:spacing w:after="0" w:line="250" w:lineRule="auto"/>
        <w:rPr>
          <w:rFonts w:ascii="Arial" w:cs="Arial" w:eastAsia="Arial" w:hAnsi="Arial"/>
          <w:sz w:val="18"/>
          <w:szCs w:val="18"/>
          <w:color w:val="auto"/>
        </w:rPr>
      </w:pPr>
      <w:r>
        <w:rPr>
          <w:rFonts w:ascii="Arial" w:cs="Arial" w:eastAsia="Arial" w:hAnsi="Arial"/>
          <w:sz w:val="18"/>
          <w:szCs w:val="18"/>
          <w:color w:val="auto"/>
        </w:rPr>
        <w:t>Iridian is majority owned by Arovid Associates LLC, a Delaware limited liability company owned and controlled by the following: 12.5% by Cohen, 12.5% by Levy, 37.5% by LLMD LLC, a Delaware limited liability company, and 37.5% by ALHERO LLC, a Delaware limited liability company. LLMD LLC is owned 1% by Cohen, and 99% by a family trust controlled by Cohen. ALHERO LLC is owned 1% by Levy and 99% by a family trust controlled by Levy.</w:t>
      </w:r>
    </w:p>
    <w:p>
      <w:pPr>
        <w:spacing w:after="0" w:line="1" w:lineRule="exact"/>
        <w:rPr>
          <w:rFonts w:ascii="Arial" w:cs="Arial" w:eastAsia="Arial" w:hAnsi="Arial"/>
          <w:sz w:val="18"/>
          <w:szCs w:val="18"/>
          <w:color w:val="auto"/>
        </w:rPr>
      </w:pPr>
    </w:p>
    <w:p>
      <w:pPr>
        <w:ind w:left="920" w:hanging="49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1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The principal business address of the Reporting Persons is 276 Post Road West, Westport, CT 06880-4704.</w:t>
      </w:r>
    </w:p>
    <w:p>
      <w:pPr>
        <w:spacing w:after="0" w:line="225" w:lineRule="exact"/>
        <w:rPr>
          <w:rFonts w:ascii="Arial" w:cs="Arial" w:eastAsia="Arial" w:hAnsi="Arial"/>
          <w:sz w:val="18"/>
          <w:szCs w:val="18"/>
          <w:color w:val="auto"/>
        </w:rPr>
      </w:pPr>
    </w:p>
    <w:p>
      <w:pPr>
        <w:ind w:left="920" w:hanging="49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Iridian is a Delaware limited liability company. Cohen and Levy are US citizens.</w:t>
      </w:r>
    </w:p>
    <w:p>
      <w:pPr>
        <w:spacing w:after="0" w:line="225" w:lineRule="exact"/>
        <w:rPr>
          <w:rFonts w:ascii="Arial" w:cs="Arial" w:eastAsia="Arial" w:hAnsi="Arial"/>
          <w:sz w:val="18"/>
          <w:szCs w:val="18"/>
          <w:color w:val="auto"/>
        </w:rPr>
      </w:pPr>
    </w:p>
    <w:p>
      <w:pPr>
        <w:ind w:left="920" w:hanging="49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Common Stock, par value $0.0001 per share</w:t>
      </w:r>
    </w:p>
    <w:p>
      <w:pPr>
        <w:spacing w:after="0" w:line="225" w:lineRule="exact"/>
        <w:rPr>
          <w:rFonts w:ascii="Arial" w:cs="Arial" w:eastAsia="Arial" w:hAnsi="Arial"/>
          <w:sz w:val="18"/>
          <w:szCs w:val="18"/>
          <w:color w:val="auto"/>
        </w:rPr>
      </w:pPr>
    </w:p>
    <w:p>
      <w:pPr>
        <w:ind w:left="920" w:hanging="49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8600" w:type="dxa"/>
            <w:vAlign w:val="bottom"/>
            <w:gridSpan w:val="3"/>
          </w:tcPr>
          <w:p>
            <w:pPr>
              <w:ind w:left="140"/>
              <w:spacing w:after="0"/>
              <w:rPr>
                <w:sz w:val="20"/>
                <w:szCs w:val="20"/>
                <w:color w:val="auto"/>
              </w:rPr>
            </w:pPr>
            <w:r>
              <w:rPr>
                <w:rFonts w:ascii="Arial" w:cs="Arial" w:eastAsia="Arial" w:hAnsi="Arial"/>
                <w:sz w:val="18"/>
                <w:szCs w:val="18"/>
                <w:color w:val="auto"/>
              </w:rPr>
              <w:t>05464T104</w:t>
            </w:r>
          </w:p>
        </w:tc>
      </w:tr>
      <w:tr>
        <w:trPr>
          <w:trHeight w:val="418"/>
        </w:trPr>
        <w:tc>
          <w:tcPr>
            <w:tcW w:w="7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600" w:type="dxa"/>
            <w:vAlign w:val="bottom"/>
            <w:gridSpan w:val="3"/>
          </w:tcPr>
          <w:p>
            <w:pPr>
              <w:ind w:left="140"/>
              <w:spacing w:after="0"/>
              <w:rPr>
                <w:sz w:val="20"/>
                <w:szCs w:val="20"/>
                <w:color w:val="auto"/>
              </w:rPr>
            </w:pPr>
            <w:r>
              <w:rPr>
                <w:rFonts w:ascii="Arial" w:cs="Arial" w:eastAsia="Arial" w:hAnsi="Arial"/>
                <w:sz w:val="18"/>
                <w:szCs w:val="18"/>
                <w:b w:val="1"/>
                <w:bCs w:val="1"/>
                <w:color w:val="auto"/>
                <w:w w:val="89"/>
              </w:rPr>
              <w:t>If this statement is filed pursuant to §§240.13d-1(b) or 240.13d-2(b) or (c), check whether the person filing is a:</w:t>
            </w:r>
          </w:p>
        </w:tc>
      </w:tr>
      <w:tr>
        <w:trPr>
          <w:trHeight w:val="216"/>
        </w:trPr>
        <w:tc>
          <w:tcPr>
            <w:tcW w:w="780" w:type="dxa"/>
            <w:vAlign w:val="bottom"/>
          </w:tcPr>
          <w:p>
            <w:pPr>
              <w:ind w:left="420"/>
              <w:spacing w:after="0"/>
              <w:rPr>
                <w:sz w:val="20"/>
                <w:szCs w:val="20"/>
                <w:color w:val="auto"/>
              </w:rPr>
            </w:pPr>
            <w:r>
              <w:rPr>
                <w:rFonts w:ascii="Arial" w:cs="Arial" w:eastAsia="Arial" w:hAnsi="Arial"/>
                <w:sz w:val="18"/>
                <w:szCs w:val="18"/>
                <w:color w:val="auto"/>
              </w:rPr>
              <w:t>(a)</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100" w:type="dxa"/>
            <w:vAlign w:val="bottom"/>
          </w:tcPr>
          <w:p>
            <w:pPr>
              <w:ind w:left="14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216"/>
        </w:trPr>
        <w:tc>
          <w:tcPr>
            <w:tcW w:w="780" w:type="dxa"/>
            <w:vAlign w:val="bottom"/>
          </w:tcPr>
          <w:p>
            <w:pPr>
              <w:ind w:left="420"/>
              <w:spacing w:after="0"/>
              <w:rPr>
                <w:sz w:val="20"/>
                <w:szCs w:val="20"/>
                <w:color w:val="auto"/>
              </w:rPr>
            </w:pPr>
            <w:r>
              <w:rPr>
                <w:rFonts w:ascii="Arial" w:cs="Arial" w:eastAsia="Arial" w:hAnsi="Arial"/>
                <w:sz w:val="18"/>
                <w:szCs w:val="18"/>
                <w:color w:val="auto"/>
              </w:rPr>
              <w:t>(b)</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100" w:type="dxa"/>
            <w:vAlign w:val="bottom"/>
          </w:tcPr>
          <w:p>
            <w:pPr>
              <w:ind w:left="140"/>
              <w:spacing w:after="0"/>
              <w:rPr>
                <w:sz w:val="20"/>
                <w:szCs w:val="20"/>
                <w:color w:val="auto"/>
              </w:rPr>
            </w:pPr>
            <w:r>
              <w:rPr>
                <w:rFonts w:ascii="Arial" w:cs="Arial" w:eastAsia="Arial" w:hAnsi="Arial"/>
                <w:sz w:val="18"/>
                <w:szCs w:val="18"/>
                <w:color w:val="auto"/>
              </w:rPr>
              <w:t>Bank as defined in section 3(a)(6) of the Act (15 U.S.C. 78c).</w:t>
            </w:r>
          </w:p>
        </w:tc>
      </w:tr>
      <w:tr>
        <w:trPr>
          <w:trHeight w:val="216"/>
        </w:trPr>
        <w:tc>
          <w:tcPr>
            <w:tcW w:w="780" w:type="dxa"/>
            <w:vAlign w:val="bottom"/>
          </w:tcPr>
          <w:p>
            <w:pPr>
              <w:ind w:left="420"/>
              <w:spacing w:after="0"/>
              <w:rPr>
                <w:sz w:val="20"/>
                <w:szCs w:val="20"/>
                <w:color w:val="auto"/>
              </w:rPr>
            </w:pPr>
            <w:r>
              <w:rPr>
                <w:rFonts w:ascii="Arial" w:cs="Arial" w:eastAsia="Arial" w:hAnsi="Arial"/>
                <w:sz w:val="18"/>
                <w:szCs w:val="18"/>
                <w:color w:val="auto"/>
              </w:rPr>
              <w:t>(c)</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100" w:type="dxa"/>
            <w:vAlign w:val="bottom"/>
          </w:tcPr>
          <w:p>
            <w:pPr>
              <w:ind w:left="14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230"/>
        </w:trPr>
        <w:tc>
          <w:tcPr>
            <w:tcW w:w="780" w:type="dxa"/>
            <w:vAlign w:val="bottom"/>
          </w:tcPr>
          <w:p>
            <w:pPr>
              <w:ind w:left="420"/>
              <w:spacing w:after="0"/>
              <w:rPr>
                <w:sz w:val="20"/>
                <w:szCs w:val="20"/>
                <w:color w:val="auto"/>
              </w:rPr>
            </w:pPr>
            <w:r>
              <w:rPr>
                <w:rFonts w:ascii="Arial" w:cs="Arial" w:eastAsia="Arial" w:hAnsi="Arial"/>
                <w:sz w:val="18"/>
                <w:szCs w:val="18"/>
                <w:color w:val="auto"/>
              </w:rPr>
              <w:t>(d)</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100" w:type="dxa"/>
            <w:vAlign w:val="bottom"/>
          </w:tcPr>
          <w:p>
            <w:pPr>
              <w:ind w:left="140"/>
              <w:spacing w:after="0"/>
              <w:rPr>
                <w:sz w:val="20"/>
                <w:szCs w:val="20"/>
                <w:color w:val="auto"/>
              </w:rPr>
            </w:pPr>
            <w:r>
              <w:rPr>
                <w:rFonts w:ascii="Arial" w:cs="Arial" w:eastAsia="Arial" w:hAnsi="Arial"/>
                <w:sz w:val="18"/>
                <w:szCs w:val="18"/>
                <w:color w:val="auto"/>
                <w:w w:val="93"/>
              </w:rPr>
              <w:t>Investment company registered under section 8 of the Investment Company Act of 1940 (15 U.S.C 80a-8).</w:t>
            </w:r>
          </w:p>
        </w:tc>
      </w:tr>
    </w:tbl>
    <w:p>
      <w:pPr>
        <w:ind w:left="920" w:hanging="49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   An investment adviser in accordance with §240.13d-1(b)(1)(ii)(E);</w:t>
      </w:r>
    </w:p>
    <w:p>
      <w:pPr>
        <w:spacing w:after="0" w:line="4"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Arial" w:cs="Arial" w:eastAsia="Arial" w:hAnsi="Arial"/>
                <w:sz w:val="18"/>
                <w:szCs w:val="18"/>
                <w:color w:val="auto"/>
              </w:rPr>
              <w:t>(f)</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80" w:type="dxa"/>
            <w:vAlign w:val="bottom"/>
          </w:tcPr>
          <w:p>
            <w:pPr>
              <w:ind w:left="14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(g)</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80" w:type="dxa"/>
            <w:vAlign w:val="bottom"/>
          </w:tcPr>
          <w:p>
            <w:pPr>
              <w:ind w:left="14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(h)</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80" w:type="dxa"/>
            <w:vAlign w:val="bottom"/>
          </w:tcPr>
          <w:p>
            <w:pPr>
              <w:ind w:left="14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(i)</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80" w:type="dxa"/>
            <w:vAlign w:val="bottom"/>
          </w:tcPr>
          <w:p>
            <w:pPr>
              <w:ind w:left="14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 Company Act of</w:t>
            </w:r>
          </w:p>
        </w:tc>
      </w:tr>
      <w:tr>
        <w:trPr>
          <w:trHeight w:val="216"/>
        </w:trPr>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1940 (15 U.S.C. 80a-3);</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(j)</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 x]</w:t>
            </w:r>
          </w:p>
        </w:tc>
        <w:tc>
          <w:tcPr>
            <w:tcW w:w="9880" w:type="dxa"/>
            <w:vAlign w:val="bottom"/>
          </w:tcPr>
          <w:p>
            <w:pPr>
              <w:ind w:left="140"/>
              <w:spacing w:after="0"/>
              <w:rPr>
                <w:sz w:val="20"/>
                <w:szCs w:val="20"/>
                <w:color w:val="auto"/>
              </w:rPr>
            </w:pPr>
            <w:r>
              <w:rPr>
                <w:rFonts w:ascii="Arial" w:cs="Arial" w:eastAsia="Arial" w:hAnsi="Arial"/>
                <w:sz w:val="18"/>
                <w:szCs w:val="18"/>
                <w:color w:val="auto"/>
              </w:rPr>
              <w:t>Group, in accordance with §240.13d-1(b)(1)(ii)(J).</w:t>
            </w:r>
          </w:p>
        </w:tc>
      </w:tr>
    </w:tbl>
    <w:p>
      <w:pPr>
        <w:spacing w:after="0" w:line="1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7" w:lineRule="exact"/>
        <w:rPr>
          <w:sz w:val="20"/>
          <w:szCs w:val="20"/>
          <w:color w:val="auto"/>
        </w:rPr>
      </w:pPr>
    </w:p>
    <w:p>
      <w:pPr>
        <w:ind w:left="920" w:hanging="49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beneficially owned and Percent of Class:</w:t>
      </w:r>
    </w:p>
    <w:p>
      <w:pPr>
        <w:spacing w:after="0" w:line="9"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and</w:t>
        <w:tab/>
        <w:t>Not applicable.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920" w:right="8420" w:hanging="494"/>
        <w:spacing w:after="0" w:line="308"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Power to vote or dispose. Not applicable.</w:t>
      </w:r>
    </w:p>
    <w:p>
      <w:pPr>
        <w:spacing w:after="0" w:line="3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 beneficial owner of more than five</w:t>
      </w:r>
    </w:p>
    <w:p>
      <w:pPr>
        <w:sectPr>
          <w:pgSz w:w="11900" w:h="16838" w:orient="portrait"/>
          <w:cols w:equalWidth="0" w:num="1">
            <w:col w:w="11160"/>
          </w:cols>
          <w:pgMar w:left="320" w:top="341" w:right="41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percent of the class of securities, check the following [XX].</w:t>
      </w:r>
    </w:p>
    <w:p>
      <w:pPr>
        <w:spacing w:after="0" w:line="221" w:lineRule="exact"/>
        <w:rPr>
          <w:sz w:val="20"/>
          <w:szCs w:val="20"/>
          <w:color w:val="auto"/>
        </w:rPr>
      </w:pPr>
    </w:p>
    <w:p>
      <w:pPr>
        <w:ind w:left="60" w:right="5180" w:hanging="44"/>
        <w:spacing w:after="0" w:line="282" w:lineRule="auto"/>
        <w:rPr>
          <w:sz w:val="20"/>
          <w:szCs w:val="20"/>
          <w:color w:val="auto"/>
        </w:rPr>
      </w:pPr>
      <w:r>
        <w:rPr>
          <w:rFonts w:ascii="Arial" w:cs="Arial" w:eastAsia="Arial" w:hAnsi="Arial"/>
          <w:sz w:val="18"/>
          <w:szCs w:val="18"/>
          <w:b w:val="1"/>
          <w:bCs w:val="1"/>
          <w:color w:val="auto"/>
        </w:rPr>
        <w:t>Item 6.</w:t>
      </w:r>
      <w:r>
        <w:rPr>
          <w:sz w:val="20"/>
          <w:szCs w:val="20"/>
          <w:color w:val="auto"/>
        </w:rPr>
        <w:t xml:space="preserve"> </w:t>
      </w:r>
      <w:r>
        <w:rPr>
          <w:rFonts w:ascii="Arial" w:cs="Arial" w:eastAsia="Arial" w:hAnsi="Arial"/>
          <w:sz w:val="18"/>
          <w:szCs w:val="18"/>
          <w:b w:val="1"/>
          <w:bCs w:val="1"/>
          <w:color w:val="auto"/>
        </w:rPr>
        <w:t xml:space="preserve">Ownership of More than Five Percent on Behalf of Another Person </w:t>
      </w:r>
      <w:r>
        <w:rPr>
          <w:rFonts w:ascii="Arial" w:cs="Arial" w:eastAsia="Arial" w:hAnsi="Arial"/>
          <w:sz w:val="18"/>
          <w:szCs w:val="18"/>
          <w:color w:val="auto"/>
        </w:rPr>
        <w:t>Not Applicable</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Not Applicable.</w:t>
      </w:r>
    </w:p>
    <w:p>
      <w:pPr>
        <w:spacing w:after="0" w:line="1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Iridian is an investment adviser registered under Section 203 of the Investment Advisers Act of 1940, and its principal business is managing a number of accounts containing securities over which Iridian has voting and dispositive power.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Each of Messrs. Cohen and Levy has a controlling interest in Iridian and serves as Co-Chief Executive Officer of Iridian.</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By signing below the undersigned certifies that, to the best of its or his knowledge and belief, the securities referred to above were acquired and are held in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such purpose or effect.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After reasonable inquiry and to the best of its or his knowledge and belief, we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January 18, 2022</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IRIDIAN ASSET MANAGEMENT LLC</w:t>
      </w:r>
    </w:p>
    <w:p>
      <w:pPr>
        <w:sectPr>
          <w:pgSz w:w="11900" w:h="16838" w:orient="portrait"/>
          <w:cols w:equalWidth="0" w:num="1">
            <w:col w:w="11240"/>
          </w:cols>
          <w:pgMar w:left="320" w:top="364" w:right="339" w:bottom="1440" w:gutter="0" w:footer="0" w:header="0"/>
        </w:sectPr>
      </w:pP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Jeffrey M. Elliott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Jeffrey M. Elliott</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Executive Vice President</w:t>
      </w:r>
    </w:p>
    <w:p>
      <w:pPr>
        <w:spacing w:after="0" w:line="200" w:lineRule="exact"/>
        <w:rPr>
          <w:sz w:val="20"/>
          <w:szCs w:val="20"/>
          <w:color w:val="auto"/>
        </w:rPr>
      </w:pPr>
    </w:p>
    <w:p>
      <w:pPr>
        <w:sectPr>
          <w:pgSz w:w="11900" w:h="16838" w:orient="portrait"/>
          <w:cols w:equalWidth="0" w:num="2">
            <w:col w:w="5800" w:space="200"/>
            <w:col w:w="5240"/>
          </w:cols>
          <w:pgMar w:left="320" w:top="364" w:right="339" w:bottom="1440" w:gutter="0" w:footer="0" w:header="0"/>
          <w:type w:val="continuous"/>
        </w:sectPr>
      </w:pPr>
    </w:p>
    <w:p>
      <w:pPr>
        <w:spacing w:after="0" w:line="34"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David L. Cohen</w:t>
      </w:r>
    </w:p>
    <w:p>
      <w:pPr>
        <w:sectPr>
          <w:pgSz w:w="11900" w:h="16838" w:orient="portrait"/>
          <w:cols w:equalWidth="0" w:num="1">
            <w:col w:w="11240"/>
          </w:cols>
          <w:pgMar w:left="320" w:top="364" w:right="339" w:bottom="1440" w:gutter="0" w:footer="0" w:header="0"/>
          <w:type w:val="continuous"/>
        </w:sectPr>
      </w:pPr>
    </w:p>
    <w:p>
      <w:pPr>
        <w:spacing w:after="0" w:line="24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Jeffrey M. Elliott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Jeffrey M. Elliott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Agent</w:t>
      </w:r>
    </w:p>
    <w:p>
      <w:pPr>
        <w:spacing w:after="0" w:line="200" w:lineRule="exact"/>
        <w:rPr>
          <w:sz w:val="20"/>
          <w:szCs w:val="20"/>
          <w:color w:val="auto"/>
        </w:rPr>
      </w:pPr>
    </w:p>
    <w:p>
      <w:pPr>
        <w:sectPr>
          <w:pgSz w:w="11900" w:h="16838" w:orient="portrait"/>
          <w:cols w:equalWidth="0" w:num="2">
            <w:col w:w="5800" w:space="200"/>
            <w:col w:w="5240"/>
          </w:cols>
          <w:pgMar w:left="320" w:top="364" w:right="339" w:bottom="1440" w:gutter="0" w:footer="0" w:header="0"/>
          <w:type w:val="continuous"/>
        </w:sectPr>
      </w:pPr>
    </w:p>
    <w:p>
      <w:pPr>
        <w:spacing w:after="0" w:line="11"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Harold J. Levy</w:t>
      </w:r>
    </w:p>
    <w:p>
      <w:pPr>
        <w:sectPr>
          <w:pgSz w:w="11900" w:h="16838" w:orient="portrait"/>
          <w:cols w:equalWidth="0" w:num="1">
            <w:col w:w="11240"/>
          </w:cols>
          <w:pgMar w:left="320" w:top="364" w:right="339" w:bottom="1440" w:gutter="0" w:footer="0" w:header="0"/>
          <w:type w:val="continuous"/>
        </w:sectPr>
      </w:pPr>
    </w:p>
    <w:p>
      <w:pPr>
        <w:spacing w:after="0" w:line="24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Jeffrey M. Elliott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Jeffrey M. Elliott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Agent</w:t>
      </w:r>
    </w:p>
    <w:sectPr>
      <w:pgSz w:w="11900" w:h="16838" w:orient="portrait"/>
      <w:cols w:equalWidth="0" w:num="2">
        <w:col w:w="5800" w:space="200"/>
        <w:col w:w="5240"/>
      </w:cols>
      <w:pgMar w:left="320" w:top="36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5"/>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5"/>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lvl w:ilvl="1">
      <w:lvlJc w:val="left"/>
      <w:lvlText w:val="%2."/>
      <w:numFmt w:val="decimal"/>
      <w:start w:val="8"/>
    </w:lvl>
  </w:abstractNum>
  <w:abstractNum w:abstractNumId="12">
    <w:nsid w:val="6B68079A"/>
    <w:multiLevelType w:val="hybridMultilevel"/>
    <w:lvl w:ilvl="0">
      <w:lvlJc w:val="left"/>
      <w:lvlText w:val="%1."/>
      <w:numFmt w:val="decimal"/>
      <w:start w:val="9"/>
    </w:lvl>
    <w:lvl w:ilvl="1">
      <w:lvlJc w:val="left"/>
      <w:lvlText w:val="%2"/>
      <w:numFmt w:val="decimal"/>
      <w:start w:val="1"/>
    </w:lvl>
  </w:abstractNum>
  <w:abstractNum w:abstractNumId="13">
    <w:nsid w:val="4E6AFB66"/>
    <w:multiLevelType w:val="hybridMultilevel"/>
    <w:lvl w:ilvl="0">
      <w:lvlJc w:val="left"/>
      <w:lvlText w:val="%1."/>
      <w:numFmt w:val="decimal"/>
      <w:start w:val="1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5"/>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2022-01-18T14:48:01Z</dcterms:created>
  <dcterms:modified xsi:type="dcterms:W3CDTF">2022-01-18T14:48:01Z</dcterms:modified>
</cp:coreProperties>
</file>