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w:t>
      </w:r>
    </w:p>
    <w:p>
      <w:pPr>
        <w:ind w:left="44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1934</w:t>
      </w:r>
    </w:p>
    <w:p>
      <w:pPr>
        <w:spacing w:after="0" w:line="79"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 the quarterly period ended September 30, 2019</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60" w:hanging="216"/>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ind w:left="44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1934</w:t>
      </w:r>
    </w:p>
    <w:p>
      <w:pPr>
        <w:spacing w:after="0" w:line="160"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540" w:type="dxa"/>
        <w:tblCellMar>
          <w:top w:w="0" w:type="dxa"/>
          <w:left w:w="0" w:type="dxa"/>
          <w:bottom w:w="0" w:type="dxa"/>
          <w:right w:w="0" w:type="dxa"/>
        </w:tblCellMar>
      </w:tblPr>
      <w:tr>
        <w:trPr>
          <w:trHeight w:val="207"/>
        </w:trPr>
        <w:tc>
          <w:tcPr>
            <w:tcW w:w="4320" w:type="dxa"/>
            <w:vAlign w:val="bottom"/>
          </w:tcPr>
          <w:p>
            <w:pPr>
              <w:jc w:val="center"/>
              <w:ind w:right="796"/>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539"/>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82"/>
        </w:trPr>
        <w:tc>
          <w:tcPr>
            <w:tcW w:w="4320" w:type="dxa"/>
            <w:vAlign w:val="bottom"/>
          </w:tcPr>
          <w:p>
            <w:pPr>
              <w:jc w:val="center"/>
              <w:ind w:right="796"/>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2980" w:type="dxa"/>
            <w:vAlign w:val="bottom"/>
          </w:tcPr>
          <w:p>
            <w:pPr>
              <w:jc w:val="center"/>
              <w:ind w:left="799"/>
              <w:spacing w:after="0"/>
              <w:rPr>
                <w:sz w:val="20"/>
                <w:szCs w:val="20"/>
                <w:color w:val="auto"/>
              </w:rPr>
            </w:pPr>
            <w:r>
              <w:rPr>
                <w:rFonts w:ascii="Arial" w:cs="Arial" w:eastAsia="Arial" w:hAnsi="Arial"/>
                <w:sz w:val="14"/>
                <w:szCs w:val="14"/>
                <w:color w:val="auto"/>
                <w:w w:val="97"/>
              </w:rPr>
              <w:t>(I.R.S. Employer Identification No.)</w:t>
            </w:r>
          </w:p>
        </w:tc>
        <w:tc>
          <w:tcPr>
            <w:tcW w:w="0" w:type="dxa"/>
            <w:vAlign w:val="bottom"/>
          </w:tcPr>
          <w:p>
            <w:pPr>
              <w:spacing w:after="0"/>
              <w:rPr>
                <w:sz w:val="1"/>
                <w:szCs w:val="1"/>
                <w:color w:val="auto"/>
              </w:rPr>
            </w:pPr>
          </w:p>
        </w:tc>
      </w:tr>
      <w:tr>
        <w:trPr>
          <w:trHeight w:val="263"/>
        </w:trPr>
        <w:tc>
          <w:tcPr>
            <w:tcW w:w="4320" w:type="dxa"/>
            <w:vAlign w:val="bottom"/>
          </w:tcPr>
          <w:p>
            <w:pPr>
              <w:jc w:val="center"/>
              <w:ind w:right="776"/>
              <w:spacing w:after="0"/>
              <w:rPr>
                <w:sz w:val="20"/>
                <w:szCs w:val="20"/>
                <w:color w:val="auto"/>
              </w:rPr>
            </w:pPr>
            <w:r>
              <w:rPr>
                <w:rFonts w:ascii="Arial" w:cs="Arial" w:eastAsia="Arial" w:hAnsi="Arial"/>
                <w:sz w:val="18"/>
                <w:szCs w:val="18"/>
                <w:b w:val="1"/>
                <w:bCs w:val="1"/>
                <w:color w:val="auto"/>
                <w:w w:val="90"/>
              </w:rPr>
              <w:t>200 Broadway</w:t>
            </w:r>
          </w:p>
        </w:tc>
        <w:tc>
          <w:tcPr>
            <w:tcW w:w="2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320" w:type="dxa"/>
            <w:vAlign w:val="bottom"/>
          </w:tcPr>
          <w:p>
            <w:pPr>
              <w:jc w:val="center"/>
              <w:ind w:right="796"/>
              <w:spacing w:after="0" w:line="176" w:lineRule="exact"/>
              <w:rPr>
                <w:sz w:val="20"/>
                <w:szCs w:val="20"/>
                <w:color w:val="auto"/>
              </w:rPr>
            </w:pPr>
            <w:r>
              <w:rPr>
                <w:rFonts w:ascii="Arial" w:cs="Arial" w:eastAsia="Arial" w:hAnsi="Arial"/>
                <w:sz w:val="18"/>
                <w:szCs w:val="18"/>
                <w:b w:val="1"/>
                <w:bCs w:val="1"/>
                <w:color w:val="auto"/>
                <w:w w:val="94"/>
              </w:rPr>
              <w:t>3</w:t>
            </w:r>
            <w:r>
              <w:rPr>
                <w:rFonts w:ascii="Arial" w:cs="Arial" w:eastAsia="Arial" w:hAnsi="Arial"/>
                <w:sz w:val="8"/>
                <w:szCs w:val="8"/>
                <w:b w:val="1"/>
                <w:bCs w:val="1"/>
                <w:color w:val="auto"/>
                <w:w w:val="94"/>
              </w:rPr>
              <w:t>rd</w:t>
            </w:r>
            <w:r>
              <w:rPr>
                <w:rFonts w:ascii="Arial" w:cs="Arial" w:eastAsia="Arial" w:hAnsi="Arial"/>
                <w:sz w:val="18"/>
                <w:szCs w:val="18"/>
                <w:b w:val="1"/>
                <w:bCs w:val="1"/>
                <w:color w:val="auto"/>
                <w:w w:val="94"/>
              </w:rPr>
              <w:t xml:space="preserve"> Floor</w:t>
            </w:r>
          </w:p>
        </w:tc>
        <w:tc>
          <w:tcPr>
            <w:tcW w:w="2980" w:type="dxa"/>
            <w:vAlign w:val="bottom"/>
            <w:vMerge w:val="restart"/>
          </w:tcPr>
          <w:p>
            <w:pPr>
              <w:jc w:val="right"/>
              <w:ind w:right="739"/>
              <w:spacing w:after="0"/>
              <w:rPr>
                <w:sz w:val="20"/>
                <w:szCs w:val="20"/>
                <w:color w:val="auto"/>
              </w:rPr>
            </w:pPr>
            <w:r>
              <w:rPr>
                <w:rFonts w:ascii="Arial" w:cs="Arial" w:eastAsia="Arial" w:hAnsi="Arial"/>
                <w:sz w:val="18"/>
                <w:szCs w:val="18"/>
                <w:b w:val="1"/>
                <w:bCs w:val="1"/>
                <w:color w:val="auto"/>
              </w:rPr>
              <w:t>10038</w:t>
            </w:r>
          </w:p>
        </w:tc>
        <w:tc>
          <w:tcPr>
            <w:tcW w:w="0" w:type="dxa"/>
            <w:vAlign w:val="bottom"/>
          </w:tcPr>
          <w:p>
            <w:pPr>
              <w:spacing w:after="0"/>
              <w:rPr>
                <w:sz w:val="1"/>
                <w:szCs w:val="1"/>
                <w:color w:val="auto"/>
              </w:rPr>
            </w:pPr>
          </w:p>
        </w:tc>
      </w:tr>
      <w:tr>
        <w:trPr>
          <w:trHeight w:val="176"/>
        </w:trPr>
        <w:tc>
          <w:tcPr>
            <w:tcW w:w="4320" w:type="dxa"/>
            <w:vAlign w:val="bottom"/>
          </w:tcPr>
          <w:p>
            <w:pPr>
              <w:jc w:val="center"/>
              <w:ind w:right="776"/>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29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320" w:type="dxa"/>
            <w:vAlign w:val="bottom"/>
          </w:tcPr>
          <w:p>
            <w:pPr>
              <w:jc w:val="center"/>
              <w:ind w:right="796"/>
              <w:spacing w:after="0"/>
              <w:rPr>
                <w:sz w:val="20"/>
                <w:szCs w:val="20"/>
                <w:color w:val="auto"/>
              </w:rPr>
            </w:pPr>
            <w:r>
              <w:rPr>
                <w:rFonts w:ascii="Arial" w:cs="Arial" w:eastAsia="Arial" w:hAnsi="Arial"/>
                <w:sz w:val="14"/>
                <w:szCs w:val="14"/>
                <w:color w:val="auto"/>
                <w:w w:val="95"/>
              </w:rPr>
              <w:t>(Address of principal executive offices)</w:t>
            </w:r>
          </w:p>
        </w:tc>
        <w:tc>
          <w:tcPr>
            <w:tcW w:w="2980" w:type="dxa"/>
            <w:vAlign w:val="bottom"/>
          </w:tcPr>
          <w:p>
            <w:pPr>
              <w:jc w:val="center"/>
              <w:ind w:left="799"/>
              <w:spacing w:after="0"/>
              <w:rPr>
                <w:sz w:val="20"/>
                <w:szCs w:val="20"/>
                <w:color w:val="auto"/>
              </w:rPr>
            </w:pPr>
            <w:r>
              <w:rPr>
                <w:rFonts w:ascii="Arial" w:cs="Arial" w:eastAsia="Arial" w:hAnsi="Arial"/>
                <w:sz w:val="14"/>
                <w:szCs w:val="14"/>
                <w:color w:val="auto"/>
                <w:w w:val="93"/>
              </w:rPr>
              <w:t>(Zip Code)</w:t>
            </w:r>
          </w:p>
        </w:tc>
        <w:tc>
          <w:tcPr>
            <w:tcW w:w="0" w:type="dxa"/>
            <w:vAlign w:val="bottom"/>
          </w:tcPr>
          <w:p>
            <w:pPr>
              <w:spacing w:after="0"/>
              <w:rPr>
                <w:sz w:val="1"/>
                <w:szCs w:val="1"/>
                <w:color w:val="auto"/>
              </w:rPr>
            </w:pPr>
          </w:p>
        </w:tc>
      </w:tr>
    </w:tbl>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(212) 332-3241</w:t>
      </w:r>
    </w:p>
    <w:p>
      <w:pPr>
        <w:spacing w:after="0" w:line="5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6" w:lineRule="exact"/>
        <w:rPr>
          <w:sz w:val="24"/>
          <w:szCs w:val="24"/>
          <w:color w:val="auto"/>
        </w:rPr>
      </w:pPr>
    </w:p>
    <w:p>
      <w:pPr>
        <w:ind w:right="240"/>
        <w:spacing w:after="0" w:line="193"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00"/>
        <w:spacing w:after="0" w:line="222"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 files).</w:t>
      </w:r>
    </w:p>
    <w:p>
      <w:pPr>
        <w:spacing w:after="0" w:line="161" w:lineRule="exact"/>
        <w:tabs>
          <w:tab w:leader="none" w:pos="500" w:val="left"/>
        </w:tabs>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102" w:lineRule="exact"/>
        <w:rPr>
          <w:sz w:val="24"/>
          <w:szCs w:val="24"/>
          <w:color w:val="auto"/>
        </w:rPr>
      </w:pPr>
    </w:p>
    <w:p>
      <w:pPr>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40"/>
          </w:cols>
          <w:pgMar w:left="1420" w:top="220" w:right="1439" w:bottom="1440" w:gutter="0" w:footer="0" w:header="0"/>
        </w:sectPr>
      </w:pPr>
    </w:p>
    <w:p>
      <w:pPr>
        <w:spacing w:after="0" w:line="7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Accelerated Filer </w:t>
      </w:r>
      <w:r>
        <w:rPr>
          <w:rFonts w:ascii="MS PGothic" w:cs="MS PGothic" w:eastAsia="MS PGothic" w:hAnsi="MS PGothic"/>
          <w:sz w:val="14"/>
          <w:szCs w:val="14"/>
          <w:color w:val="auto"/>
          <w:highlight w:val="black"/>
        </w:rPr>
        <w:t>☒</w:t>
      </w:r>
    </w:p>
    <w:p>
      <w:pPr>
        <w:spacing w:after="0" w:line="149"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pacing w:after="0" w:line="109" w:lineRule="exact"/>
        <w:rPr>
          <w:sz w:val="24"/>
          <w:szCs w:val="24"/>
          <w:color w:val="auto"/>
        </w:rPr>
      </w:pPr>
    </w:p>
    <w:p>
      <w:pPr>
        <w:sectPr>
          <w:pgSz w:w="11900" w:h="16838" w:orient="portrait"/>
          <w:cols w:equalWidth="0" w:num="2">
            <w:col w:w="3820" w:space="720"/>
            <w:col w:w="4500"/>
          </w:cols>
          <w:pgMar w:left="1420" w:top="220" w:right="1439" w:bottom="1440" w:gutter="0" w:footer="0" w:header="0"/>
          <w:type w:val="continuous"/>
        </w:sectPr>
      </w:pPr>
    </w:p>
    <w:p>
      <w:pPr>
        <w:ind w:right="2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45"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11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59" w:lineRule="exact"/>
        <w:rPr>
          <w:sz w:val="24"/>
          <w:szCs w:val="24"/>
          <w:color w:val="auto"/>
        </w:rPr>
      </w:pPr>
    </w:p>
    <w:tbl>
      <w:tblPr>
        <w:tblLayout w:type="fixed"/>
        <w:tblInd w:w="160" w:type="dxa"/>
        <w:tblCellMar>
          <w:top w:w="0" w:type="dxa"/>
          <w:left w:w="0" w:type="dxa"/>
          <w:bottom w:w="0" w:type="dxa"/>
          <w:right w:w="0" w:type="dxa"/>
        </w:tblCellMar>
      </w:tblPr>
      <w:tr>
        <w:trPr>
          <w:trHeight w:val="171"/>
        </w:trPr>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29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Trading Symbol(s)</w:t>
            </w:r>
          </w:p>
        </w:tc>
        <w:tc>
          <w:tcPr>
            <w:tcW w:w="28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Common Stock, Par Value $0.0001 Per Share</w:t>
            </w:r>
          </w:p>
        </w:tc>
        <w:tc>
          <w:tcPr>
            <w:tcW w:w="120" w:type="dxa"/>
            <w:vAlign w:val="bottom"/>
          </w:tcPr>
          <w:p>
            <w:pPr>
              <w:spacing w:after="0"/>
              <w:rPr>
                <w:sz w:val="15"/>
                <w:szCs w:val="15"/>
                <w:color w:val="auto"/>
              </w:rPr>
            </w:pPr>
          </w:p>
        </w:tc>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AXSM</w:t>
            </w:r>
          </w:p>
        </w:tc>
        <w:tc>
          <w:tcPr>
            <w:tcW w:w="12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The Nasdaq Global Market</w:t>
            </w:r>
          </w:p>
        </w:tc>
      </w:tr>
    </w:tbl>
    <w:p>
      <w:pPr>
        <w:spacing w:after="0" w:line="56" w:lineRule="exact"/>
        <w:rPr>
          <w:sz w:val="24"/>
          <w:szCs w:val="24"/>
          <w:color w:val="auto"/>
        </w:rPr>
      </w:pPr>
    </w:p>
    <w:p>
      <w:pPr>
        <w:spacing w:after="0"/>
        <w:rPr>
          <w:sz w:val="20"/>
          <w:szCs w:val="20"/>
          <w:color w:val="auto"/>
        </w:rPr>
      </w:pPr>
      <w:r>
        <w:rPr>
          <w:rFonts w:ascii="Arial" w:cs="Arial" w:eastAsia="Arial" w:hAnsi="Arial"/>
          <w:sz w:val="14"/>
          <w:szCs w:val="14"/>
          <w:color w:val="auto"/>
        </w:rPr>
        <w:t>There were 34,508,626 shares of the registrant’s common stock, $0.0001 par value, outstanding as of November 1,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149860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518795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480" w:type="dxa"/>
            <w:vAlign w:val="bottom"/>
            <w:gridSpan w:val="1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80" w:type="dxa"/>
            <w:vAlign w:val="bottom"/>
            <w:tcBorders>
              <w:top w:val="single" w:sz="8" w:color="0563C1"/>
            </w:tcBorders>
          </w:tcPr>
          <w:p>
            <w:pPr>
              <w:spacing w:after="0"/>
              <w:rPr>
                <w:sz w:val="24"/>
                <w:szCs w:val="24"/>
                <w:color w:val="auto"/>
              </w:rPr>
            </w:pPr>
          </w:p>
        </w:tc>
        <w:tc>
          <w:tcPr>
            <w:tcW w:w="440" w:type="dxa"/>
            <w:vAlign w:val="bottom"/>
            <w:tcBorders>
              <w:top w:val="single" w:sz="8" w:color="0563C1"/>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540" w:type="dxa"/>
            <w:vAlign w:val="bottom"/>
            <w:gridSpan w:val="5"/>
          </w:tcPr>
          <w:p>
            <w:pPr>
              <w:jc w:val="center"/>
              <w:ind w:right="2340"/>
              <w:spacing w:after="0"/>
              <w:rPr>
                <w:sz w:val="20"/>
                <w:szCs w:val="20"/>
                <w:color w:val="auto"/>
              </w:rPr>
            </w:pPr>
            <w:r>
              <w:rPr>
                <w:rFonts w:ascii="Arial" w:cs="Arial" w:eastAsia="Arial" w:hAnsi="Arial"/>
                <w:sz w:val="18"/>
                <w:szCs w:val="18"/>
                <w:b w:val="1"/>
                <w:bCs w:val="1"/>
                <w:color w:val="auto"/>
              </w:rPr>
              <w:t>AXSOME THERAPEUTICS, INC.</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80" w:type="dxa"/>
            <w:vAlign w:val="bottom"/>
            <w:gridSpan w:val="6"/>
          </w:tcPr>
          <w:p>
            <w:pPr>
              <w:jc w:val="center"/>
              <w:ind w:right="202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140" w:type="dxa"/>
            <w:vAlign w:val="bottom"/>
            <w:gridSpan w:val="7"/>
          </w:tcPr>
          <w:p>
            <w:pPr>
              <w:jc w:val="center"/>
              <w:ind w:right="1760"/>
              <w:spacing w:after="0"/>
              <w:rPr>
                <w:sz w:val="20"/>
                <w:szCs w:val="20"/>
                <w:color w:val="auto"/>
              </w:rPr>
            </w:pPr>
            <w:r>
              <w:rPr>
                <w:rFonts w:ascii="Arial" w:cs="Arial" w:eastAsia="Arial" w:hAnsi="Arial"/>
                <w:sz w:val="18"/>
                <w:szCs w:val="18"/>
                <w:b w:val="1"/>
                <w:bCs w:val="1"/>
                <w:color w:val="auto"/>
                <w:w w:val="98"/>
              </w:rPr>
              <w:t>FOR THE QUARTER ENDED SEPTEMBER 30, 2019</w:t>
            </w: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40" w:type="dxa"/>
            <w:vAlign w:val="bottom"/>
            <w:gridSpan w:val="4"/>
          </w:tcPr>
          <w:p>
            <w:pPr>
              <w:jc w:val="center"/>
              <w:ind w:right="2640"/>
              <w:spacing w:after="0"/>
              <w:rPr>
                <w:sz w:val="20"/>
                <w:szCs w:val="20"/>
                <w:color w:val="auto"/>
              </w:rPr>
            </w:pPr>
            <w:r>
              <w:rPr>
                <w:rFonts w:ascii="Arial" w:cs="Arial" w:eastAsia="Arial" w:hAnsi="Arial"/>
                <w:sz w:val="18"/>
                <w:szCs w:val="18"/>
                <w:b w:val="1"/>
                <w:bCs w:val="1"/>
                <w:color w:val="auto"/>
                <w:w w:val="98"/>
              </w:rPr>
              <w:t>TABLE OF CONTENTS</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780" w:type="dxa"/>
            <w:vAlign w:val="bottom"/>
            <w:gridSpan w:val="14"/>
            <w:vMerge w:val="restart"/>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NOTE REGARDING FORWARD LOOKING STATEMENTS</w:t>
              </w:r>
            </w:hyperlink>
          </w:p>
        </w:tc>
        <w:tc>
          <w:tcPr>
            <w:tcW w:w="2700" w:type="dxa"/>
            <w:vAlign w:val="bottom"/>
            <w:gridSpan w:val="2"/>
            <w:vMerge w:val="restart"/>
          </w:tcPr>
          <w:p>
            <w:pPr>
              <w:spacing w:after="0"/>
              <w:rPr>
                <w:sz w:val="24"/>
                <w:szCs w:val="24"/>
                <w:color w:val="auto"/>
              </w:rPr>
            </w:pPr>
          </w:p>
        </w:tc>
        <w:tc>
          <w:tcPr>
            <w:tcW w:w="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47"/>
        </w:trPr>
        <w:tc>
          <w:tcPr>
            <w:tcW w:w="5780" w:type="dxa"/>
            <w:vAlign w:val="bottom"/>
            <w:tcBorders>
              <w:bottom w:val="single" w:sz="8" w:color="0000EE"/>
            </w:tcBorders>
            <w:gridSpan w:val="14"/>
            <w:vMerge w:val="continue"/>
          </w:tcPr>
          <w:p>
            <w:pPr>
              <w:spacing w:after="0"/>
              <w:rPr>
                <w:sz w:val="12"/>
                <w:szCs w:val="12"/>
                <w:color w:val="auto"/>
              </w:rPr>
            </w:pPr>
          </w:p>
        </w:tc>
        <w:tc>
          <w:tcPr>
            <w:tcW w:w="2700" w:type="dxa"/>
            <w:vAlign w:val="bottom"/>
            <w:gridSpan w:val="2"/>
            <w:vMerge w:val="continue"/>
          </w:tcPr>
          <w:p>
            <w:pPr>
              <w:spacing w:after="0"/>
              <w:rPr>
                <w:sz w:val="12"/>
                <w:szCs w:val="12"/>
                <w:color w:val="auto"/>
              </w:rPr>
            </w:pPr>
          </w:p>
        </w:tc>
        <w:tc>
          <w:tcPr>
            <w:tcW w:w="580" w:type="dxa"/>
            <w:vAlign w:val="bottom"/>
          </w:tcPr>
          <w:p>
            <w:pPr>
              <w:jc w:val="right"/>
              <w:spacing w:after="0" w:line="12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7"/>
        </w:trPr>
        <w:tc>
          <w:tcPr>
            <w:tcW w:w="8480" w:type="dxa"/>
            <w:vAlign w:val="bottom"/>
            <w:gridSpan w:val="16"/>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0" w:type="dxa"/>
            <w:vAlign w:val="bottom"/>
            <w:tcBorders>
              <w:top w:val="single" w:sz="8" w:color="0000EE"/>
            </w:tcBorders>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260" w:type="dxa"/>
            <w:vAlign w:val="bottom"/>
            <w:tcBorders>
              <w:top w:val="single" w:sz="8" w:color="0000EE"/>
            </w:tcBorders>
            <w:gridSpan w:val="3"/>
          </w:tcPr>
          <w:p>
            <w:pPr>
              <w:spacing w:after="0"/>
              <w:rPr>
                <w:sz w:val="22"/>
                <w:szCs w:val="22"/>
                <w:color w:val="auto"/>
              </w:rPr>
            </w:pPr>
          </w:p>
        </w:tc>
        <w:tc>
          <w:tcPr>
            <w:tcW w:w="2400" w:type="dxa"/>
            <w:vAlign w:val="bottom"/>
            <w:tcBorders>
              <w:top w:val="single" w:sz="8" w:color="0000EE"/>
            </w:tcBorders>
            <w:gridSpan w:val="8"/>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240" w:type="dxa"/>
            <w:vAlign w:val="bottom"/>
            <w:gridSpan w:val="4"/>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580" w:type="dxa"/>
            <w:vAlign w:val="bottom"/>
            <w:tcBorders>
              <w:bottom w:val="single" w:sz="8" w:color="0000EE"/>
            </w:tcBorders>
          </w:tcPr>
          <w:p>
            <w:pPr>
              <w:spacing w:after="0"/>
              <w:rPr>
                <w:rFonts w:ascii="Arial" w:cs="Arial" w:eastAsia="Arial" w:hAnsi="Arial"/>
                <w:sz w:val="18"/>
                <w:szCs w:val="18"/>
                <w:color w:val="0000EE"/>
                <w:w w:val="96"/>
              </w:rPr>
            </w:pPr>
            <w:hyperlink w:anchor="page22">
              <w:r>
                <w:rPr>
                  <w:rFonts w:ascii="Arial" w:cs="Arial" w:eastAsia="Arial" w:hAnsi="Arial"/>
                  <w:sz w:val="18"/>
                  <w:szCs w:val="18"/>
                  <w:color w:val="0000EE"/>
                  <w:w w:val="96"/>
                </w:rPr>
                <w:t>ITEM 2</w:t>
              </w:r>
            </w:hyperlink>
          </w:p>
        </w:tc>
        <w:tc>
          <w:tcPr>
            <w:tcW w:w="260" w:type="dxa"/>
            <w:vAlign w:val="bottom"/>
            <w:gridSpan w:val="3"/>
          </w:tcPr>
          <w:p>
            <w:pPr>
              <w:spacing w:after="0"/>
              <w:rPr>
                <w:sz w:val="22"/>
                <w:szCs w:val="22"/>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1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64"/>
        </w:trPr>
        <w:tc>
          <w:tcPr>
            <w:tcW w:w="580" w:type="dxa"/>
            <w:vAlign w:val="bottom"/>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ITEM 3</w:t>
              </w:r>
            </w:hyperlink>
          </w:p>
        </w:tc>
        <w:tc>
          <w:tcPr>
            <w:tcW w:w="260" w:type="dxa"/>
            <w:vAlign w:val="bottom"/>
            <w:gridSpan w:val="3"/>
          </w:tcPr>
          <w:p>
            <w:pPr>
              <w:spacing w:after="0"/>
              <w:rPr>
                <w:sz w:val="22"/>
                <w:szCs w:val="22"/>
                <w:color w:val="auto"/>
              </w:rPr>
            </w:pPr>
          </w:p>
        </w:tc>
        <w:tc>
          <w:tcPr>
            <w:tcW w:w="7640" w:type="dxa"/>
            <w:vAlign w:val="bottom"/>
            <w:gridSpan w:val="1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Quantitative and Qualitative Disclosure About Market Risk</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64"/>
        </w:trPr>
        <w:tc>
          <w:tcPr>
            <w:tcW w:w="580" w:type="dxa"/>
            <w:vAlign w:val="bottom"/>
            <w:tcBorders>
              <w:top w:val="single" w:sz="8" w:color="0000EE"/>
            </w:tcBorders>
          </w:tcPr>
          <w:p>
            <w:pPr>
              <w:spacing w:after="0"/>
              <w:rPr>
                <w:rFonts w:ascii="Arial" w:cs="Arial" w:eastAsia="Arial" w:hAnsi="Arial"/>
                <w:sz w:val="18"/>
                <w:szCs w:val="18"/>
                <w:color w:val="0000EE"/>
                <w:w w:val="96"/>
              </w:rPr>
            </w:pPr>
            <w:hyperlink w:anchor="page35">
              <w:r>
                <w:rPr>
                  <w:rFonts w:ascii="Arial" w:cs="Arial" w:eastAsia="Arial" w:hAnsi="Arial"/>
                  <w:sz w:val="18"/>
                  <w:szCs w:val="18"/>
                  <w:color w:val="0000EE"/>
                  <w:w w:val="96"/>
                </w:rPr>
                <w:t>ITEM 4</w:t>
              </w:r>
            </w:hyperlink>
          </w:p>
        </w:tc>
        <w:tc>
          <w:tcPr>
            <w:tcW w:w="260" w:type="dxa"/>
            <w:vAlign w:val="bottom"/>
            <w:gridSpan w:val="3"/>
          </w:tcPr>
          <w:p>
            <w:pPr>
              <w:spacing w:after="0"/>
              <w:rPr>
                <w:sz w:val="22"/>
                <w:szCs w:val="22"/>
                <w:color w:val="auto"/>
              </w:rPr>
            </w:pPr>
          </w:p>
        </w:tc>
        <w:tc>
          <w:tcPr>
            <w:tcW w:w="4280" w:type="dxa"/>
            <w:vAlign w:val="bottom"/>
            <w:tcBorders>
              <w:top w:val="single" w:sz="8" w:color="0000EE"/>
            </w:tcBorders>
            <w:gridSpan w:val="9"/>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Controls and Procedures</w:t>
              </w:r>
            </w:hyperlink>
          </w:p>
        </w:tc>
        <w:tc>
          <w:tcPr>
            <w:tcW w:w="3360" w:type="dxa"/>
            <w:vAlign w:val="bottom"/>
            <w:gridSpan w:val="3"/>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80" w:type="dxa"/>
            <w:vAlign w:val="bottom"/>
            <w:gridSpan w:val="16"/>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PART II — OTHER INFORMATION</w:t>
              </w:r>
            </w:hyperlink>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0" w:type="dxa"/>
            <w:vAlign w:val="bottom"/>
            <w:tcBorders>
              <w:top w:val="single" w:sz="8" w:color="0000EE"/>
              <w:bottom w:val="single" w:sz="8" w:color="0000EE"/>
            </w:tcBorders>
          </w:tcPr>
          <w:p>
            <w:pPr>
              <w:spacing w:after="0"/>
              <w:rPr>
                <w:rFonts w:ascii="Arial" w:cs="Arial" w:eastAsia="Arial" w:hAnsi="Arial"/>
                <w:sz w:val="18"/>
                <w:szCs w:val="18"/>
                <w:color w:val="0000EE"/>
                <w:w w:val="96"/>
              </w:rPr>
            </w:pPr>
            <w:hyperlink w:anchor="page36">
              <w:r>
                <w:rPr>
                  <w:rFonts w:ascii="Arial" w:cs="Arial" w:eastAsia="Arial" w:hAnsi="Arial"/>
                  <w:sz w:val="18"/>
                  <w:szCs w:val="18"/>
                  <w:color w:val="0000EE"/>
                  <w:w w:val="96"/>
                </w:rPr>
                <w:t>ITEM 1</w:t>
              </w:r>
            </w:hyperlink>
          </w:p>
        </w:tc>
        <w:tc>
          <w:tcPr>
            <w:tcW w:w="260" w:type="dxa"/>
            <w:vAlign w:val="bottom"/>
            <w:tcBorders>
              <w:top w:val="single" w:sz="8" w:color="0000EE"/>
            </w:tcBorders>
            <w:gridSpan w:val="3"/>
          </w:tcPr>
          <w:p>
            <w:pPr>
              <w:spacing w:after="0"/>
              <w:rPr>
                <w:sz w:val="22"/>
                <w:szCs w:val="22"/>
                <w:color w:val="auto"/>
              </w:rPr>
            </w:pPr>
          </w:p>
        </w:tc>
        <w:tc>
          <w:tcPr>
            <w:tcW w:w="134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Legal Proceedings</w:t>
              </w:r>
            </w:hyperlink>
          </w:p>
        </w:tc>
        <w:tc>
          <w:tcPr>
            <w:tcW w:w="760" w:type="dxa"/>
            <w:vAlign w:val="bottom"/>
            <w:tcBorders>
              <w:top w:val="single" w:sz="8" w:color="0000EE"/>
            </w:tcBorders>
            <w:gridSpan w:val="3"/>
          </w:tcPr>
          <w:p>
            <w:pPr>
              <w:spacing w:after="0"/>
              <w:rPr>
                <w:sz w:val="22"/>
                <w:szCs w:val="22"/>
                <w:color w:val="auto"/>
              </w:rPr>
            </w:pPr>
          </w:p>
        </w:tc>
        <w:tc>
          <w:tcPr>
            <w:tcW w:w="5540" w:type="dxa"/>
            <w:vAlign w:val="bottom"/>
            <w:gridSpan w:val="5"/>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840" w:type="dxa"/>
            <w:vAlign w:val="bottom"/>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ITEM 1A</w:t>
              </w:r>
            </w:hyperlink>
          </w:p>
        </w:tc>
        <w:tc>
          <w:tcPr>
            <w:tcW w:w="7640" w:type="dxa"/>
            <w:vAlign w:val="bottom"/>
            <w:gridSpan w:val="1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Risk Factors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64"/>
        </w:trPr>
        <w:tc>
          <w:tcPr>
            <w:tcW w:w="580" w:type="dxa"/>
            <w:vAlign w:val="bottom"/>
            <w:tcBorders>
              <w:top w:val="single" w:sz="8" w:color="0000EE"/>
            </w:tcBorders>
          </w:tcPr>
          <w:p>
            <w:pPr>
              <w:spacing w:after="0"/>
              <w:rPr>
                <w:rFonts w:ascii="Arial" w:cs="Arial" w:eastAsia="Arial" w:hAnsi="Arial"/>
                <w:sz w:val="18"/>
                <w:szCs w:val="18"/>
                <w:color w:val="0000EE"/>
                <w:w w:val="96"/>
              </w:rPr>
            </w:pPr>
            <w:hyperlink w:anchor="page97">
              <w:r>
                <w:rPr>
                  <w:rFonts w:ascii="Arial" w:cs="Arial" w:eastAsia="Arial" w:hAnsi="Arial"/>
                  <w:sz w:val="18"/>
                  <w:szCs w:val="18"/>
                  <w:color w:val="0000EE"/>
                  <w:w w:val="96"/>
                </w:rPr>
                <w:t>ITEM 6</w:t>
              </w:r>
            </w:hyperlink>
          </w:p>
        </w:tc>
        <w:tc>
          <w:tcPr>
            <w:tcW w:w="120" w:type="dxa"/>
            <w:vAlign w:val="bottom"/>
            <w:tcBorders>
              <w:top w:val="single" w:sz="8" w:color="0000EE"/>
            </w:tcBorders>
          </w:tcPr>
          <w:p>
            <w:pPr>
              <w:spacing w:after="0"/>
              <w:rPr>
                <w:sz w:val="22"/>
                <w:szCs w:val="22"/>
                <w:color w:val="auto"/>
              </w:rPr>
            </w:pPr>
          </w:p>
        </w:tc>
        <w:tc>
          <w:tcPr>
            <w:tcW w:w="140" w:type="dxa"/>
            <w:vAlign w:val="bottom"/>
            <w:gridSpan w:val="2"/>
          </w:tcPr>
          <w:p>
            <w:pPr>
              <w:spacing w:after="0"/>
              <w:rPr>
                <w:sz w:val="22"/>
                <w:szCs w:val="22"/>
                <w:color w:val="auto"/>
              </w:rPr>
            </w:pPr>
          </w:p>
        </w:tc>
        <w:tc>
          <w:tcPr>
            <w:tcW w:w="900" w:type="dxa"/>
            <w:vAlign w:val="bottom"/>
            <w:tcBorders>
              <w:top w:val="single" w:sz="8" w:color="0000EE"/>
            </w:tcBorders>
            <w:gridSpan w:val="3"/>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w:t>
              </w:r>
            </w:hyperlink>
          </w:p>
        </w:tc>
        <w:tc>
          <w:tcPr>
            <w:tcW w:w="6740" w:type="dxa"/>
            <w:vAlign w:val="bottom"/>
            <w:gridSpan w:val="9"/>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4"/>
          </w:tcPr>
          <w:p>
            <w:pPr>
              <w:spacing w:after="0"/>
              <w:rPr>
                <w:rFonts w:ascii="Arial" w:cs="Arial" w:eastAsia="Arial" w:hAnsi="Arial"/>
                <w:sz w:val="18"/>
                <w:szCs w:val="18"/>
                <w:color w:val="0000EE"/>
                <w:w w:val="95"/>
              </w:rPr>
            </w:pPr>
            <w:hyperlink w:anchor="page99">
              <w:r>
                <w:rPr>
                  <w:rFonts w:ascii="Arial" w:cs="Arial" w:eastAsia="Arial" w:hAnsi="Arial"/>
                  <w:sz w:val="18"/>
                  <w:szCs w:val="18"/>
                  <w:color w:val="0000EE"/>
                  <w:w w:val="95"/>
                </w:rPr>
                <w:t>Signatures</w:t>
              </w:r>
            </w:hyperlink>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993"/>
        </w:trPr>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4280" w:type="dxa"/>
            <w:vAlign w:val="bottom"/>
            <w:gridSpan w:val="9"/>
          </w:tcPr>
          <w:p>
            <w:pPr>
              <w:jc w:val="center"/>
              <w:ind w:left="3010"/>
              <w:spacing w:after="0"/>
              <w:rPr>
                <w:sz w:val="20"/>
                <w:szCs w:val="20"/>
                <w:color w:val="auto"/>
              </w:rPr>
            </w:pPr>
            <w:r>
              <w:rPr>
                <w:rFonts w:ascii="Arial" w:cs="Arial" w:eastAsia="Arial" w:hAnsi="Arial"/>
                <w:sz w:val="18"/>
                <w:szCs w:val="18"/>
                <w:color w:val="auto"/>
                <w:w w:val="99"/>
              </w:rPr>
              <w:t>2</w:t>
            </w:r>
          </w:p>
        </w:tc>
        <w:tc>
          <w:tcPr>
            <w:tcW w:w="6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CAUTIONARY NOTE 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w:t>
      </w:r>
    </w:p>
    <w:p>
      <w:pPr>
        <w:spacing w:after="0" w:line="111" w:lineRule="exact"/>
        <w:rPr>
          <w:sz w:val="20"/>
          <w:szCs w:val="20"/>
          <w:color w:val="auto"/>
        </w:rPr>
      </w:pP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increases or decreases in expenses;</w:t>
      </w:r>
    </w:p>
    <w:p>
      <w:pPr>
        <w:ind w:left="980" w:right="17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the clinical and preclinical development, manufacturing, regulatory approval, and commercialization of our pharmaceutical product candidates or any other products that we may acquire or in-license;</w:t>
      </w:r>
    </w:p>
    <w:p>
      <w:pPr>
        <w:spacing w:after="0" w:line="1" w:lineRule="exact"/>
        <w:rPr>
          <w:rFonts w:ascii="Arial" w:cs="Arial" w:eastAsia="Arial" w:hAnsi="Arial"/>
          <w:sz w:val="18"/>
          <w:szCs w:val="18"/>
          <w:color w:val="auto"/>
        </w:rPr>
      </w:pPr>
    </w:p>
    <w:p>
      <w:pPr>
        <w:ind w:left="980" w:right="3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the sufficiency of our existing capital resources combined with future anticipated cash flows to finance our operating requirements;</w:t>
      </w:r>
    </w:p>
    <w:p>
      <w:pPr>
        <w:ind w:left="980" w:right="7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incurring capital expenditures to expand our research and development and manufacturing capabilities;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generating revenue or becoming profitable on a sustained basis;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marketing and other partnership agreements;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enter into product acquisition and in-licensing transactions;</w:t>
      </w:r>
    </w:p>
    <w:p>
      <w:pPr>
        <w:ind w:left="980" w:right="419"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or ability to build our own commercial infrastructure to manufacture, market and sell our product candidates;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expected losses;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and maintain intellectual property protection for our product candidates;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acceptance of our products by doctors, patients, or payors;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stock price and its volatility;</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personnel;</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our third-party manufacturers;</w:t>
      </w:r>
    </w:p>
    <w:p>
      <w:pPr>
        <w:ind w:left="980" w:hanging="329"/>
        <w:spacing w:after="0" w:line="203"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for future capital requirements; and</w:t>
      </w:r>
    </w:p>
    <w:p>
      <w:pPr>
        <w:ind w:left="980" w:hanging="329"/>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ind w:right="173"/>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5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5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jc w:val="right"/>
              <w:ind w:right="133"/>
              <w:spacing w:after="0" w:line="129" w:lineRule="exact"/>
              <w:rPr>
                <w:sz w:val="20"/>
                <w:szCs w:val="20"/>
                <w:color w:val="auto"/>
              </w:rPr>
            </w:pPr>
            <w:r>
              <w:rPr>
                <w:rFonts w:ascii="Arial" w:cs="Arial" w:eastAsia="Arial" w:hAnsi="Arial"/>
                <w:sz w:val="14"/>
                <w:szCs w:val="14"/>
                <w:b w:val="1"/>
                <w:bCs w:val="1"/>
                <w:color w:val="auto"/>
              </w:rPr>
              <w:t>(Unaudited)</w:t>
            </w: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43,641,861</w:t>
            </w:r>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13,968,742</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594,345</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1,246,360</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44,236,206</w:t>
            </w: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15,215,102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34,554</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51,832</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2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168,969</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112,345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44,439,729</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15,379,279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9,447,359</w:t>
            </w:r>
          </w:p>
        </w:tc>
        <w:tc>
          <w:tcPr>
            <w:tcW w:w="4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3,687,245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8,413,107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3,843,299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2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648,523</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3,291,394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Pr>
          <w:p>
            <w:pPr>
              <w:spacing w:after="0" w:line="170" w:lineRule="exact"/>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jc w:val="right"/>
              <w:spacing w:after="0" w:line="170" w:lineRule="exact"/>
              <w:rPr>
                <w:sz w:val="20"/>
                <w:szCs w:val="20"/>
                <w:color w:val="auto"/>
              </w:rPr>
            </w:pPr>
            <w:r>
              <w:rPr>
                <w:rFonts w:ascii="Arial" w:cs="Arial" w:eastAsia="Arial" w:hAnsi="Arial"/>
                <w:sz w:val="18"/>
                <w:szCs w:val="18"/>
                <w:color w:val="auto"/>
              </w:rPr>
              <w:t>18,508,989</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jc w:val="right"/>
              <w:spacing w:after="0" w:line="170" w:lineRule="exact"/>
              <w:rPr>
                <w:sz w:val="20"/>
                <w:szCs w:val="20"/>
                <w:color w:val="auto"/>
              </w:rPr>
            </w:pPr>
            <w:r>
              <w:rPr>
                <w:rFonts w:ascii="Arial" w:cs="Arial" w:eastAsia="Arial" w:hAnsi="Arial"/>
                <w:sz w:val="18"/>
                <w:szCs w:val="18"/>
                <w:color w:val="auto"/>
              </w:rPr>
              <w:t>10,821,938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Loan payable, long-term</w:t>
            </w:r>
          </w:p>
        </w:tc>
        <w:tc>
          <w:tcPr>
            <w:tcW w:w="2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19,108,144</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3,619,420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37,617,133</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14,441,358</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8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00" w:type="dxa"/>
            <w:vAlign w:val="bottom"/>
          </w:tcPr>
          <w:p>
            <w:pPr>
              <w:spacing w:after="0" w:line="149" w:lineRule="exact"/>
              <w:rPr>
                <w:sz w:val="20"/>
                <w:szCs w:val="20"/>
                <w:color w:val="auto"/>
              </w:rPr>
            </w:pPr>
            <w:r>
              <w:rPr>
                <w:rFonts w:ascii="Arial" w:cs="Arial" w:eastAsia="Arial" w:hAnsi="Arial"/>
                <w:sz w:val="17"/>
                <w:szCs w:val="17"/>
                <w:color w:val="auto"/>
              </w:rPr>
              <w:t>Preferred stock, $0.0001 par value per share (10,000,000 shares authorized,</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w w:val="93"/>
              </w:rPr>
              <w:t>none issued and outstanding at September 30, 2019 and December 31, 2018,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5800" w:type="dxa"/>
            <w:vAlign w:val="bottom"/>
          </w:tcPr>
          <w:p>
            <w:pPr>
              <w:spacing w:after="0" w:line="202" w:lineRule="exact"/>
              <w:rPr>
                <w:sz w:val="20"/>
                <w:szCs w:val="20"/>
                <w:color w:val="auto"/>
              </w:rPr>
            </w:pPr>
            <w:r>
              <w:rPr>
                <w:rFonts w:ascii="Arial" w:cs="Arial" w:eastAsia="Arial" w:hAnsi="Arial"/>
                <w:sz w:val="18"/>
                <w:szCs w:val="18"/>
                <w:color w:val="auto"/>
              </w:rPr>
              <w:t>respectively)</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8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Common stock, $0.0001 par value per share (150,000,000 shares authorized,</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34,496,846 and 30,087,213 shares issued and outstanding at</w:t>
            </w: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3,450</w:t>
            </w: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September 30, 2019 and December 31, 2018, respectively)</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0" w:type="dxa"/>
            <w:vAlign w:val="bottom"/>
          </w:tcPr>
          <w:p>
            <w:pPr>
              <w:spacing w:after="0" w:line="176" w:lineRule="exact"/>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jc w:val="right"/>
              <w:spacing w:after="0" w:line="176" w:lineRule="exact"/>
              <w:rPr>
                <w:sz w:val="20"/>
                <w:szCs w:val="20"/>
                <w:color w:val="auto"/>
              </w:rPr>
            </w:pPr>
            <w:r>
              <w:rPr>
                <w:rFonts w:ascii="Arial" w:cs="Arial" w:eastAsia="Arial" w:hAnsi="Arial"/>
                <w:sz w:val="18"/>
                <w:szCs w:val="18"/>
                <w:color w:val="auto"/>
              </w:rPr>
              <w:t>157,907,655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108,485,219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Accumulated deficit</w:t>
            </w:r>
          </w:p>
        </w:tc>
        <w:tc>
          <w:tcPr>
            <w:tcW w:w="2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(151,088,509)</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(107,550,307)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8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6,822,596</w:t>
            </w: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937,921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8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44,439,729</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15,379,279</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1"/>
              </w:rPr>
              <w:t>September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6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2019</w:t>
            </w:r>
          </w:p>
        </w:tc>
        <w:tc>
          <w:tcPr>
            <w:tcW w:w="8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72"/>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15,835,573</w:t>
            </w:r>
          </w:p>
        </w:tc>
        <w:tc>
          <w:tcPr>
            <w:tcW w:w="24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6,040,780</w:t>
            </w:r>
          </w:p>
        </w:tc>
        <w:tc>
          <w:tcPr>
            <w:tcW w:w="60" w:type="dxa"/>
            <w:vAlign w:val="bottom"/>
          </w:tcPr>
          <w:p>
            <w:pPr>
              <w:spacing w:after="0"/>
              <w:rPr>
                <w:sz w:val="15"/>
                <w:szCs w:val="15"/>
                <w:color w:val="auto"/>
              </w:rPr>
            </w:pPr>
          </w:p>
        </w:tc>
        <w:tc>
          <w:tcPr>
            <w:tcW w:w="20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34,441,796</w:t>
            </w:r>
          </w:p>
        </w:tc>
        <w:tc>
          <w:tcPr>
            <w:tcW w:w="40" w:type="dxa"/>
            <w:vAlign w:val="bottom"/>
          </w:tcPr>
          <w:p>
            <w:pPr>
              <w:spacing w:after="0"/>
              <w:rPr>
                <w:sz w:val="15"/>
                <w:szCs w:val="15"/>
                <w:color w:val="auto"/>
              </w:rPr>
            </w:pPr>
          </w:p>
        </w:tc>
        <w:tc>
          <w:tcPr>
            <w:tcW w:w="2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16,343,823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3,111,662</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2,202,679</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8,375,131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7,052,439</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18,947,235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8,243,459</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42,816,927</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23,396,262</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39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(18,947,235)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(8,243,459)</w:t>
            </w: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(42,816,927)</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(23,396,262)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line="176" w:lineRule="exact"/>
              <w:rPr>
                <w:sz w:val="20"/>
                <w:szCs w:val="20"/>
                <w:color w:val="auto"/>
              </w:rPr>
            </w:pPr>
            <w:r>
              <w:rPr>
                <w:rFonts w:ascii="Arial" w:cs="Arial" w:eastAsia="Arial" w:hAnsi="Arial"/>
                <w:sz w:val="18"/>
                <w:szCs w:val="18"/>
                <w:color w:val="auto"/>
                <w:w w:val="94"/>
              </w:rPr>
              <w:t>Interest and amortization of debt discount (expense)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(327,825)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(270,933)</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(860,723)</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(878,605)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139,448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139,448</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4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15,000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2,689,000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(19,135,612)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(8,281,974)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(43,538,202)</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(21,368,449)</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9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(0.56)</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(0.31)</w:t>
            </w:r>
          </w:p>
        </w:tc>
        <w:tc>
          <w:tcPr>
            <w:tcW w:w="6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(1.29)</w:t>
            </w:r>
          </w:p>
        </w:tc>
        <w:tc>
          <w:tcPr>
            <w:tcW w:w="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(0.83)</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9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 average common shares outstanding, basic</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34,445,489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26,325,904</w:t>
            </w: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33,771,671</w:t>
            </w: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25,875,783</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0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4"/>
                <w:szCs w:val="14"/>
                <w:color w:val="auto"/>
              </w:rPr>
            </w:pPr>
          </w:p>
        </w:tc>
        <w:tc>
          <w:tcPr>
            <w:tcW w:w="12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0"/>
              </w:rPr>
              <w:t>Total stockholders’</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8"/>
                <w:szCs w:val="8"/>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paid-in capital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deficit</w:t>
            </w: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equity</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Balance at December 31, 2017</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25,492,992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2,549</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93,299,517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(76,584,843)</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16,717,223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534,570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534,570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56,900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139,914</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139,920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(4,805,559)</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(4,805,559)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March 31, 2018</w:t>
            </w: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25,549,892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2,555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93,974,001</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(81,390,402)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980" w:type="dxa"/>
            <w:vAlign w:val="bottom"/>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12,586,154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474,659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474,659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702,970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2,228,932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2,229,002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(8,280,916)</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(8,280,916)</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Borders>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Balance at June 30, 2018</w:t>
            </w: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26,252,862</w:t>
            </w:r>
          </w:p>
        </w:tc>
        <w:tc>
          <w:tcPr>
            <w:tcW w:w="1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2,625</w:t>
            </w:r>
          </w:p>
        </w:tc>
        <w:tc>
          <w:tcPr>
            <w:tcW w:w="1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96,677,592</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(89,671,318)</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b w:val="1"/>
                <w:bCs w:val="1"/>
                <w:color w:val="auto"/>
              </w:rPr>
              <w:t>7,008,899</w:t>
            </w:r>
          </w:p>
        </w:tc>
        <w:tc>
          <w:tcPr>
            <w:tcW w:w="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40" w:type="dxa"/>
            <w:vAlign w:val="bottom"/>
          </w:tcPr>
          <w:p>
            <w:pPr>
              <w:spacing w:after="0" w:line="122"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4"/>
                <w:szCs w:val="14"/>
                <w:color w:val="auto"/>
              </w:rPr>
              <w:t>392,665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4"/>
                <w:szCs w:val="14"/>
                <w:color w:val="auto"/>
              </w:rPr>
              <w:t>392,665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warrants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25,000</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32,497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32,500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180,800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55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1,590,612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1,590,667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(8,281,974)</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(8,281,974)</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840" w:type="dxa"/>
            <w:vAlign w:val="bottom"/>
            <w:tcBorders>
              <w:bottom w:val="single" w:sz="8" w:color="CCEEFF"/>
            </w:tcBorders>
          </w:tcPr>
          <w:p>
            <w:pPr>
              <w:spacing w:after="0" w:line="129" w:lineRule="exact"/>
              <w:rPr>
                <w:sz w:val="20"/>
                <w:szCs w:val="20"/>
                <w:color w:val="auto"/>
              </w:rPr>
            </w:pPr>
            <w:r>
              <w:rPr>
                <w:rFonts w:ascii="Arial" w:cs="Arial" w:eastAsia="Arial" w:hAnsi="Arial"/>
                <w:sz w:val="14"/>
                <w:szCs w:val="14"/>
                <w:b w:val="1"/>
                <w:bCs w:val="1"/>
                <w:color w:val="auto"/>
              </w:rPr>
              <w:t>Balance at September 30, 2018</w:t>
            </w:r>
          </w:p>
        </w:tc>
        <w:tc>
          <w:tcPr>
            <w:tcW w:w="7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26,458,662</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2,683</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98,693,366</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(97,953,292)</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742,757</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Balance at December 31, 2018</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30,087,213</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3,009</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w w:val="97"/>
              </w:rPr>
              <w:t>108,485,219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4"/>
                <w:szCs w:val="14"/>
                <w:color w:val="auto"/>
              </w:rPr>
              <w:t>(107,550,307)</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937,921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1,256,310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1,256,310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52,819</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410,157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410,162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warrants upon debt financing</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426,000</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426,000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3,164,015</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316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24,983,366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24,983,682</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(10,640,376)</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(10,640,376)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Pr>
          <w:p>
            <w:pPr>
              <w:spacing w:after="0" w:line="129" w:lineRule="exact"/>
              <w:rPr>
                <w:sz w:val="20"/>
                <w:szCs w:val="20"/>
                <w:color w:val="auto"/>
              </w:rPr>
            </w:pPr>
            <w:r>
              <w:rPr>
                <w:rFonts w:ascii="Arial" w:cs="Arial" w:eastAsia="Arial" w:hAnsi="Arial"/>
                <w:sz w:val="14"/>
                <w:szCs w:val="14"/>
                <w:b w:val="1"/>
                <w:bCs w:val="1"/>
                <w:color w:val="auto"/>
              </w:rPr>
              <w:t>Balance at March 31, 2019</w:t>
            </w:r>
          </w:p>
        </w:tc>
        <w:tc>
          <w:tcPr>
            <w:tcW w:w="7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33,304,047</w:t>
            </w:r>
          </w:p>
        </w:tc>
        <w:tc>
          <w:tcPr>
            <w:tcW w:w="160" w:type="dxa"/>
            <w:vAlign w:val="bottom"/>
          </w:tcPr>
          <w:p>
            <w:pPr>
              <w:spacing w:after="0"/>
              <w:rPr>
                <w:sz w:val="11"/>
                <w:szCs w:val="11"/>
                <w:color w:val="auto"/>
              </w:rPr>
            </w:pPr>
          </w:p>
        </w:tc>
        <w:tc>
          <w:tcPr>
            <w:tcW w:w="120" w:type="dxa"/>
            <w:vAlign w:val="bottom"/>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3,330</w:t>
            </w:r>
          </w:p>
        </w:tc>
        <w:tc>
          <w:tcPr>
            <w:tcW w:w="140" w:type="dxa"/>
            <w:vAlign w:val="bottom"/>
          </w:tcPr>
          <w:p>
            <w:pPr>
              <w:spacing w:after="0"/>
              <w:rPr>
                <w:sz w:val="11"/>
                <w:szCs w:val="11"/>
                <w:color w:val="auto"/>
              </w:rPr>
            </w:pPr>
          </w:p>
        </w:tc>
        <w:tc>
          <w:tcPr>
            <w:tcW w:w="1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7"/>
              </w:rPr>
              <w:t>135,561,052</w:t>
            </w:r>
          </w:p>
        </w:tc>
        <w:tc>
          <w:tcPr>
            <w:tcW w:w="14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(118,190,683)</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98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17,373,699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Stock-based compensation</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888,556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888,556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59,720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6</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205,330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205,336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warrants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24,389</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144,868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144,870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Issuance of warrants upon debt financing</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(39,000)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(39,000)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financing</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942,285</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95</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19,471,603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19,471,698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Borders>
              <w:bottom w:val="single" w:sz="8" w:color="CCEEFF"/>
            </w:tcBorders>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(13,762,214)</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4"/>
                <w:szCs w:val="14"/>
                <w:color w:val="auto"/>
              </w:rPr>
              <w:t>(13,762,214)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at June 30, 2019</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34,330,441</w:t>
            </w:r>
          </w:p>
        </w:tc>
        <w:tc>
          <w:tcPr>
            <w:tcW w:w="1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3,433</w:t>
            </w:r>
          </w:p>
        </w:tc>
        <w:tc>
          <w:tcPr>
            <w:tcW w:w="14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7"/>
              </w:rPr>
              <w:t>156,232,409</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(131,952,897)</w:t>
            </w:r>
          </w:p>
        </w:tc>
        <w:tc>
          <w:tcPr>
            <w:tcW w:w="14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24,282,945</w:t>
            </w:r>
          </w:p>
        </w:tc>
        <w:tc>
          <w:tcPr>
            <w:tcW w:w="6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840" w:type="dxa"/>
            <w:vAlign w:val="bottom"/>
          </w:tcPr>
          <w:p>
            <w:pPr>
              <w:spacing w:after="0" w:line="122" w:lineRule="exact"/>
              <w:rPr>
                <w:sz w:val="20"/>
                <w:szCs w:val="20"/>
                <w:color w:val="auto"/>
              </w:rPr>
            </w:pPr>
            <w:r>
              <w:rPr>
                <w:rFonts w:ascii="Arial" w:cs="Arial" w:eastAsia="Arial" w:hAnsi="Arial"/>
                <w:sz w:val="14"/>
                <w:szCs w:val="14"/>
                <w:color w:val="auto"/>
              </w:rPr>
              <w:t>Stock-based compensation</w:t>
            </w:r>
          </w:p>
        </w:tc>
        <w:tc>
          <w:tcPr>
            <w:tcW w:w="78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jc w:val="right"/>
              <w:spacing w:after="0" w:line="122" w:lineRule="exact"/>
              <w:rPr>
                <w:sz w:val="20"/>
                <w:szCs w:val="20"/>
                <w:color w:val="auto"/>
              </w:rPr>
            </w:pPr>
            <w:r>
              <w:rPr>
                <w:rFonts w:ascii="Arial" w:cs="Arial" w:eastAsia="Arial" w:hAnsi="Arial"/>
                <w:sz w:val="14"/>
                <w:szCs w:val="14"/>
                <w:color w:val="auto"/>
              </w:rPr>
              <w:t>1,156,435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Arial" w:cs="Arial" w:eastAsia="Arial" w:hAnsi="Arial"/>
                <w:sz w:val="14"/>
                <w:szCs w:val="14"/>
                <w:color w:val="auto"/>
              </w:rPr>
              <w:t>1,156,435</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Issuance of common stock upon exercise of options</w:t>
            </w: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129,218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13</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483,825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980" w:type="dxa"/>
            <w:vAlign w:val="bottom"/>
            <w:shd w:val="clear" w:color="auto" w:fill="CCEEFF"/>
          </w:tcPr>
          <w:p>
            <w:pPr>
              <w:jc w:val="right"/>
              <w:spacing w:after="0" w:line="135" w:lineRule="exact"/>
              <w:rPr>
                <w:sz w:val="20"/>
                <w:szCs w:val="20"/>
                <w:color w:val="auto"/>
              </w:rPr>
            </w:pPr>
            <w:r>
              <w:rPr>
                <w:rFonts w:ascii="Arial" w:cs="Arial" w:eastAsia="Arial" w:hAnsi="Arial"/>
                <w:sz w:val="14"/>
                <w:szCs w:val="14"/>
                <w:color w:val="auto"/>
              </w:rPr>
              <w:t>483,838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tcPr>
          <w:p>
            <w:pPr>
              <w:spacing w:after="0" w:line="135" w:lineRule="exact"/>
              <w:rPr>
                <w:sz w:val="20"/>
                <w:szCs w:val="20"/>
                <w:color w:val="auto"/>
              </w:rPr>
            </w:pPr>
            <w:r>
              <w:rPr>
                <w:rFonts w:ascii="Arial" w:cs="Arial" w:eastAsia="Arial" w:hAnsi="Arial"/>
                <w:sz w:val="14"/>
                <w:szCs w:val="14"/>
                <w:color w:val="auto"/>
              </w:rPr>
              <w:t>Issuance of common stock upon exercise of warrants</w:t>
            </w:r>
          </w:p>
        </w:tc>
        <w:tc>
          <w:tcPr>
            <w:tcW w:w="780" w:type="dxa"/>
            <w:vAlign w:val="bottom"/>
          </w:tcPr>
          <w:p>
            <w:pPr>
              <w:jc w:val="right"/>
              <w:spacing w:after="0" w:line="135" w:lineRule="exact"/>
              <w:rPr>
                <w:sz w:val="20"/>
                <w:szCs w:val="20"/>
                <w:color w:val="auto"/>
              </w:rPr>
            </w:pPr>
            <w:r>
              <w:rPr>
                <w:rFonts w:ascii="Arial" w:cs="Arial" w:eastAsia="Arial" w:hAnsi="Arial"/>
                <w:sz w:val="14"/>
                <w:szCs w:val="14"/>
                <w:color w:val="auto"/>
              </w:rPr>
              <w:t>37,187</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jc w:val="right"/>
              <w:spacing w:after="0" w:line="135" w:lineRule="exact"/>
              <w:rPr>
                <w:sz w:val="20"/>
                <w:szCs w:val="20"/>
                <w:color w:val="auto"/>
              </w:rPr>
            </w:pPr>
            <w:r>
              <w:rPr>
                <w:rFonts w:ascii="Arial" w:cs="Arial" w:eastAsia="Arial" w:hAnsi="Arial"/>
                <w:sz w:val="14"/>
                <w:szCs w:val="14"/>
                <w:color w:val="auto"/>
              </w:rPr>
              <w:t>4</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right"/>
              <w:spacing w:after="0" w:line="135" w:lineRule="exact"/>
              <w:rPr>
                <w:sz w:val="20"/>
                <w:szCs w:val="20"/>
                <w:color w:val="auto"/>
              </w:rPr>
            </w:pPr>
            <w:r>
              <w:rPr>
                <w:rFonts w:ascii="Arial" w:cs="Arial" w:eastAsia="Arial" w:hAnsi="Arial"/>
                <w:sz w:val="14"/>
                <w:szCs w:val="14"/>
                <w:color w:val="auto"/>
              </w:rPr>
              <w:t>34,986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right"/>
              <w:ind w:right="200"/>
              <w:spacing w:after="0" w:line="135"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Arial" w:cs="Arial" w:eastAsia="Arial" w:hAnsi="Arial"/>
                <w:sz w:val="14"/>
                <w:szCs w:val="14"/>
                <w:color w:val="auto"/>
              </w:rPr>
              <w:t>34,990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40" w:type="dxa"/>
            <w:vAlign w:val="bottom"/>
            <w:shd w:val="clear" w:color="auto" w:fill="CCEEFF"/>
          </w:tcPr>
          <w:p>
            <w:pPr>
              <w:spacing w:after="0" w:line="135" w:lineRule="exact"/>
              <w:rPr>
                <w:sz w:val="20"/>
                <w:szCs w:val="20"/>
                <w:color w:val="auto"/>
              </w:rPr>
            </w:pPr>
            <w:r>
              <w:rPr>
                <w:rFonts w:ascii="Arial" w:cs="Arial" w:eastAsia="Arial" w:hAnsi="Arial"/>
                <w:sz w:val="14"/>
                <w:szCs w:val="14"/>
                <w:color w:val="auto"/>
              </w:rPr>
              <w:t>Net loss</w:t>
            </w: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4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(19,135,612)</w:t>
            </w: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40" w:type="dxa"/>
            <w:vAlign w:val="bottom"/>
            <w:tcBorders>
              <w:bottom w:val="single" w:sz="8" w:color="auto"/>
            </w:tcBorders>
            <w:shd w:val="clear" w:color="auto" w:fill="CCEEFF"/>
          </w:tcPr>
          <w:p>
            <w:pPr>
              <w:spacing w:after="0"/>
              <w:rPr>
                <w:sz w:val="11"/>
                <w:szCs w:val="11"/>
                <w:color w:val="auto"/>
              </w:rPr>
            </w:pPr>
          </w:p>
        </w:tc>
        <w:tc>
          <w:tcPr>
            <w:tcW w:w="9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4"/>
                <w:szCs w:val="14"/>
                <w:color w:val="auto"/>
              </w:rPr>
              <w:t>(19,135,612)</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Balance at September 30, 2019</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34,496,846</w:t>
            </w: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ind w:right="6"/>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3,450</w:t>
            </w:r>
          </w:p>
        </w:tc>
        <w:tc>
          <w:tcPr>
            <w:tcW w:w="14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157,907,655</w:t>
            </w:r>
          </w:p>
        </w:tc>
        <w:tc>
          <w:tcPr>
            <w:tcW w:w="14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(151,088,509)</w:t>
            </w:r>
          </w:p>
        </w:tc>
        <w:tc>
          <w:tcPr>
            <w:tcW w:w="14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w w:val="71"/>
              </w:rPr>
              <w:t>$</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6,822,596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80" w:type="dxa"/>
            <w:vAlign w:val="bottom"/>
            <w:gridSpan w:val="5"/>
          </w:tcPr>
          <w:p>
            <w:pPr>
              <w:ind w:left="26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00" w:type="dxa"/>
            <w:vAlign w:val="bottom"/>
            <w:tcBorders>
              <w:top w:val="single" w:sz="8" w:color="auto"/>
              <w:bottom w:val="single" w:sz="8" w:color="auto"/>
            </w:tcBorders>
          </w:tcPr>
          <w:p>
            <w:pPr>
              <w:ind w:left="280"/>
              <w:spacing w:after="0" w:line="129" w:lineRule="exact"/>
              <w:rPr>
                <w:sz w:val="20"/>
                <w:szCs w:val="20"/>
                <w:color w:val="auto"/>
              </w:rPr>
            </w:pPr>
            <w:r>
              <w:rPr>
                <w:rFonts w:ascii="Arial" w:cs="Arial" w:eastAsia="Arial" w:hAnsi="Arial"/>
                <w:sz w:val="14"/>
                <w:szCs w:val="14"/>
                <w:b w:val="1"/>
                <w:bCs w:val="1"/>
                <w:color w:val="auto"/>
              </w:rPr>
              <w:t>2019</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79"/>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vMerge w:val="restart"/>
          </w:tcPr>
          <w:p>
            <w:pPr>
              <w:spacing w:after="0"/>
              <w:rPr>
                <w:sz w:val="13"/>
                <w:szCs w:val="13"/>
                <w:color w:val="auto"/>
              </w:rPr>
            </w:pPr>
          </w:p>
        </w:tc>
        <w:tc>
          <w:tcPr>
            <w:tcW w:w="5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Cash flows from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Net loss</w:t>
            </w:r>
          </w:p>
        </w:tc>
        <w:tc>
          <w:tcPr>
            <w:tcW w:w="8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(43,538,202)</w:t>
            </w:r>
          </w:p>
        </w:tc>
        <w:tc>
          <w:tcPr>
            <w:tcW w:w="6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(21,368,449)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w w:val="99"/>
              </w:rPr>
              <w:t>Adjustments to reconcile net loss to net cash used in operating activities: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Stock-based compensation expense</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3,301,301</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1,401,894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Amortization of debt discount</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471,742</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293,580</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Change in fair value of warrants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(2,689,000)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Depreciation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31,938</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36,728</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Changes in operating assets and liabilities: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Prepaid expenses and other current assets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652,015</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554,749</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ind w:left="200"/>
              <w:spacing w:after="0" w:line="162" w:lineRule="exact"/>
              <w:rPr>
                <w:sz w:val="20"/>
                <w:szCs w:val="20"/>
                <w:color w:val="auto"/>
              </w:rPr>
            </w:pPr>
            <w:r>
              <w:rPr>
                <w:rFonts w:ascii="Arial" w:cs="Arial" w:eastAsia="Arial" w:hAnsi="Arial"/>
                <w:sz w:val="16"/>
                <w:szCs w:val="16"/>
                <w:color w:val="auto"/>
              </w:rPr>
              <w:t>Other assets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(56,624)</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70,596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ind w:left="200"/>
              <w:spacing w:after="0" w:line="162" w:lineRule="exact"/>
              <w:rPr>
                <w:sz w:val="20"/>
                <w:szCs w:val="20"/>
                <w:color w:val="auto"/>
              </w:rPr>
            </w:pPr>
            <w:r>
              <w:rPr>
                <w:rFonts w:ascii="Arial" w:cs="Arial" w:eastAsia="Arial" w:hAnsi="Arial"/>
                <w:sz w:val="16"/>
                <w:szCs w:val="16"/>
                <w:color w:val="auto"/>
              </w:rPr>
              <w:t>Accounts payable</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5,760,114</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731,913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ind w:left="200"/>
              <w:spacing w:after="0" w:line="162" w:lineRule="exact"/>
              <w:rPr>
                <w:sz w:val="20"/>
                <w:szCs w:val="20"/>
                <w:color w:val="auto"/>
              </w:rPr>
            </w:pPr>
            <w:r>
              <w:rPr>
                <w:rFonts w:ascii="Arial" w:cs="Arial" w:eastAsia="Arial" w:hAnsi="Arial"/>
                <w:sz w:val="16"/>
                <w:szCs w:val="16"/>
                <w:color w:val="auto"/>
              </w:rPr>
              <w:t>Accrued expenses and other current liabilities</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4,569,808</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708,237</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operating activities</w:t>
            </w:r>
          </w:p>
        </w:tc>
        <w:tc>
          <w:tcPr>
            <w:tcW w:w="4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(28,807,908)</w:t>
            </w:r>
          </w:p>
        </w:tc>
        <w:tc>
          <w:tcPr>
            <w:tcW w:w="2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(20,259,752)</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55" w:lineRule="exact"/>
              <w:rPr>
                <w:sz w:val="20"/>
                <w:szCs w:val="20"/>
                <w:color w:val="auto"/>
              </w:rPr>
            </w:pPr>
            <w:r>
              <w:rPr>
                <w:rFonts w:ascii="Arial" w:cs="Arial" w:eastAsia="Arial" w:hAnsi="Arial"/>
                <w:sz w:val="16"/>
                <w:szCs w:val="16"/>
                <w:b w:val="1"/>
                <w:bCs w:val="1"/>
                <w:color w:val="auto"/>
              </w:rPr>
              <w:t>Cash flows from investing activities</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Purchases of equipment</w:t>
            </w:r>
          </w:p>
        </w:tc>
        <w:tc>
          <w:tcPr>
            <w:tcW w:w="4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(14,660)</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(32,696)</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Borders>
              <w:bottom w:val="single" w:sz="8" w:color="CCEEFF"/>
            </w:tcBorders>
          </w:tcPr>
          <w:p>
            <w:pPr>
              <w:spacing w:after="0" w:line="155" w:lineRule="exact"/>
              <w:rPr>
                <w:sz w:val="20"/>
                <w:szCs w:val="20"/>
                <w:color w:val="auto"/>
              </w:rPr>
            </w:pPr>
            <w:r>
              <w:rPr>
                <w:rFonts w:ascii="Arial" w:cs="Arial" w:eastAsia="Arial" w:hAnsi="Arial"/>
                <w:sz w:val="16"/>
                <w:szCs w:val="16"/>
                <w:color w:val="auto"/>
              </w:rPr>
              <w:t>Net cash used in investing activities</w:t>
            </w:r>
          </w:p>
        </w:tc>
        <w:tc>
          <w:tcPr>
            <w:tcW w:w="4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(14,660)</w:t>
            </w:r>
          </w:p>
        </w:tc>
        <w:tc>
          <w:tcPr>
            <w:tcW w:w="26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6"/>
                <w:szCs w:val="16"/>
                <w:color w:val="auto"/>
              </w:rPr>
              <w:t>(32,696)</w:t>
            </w:r>
          </w:p>
        </w:tc>
        <w:tc>
          <w:tcPr>
            <w:tcW w:w="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Cash flows from financing activities</w:t>
            </w:r>
          </w:p>
        </w:tc>
        <w:tc>
          <w:tcPr>
            <w:tcW w:w="4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Proceeds from issuance of common stock upon financing, net</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44,455,380</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3,959,589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term loan</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20,000,000</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Repayment of principal on term loan</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(7,238,889)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(2,500,000)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Proceeds from issuance of common stock upon exercise of options</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color w:val="auto"/>
              </w:rPr>
              <w:t>1,099,336</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right"/>
              <w:ind w:right="100"/>
              <w:spacing w:after="0" w:line="16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bottom w:val="single" w:sz="8" w:color="CCEEFF"/>
            </w:tcBorders>
          </w:tcPr>
          <w:p>
            <w:pPr>
              <w:spacing w:after="0" w:line="162" w:lineRule="exact"/>
              <w:rPr>
                <w:sz w:val="20"/>
                <w:szCs w:val="20"/>
                <w:color w:val="auto"/>
              </w:rPr>
            </w:pPr>
            <w:r>
              <w:rPr>
                <w:rFonts w:ascii="Arial" w:cs="Arial" w:eastAsia="Arial" w:hAnsi="Arial"/>
                <w:sz w:val="16"/>
                <w:szCs w:val="16"/>
                <w:color w:val="auto"/>
              </w:rPr>
              <w:t>Proceeds from issuance of common stock upon exercise of warrants</w:t>
            </w:r>
          </w:p>
        </w:tc>
        <w:tc>
          <w:tcPr>
            <w:tcW w:w="4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179,860</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6"/>
                <w:szCs w:val="16"/>
                <w:color w:val="auto"/>
              </w:rPr>
              <w:t>32,500</w:t>
            </w:r>
          </w:p>
        </w:tc>
        <w:tc>
          <w:tcPr>
            <w:tcW w:w="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Net cash (used in) provided by financing activities</w:t>
            </w:r>
          </w:p>
        </w:tc>
        <w:tc>
          <w:tcPr>
            <w:tcW w:w="4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58,495,687</w:t>
            </w:r>
          </w:p>
        </w:tc>
        <w:tc>
          <w:tcPr>
            <w:tcW w:w="26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6"/>
                <w:szCs w:val="16"/>
                <w:color w:val="auto"/>
              </w:rPr>
              <w:t>1,492,089</w:t>
            </w:r>
          </w:p>
        </w:tc>
        <w:tc>
          <w:tcPr>
            <w:tcW w:w="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140" w:type="dxa"/>
            <w:vAlign w:val="bottom"/>
          </w:tcPr>
          <w:p>
            <w:pPr>
              <w:spacing w:after="0" w:line="155" w:lineRule="exact"/>
              <w:rPr>
                <w:sz w:val="20"/>
                <w:szCs w:val="20"/>
                <w:color w:val="auto"/>
              </w:rPr>
            </w:pPr>
            <w:r>
              <w:rPr>
                <w:rFonts w:ascii="Arial" w:cs="Arial" w:eastAsia="Arial" w:hAnsi="Arial"/>
                <w:sz w:val="16"/>
                <w:szCs w:val="16"/>
                <w:color w:val="auto"/>
              </w:rPr>
              <w:t>Net (decrease) increase in cash</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auto"/>
              </w:rPr>
              <w:t>29,673,119</w:t>
            </w: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(18,800,359)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color w:val="auto"/>
              </w:rPr>
              <w:t>Cash at beginning of period</w:t>
            </w:r>
          </w:p>
        </w:tc>
        <w:tc>
          <w:tcPr>
            <w:tcW w:w="4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13,968,742</w:t>
            </w:r>
          </w:p>
        </w:tc>
        <w:tc>
          <w:tcPr>
            <w:tcW w:w="2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34,021,123</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160" w:type="dxa"/>
            <w:vAlign w:val="bottom"/>
            <w:gridSpan w:val="2"/>
          </w:tcPr>
          <w:p>
            <w:pPr>
              <w:spacing w:after="0" w:line="155" w:lineRule="exact"/>
              <w:rPr>
                <w:sz w:val="20"/>
                <w:szCs w:val="20"/>
                <w:color w:val="auto"/>
              </w:rPr>
            </w:pPr>
            <w:r>
              <w:rPr>
                <w:rFonts w:ascii="Arial" w:cs="Arial" w:eastAsia="Arial" w:hAnsi="Arial"/>
                <w:sz w:val="16"/>
                <w:szCs w:val="16"/>
                <w:color w:val="auto"/>
              </w:rPr>
              <w:t>Cash at end of period</w:t>
            </w:r>
          </w:p>
        </w:tc>
        <w:tc>
          <w:tcPr>
            <w:tcW w:w="460" w:type="dxa"/>
            <w:vAlign w:val="bottom"/>
          </w:tcPr>
          <w:p>
            <w:pPr>
              <w:spacing w:after="0"/>
              <w:rPr>
                <w:sz w:val="14"/>
                <w:szCs w:val="14"/>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55" w:lineRule="exact"/>
              <w:rPr>
                <w:sz w:val="20"/>
                <w:szCs w:val="20"/>
                <w:color w:val="auto"/>
              </w:rPr>
            </w:pPr>
            <w:r>
              <w:rPr>
                <w:rFonts w:ascii="Arial" w:cs="Arial" w:eastAsia="Arial" w:hAnsi="Arial"/>
                <w:sz w:val="16"/>
                <w:szCs w:val="16"/>
                <w:color w:val="auto"/>
              </w:rPr>
              <w:t>43,641,861</w:t>
            </w:r>
          </w:p>
        </w:tc>
        <w:tc>
          <w:tcPr>
            <w:tcW w:w="260" w:type="dxa"/>
            <w:vAlign w:val="bottom"/>
          </w:tcPr>
          <w:p>
            <w:pPr>
              <w:spacing w:after="0"/>
              <w:rPr>
                <w:sz w:val="14"/>
                <w:szCs w:val="14"/>
                <w:color w:val="auto"/>
              </w:rPr>
            </w:pPr>
          </w:p>
        </w:tc>
        <w:tc>
          <w:tcPr>
            <w:tcW w:w="360" w:type="dxa"/>
            <w:vAlign w:val="bottom"/>
          </w:tcPr>
          <w:p>
            <w:pPr>
              <w:jc w:val="right"/>
              <w:ind w:right="204"/>
              <w:spacing w:after="0" w:line="156" w:lineRule="exact"/>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55" w:lineRule="exact"/>
              <w:rPr>
                <w:sz w:val="20"/>
                <w:szCs w:val="20"/>
                <w:color w:val="auto"/>
              </w:rPr>
            </w:pPr>
            <w:r>
              <w:rPr>
                <w:rFonts w:ascii="Arial" w:cs="Arial" w:eastAsia="Arial" w:hAnsi="Arial"/>
                <w:sz w:val="16"/>
                <w:szCs w:val="16"/>
                <w:color w:val="auto"/>
              </w:rPr>
              <w:t>15,220,764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cash flow information:</w:t>
            </w:r>
          </w:p>
        </w:tc>
        <w:tc>
          <w:tcPr>
            <w:tcW w:w="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line="162" w:lineRule="exact"/>
              <w:rPr>
                <w:sz w:val="20"/>
                <w:szCs w:val="20"/>
                <w:color w:val="auto"/>
              </w:rPr>
            </w:pPr>
            <w:r>
              <w:rPr>
                <w:rFonts w:ascii="Arial" w:cs="Arial" w:eastAsia="Arial" w:hAnsi="Arial"/>
                <w:sz w:val="16"/>
                <w:szCs w:val="16"/>
                <w:color w:val="auto"/>
              </w:rPr>
              <w:t>Interest paid</w:t>
            </w:r>
          </w:p>
        </w:tc>
        <w:tc>
          <w:tcPr>
            <w:tcW w:w="8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00" w:type="dxa"/>
            <w:vAlign w:val="bottom"/>
          </w:tcPr>
          <w:p>
            <w:pPr>
              <w:jc w:val="right"/>
              <w:spacing w:after="0" w:line="162" w:lineRule="exact"/>
              <w:rPr>
                <w:sz w:val="20"/>
                <w:szCs w:val="20"/>
                <w:color w:val="auto"/>
              </w:rPr>
            </w:pPr>
            <w:r>
              <w:rPr>
                <w:rFonts w:ascii="Arial" w:cs="Arial" w:eastAsia="Arial" w:hAnsi="Arial"/>
                <w:sz w:val="16"/>
                <w:szCs w:val="16"/>
                <w:color w:val="auto"/>
              </w:rPr>
              <w:t>979,167</w:t>
            </w:r>
          </w:p>
        </w:tc>
        <w:tc>
          <w:tcPr>
            <w:tcW w:w="620" w:type="dxa"/>
            <w:vAlign w:val="bottom"/>
            <w:gridSpan w:val="2"/>
          </w:tcPr>
          <w:p>
            <w:pPr>
              <w:jc w:val="right"/>
              <w:ind w:right="204"/>
              <w:spacing w:after="0" w:line="162" w:lineRule="exact"/>
              <w:rPr>
                <w:sz w:val="20"/>
                <w:szCs w:val="20"/>
                <w:color w:val="auto"/>
              </w:rPr>
            </w:pPr>
            <w:r>
              <w:rPr>
                <w:rFonts w:ascii="Arial" w:cs="Arial" w:eastAsia="Arial" w:hAnsi="Arial"/>
                <w:sz w:val="16"/>
                <w:szCs w:val="16"/>
                <w:color w:val="auto"/>
              </w:rPr>
              <w:t>$</w:t>
            </w:r>
          </w:p>
        </w:tc>
        <w:tc>
          <w:tcPr>
            <w:tcW w:w="1220" w:type="dxa"/>
            <w:vAlign w:val="bottom"/>
          </w:tcPr>
          <w:p>
            <w:pPr>
              <w:jc w:val="right"/>
              <w:spacing w:after="0" w:line="162" w:lineRule="exact"/>
              <w:rPr>
                <w:sz w:val="20"/>
                <w:szCs w:val="20"/>
                <w:color w:val="auto"/>
              </w:rPr>
            </w:pPr>
            <w:r>
              <w:rPr>
                <w:rFonts w:ascii="Arial" w:cs="Arial" w:eastAsia="Arial" w:hAnsi="Arial"/>
                <w:sz w:val="16"/>
                <w:szCs w:val="16"/>
                <w:color w:val="auto"/>
              </w:rPr>
              <w:t>585,025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Supplemental disclosures of non-cash financing activity:</w:t>
            </w:r>
          </w:p>
        </w:tc>
        <w:tc>
          <w:tcPr>
            <w:tcW w:w="4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140" w:type="dxa"/>
            <w:vAlign w:val="bottom"/>
          </w:tcPr>
          <w:p>
            <w:pPr>
              <w:spacing w:after="0"/>
              <w:rPr>
                <w:sz w:val="20"/>
                <w:szCs w:val="20"/>
                <w:color w:val="auto"/>
              </w:rPr>
            </w:pPr>
            <w:r>
              <w:rPr>
                <w:rFonts w:ascii="Arial" w:cs="Arial" w:eastAsia="Arial" w:hAnsi="Arial"/>
                <w:sz w:val="16"/>
                <w:szCs w:val="16"/>
                <w:color w:val="auto"/>
              </w:rPr>
              <w:t>Issuance of warrants in connection with debt financing</w:t>
            </w:r>
          </w:p>
        </w:tc>
        <w:tc>
          <w:tcPr>
            <w:tcW w:w="8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387,000</w:t>
            </w:r>
          </w:p>
        </w:tc>
        <w:tc>
          <w:tcPr>
            <w:tcW w:w="620" w:type="dxa"/>
            <w:vAlign w:val="bottom"/>
            <w:gridSpan w:val="2"/>
          </w:tcPr>
          <w:p>
            <w:pPr>
              <w:jc w:val="right"/>
              <w:ind w:right="204"/>
              <w:spacing w:after="0"/>
              <w:rPr>
                <w:sz w:val="20"/>
                <w:szCs w:val="20"/>
                <w:color w:val="auto"/>
              </w:rPr>
            </w:pPr>
            <w:r>
              <w:rPr>
                <w:rFonts w:ascii="Arial" w:cs="Arial" w:eastAsia="Arial" w:hAnsi="Arial"/>
                <w:sz w:val="16"/>
                <w:szCs w:val="16"/>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Axsome Therapeutics, Inc. (“Axsome” or the “Company”) is a clinical-stage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w:t>
      </w:r>
      <w:r>
        <w:rPr>
          <w:rFonts w:ascii="MS PGothic" w:cs="MS PGothic" w:eastAsia="MS PGothic" w:hAnsi="MS PGothic"/>
          <w:sz w:val="17"/>
          <w:szCs w:val="17"/>
          <w:color w:val="auto"/>
        </w:rPr>
        <w:t>‑</w:t>
      </w:r>
      <w:r>
        <w:rPr>
          <w:rFonts w:ascii="Arial" w:cs="Arial" w:eastAsia="Arial" w:hAnsi="Arial"/>
          <w:sz w:val="17"/>
          <w:szCs w:val="17"/>
          <w:color w:val="auto"/>
        </w:rPr>
        <w:t>05, AXS-07, AXS-09, and AXS-12, which are being developed for multiple indications. The Axsome Pain and Primary Care business unit (“Axsome PPC”) houses Axsome’s pain and primary care assets, including AXS-02 and AXS-06, and intellectual property which covers these and related product candidates and molecules being developed by Axsome and others.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unaudited interim consolidated financial statements should be read in conjunction with the audited financial statements and related notes included in the Company’s Annual Report on Form 10-K for the year ended December 31, 2018 filed with the SEC on March 15, 2019.</w:t>
      </w:r>
    </w:p>
    <w:p>
      <w:pPr>
        <w:spacing w:after="0" w:line="165"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three and nine months ended September 30, 2019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September 30, 2019, the Company had an accumulated deficit of $151.1 million.</w:t>
      </w:r>
    </w:p>
    <w:p>
      <w:pPr>
        <w:spacing w:after="0" w:line="163"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5" w:lineRule="exact"/>
        <w:rPr>
          <w:sz w:val="20"/>
          <w:szCs w:val="20"/>
          <w:color w:val="auto"/>
        </w:rPr>
      </w:pPr>
    </w:p>
    <w:p>
      <w:pPr>
        <w:ind w:right="120" w:firstLine="648"/>
        <w:spacing w:after="0" w:line="229" w:lineRule="auto"/>
        <w:rPr>
          <w:sz w:val="20"/>
          <w:szCs w:val="20"/>
          <w:color w:val="auto"/>
        </w:rPr>
      </w:pPr>
      <w:r>
        <w:rPr>
          <w:rFonts w:ascii="Arial" w:cs="Arial" w:eastAsia="Arial" w:hAnsi="Arial"/>
          <w:sz w:val="17"/>
          <w:szCs w:val="17"/>
          <w:color w:val="auto"/>
        </w:rPr>
        <w:t>The Company believes its existing cash will be sufficient to fund its anticipated operating cash requirements for at least twelve months following the date of this filing.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the Company’s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The Company considers all highly liquid investments that have maturities of three months or less when acquired to be cash equivalents. The Company’s cash and cash equivalents includes holdings in checking and overnight sweep accounts. The Company’s cash equivalents, which are money market funds held in a sweep account, are measured at fair value on a recurring basis. As of September 30, 2019, the balance of cash and cash equivalents was $43.6 million, which approximates fair value and was determined based upon Level 1 inputs. The sweep account is valued using quoted market prices with no valuation adjustments applied. Accordingly, these securities are categorized as Level 1.</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September 30, 2019,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ind w:right="20" w:firstLine="648"/>
        <w:spacing w:after="0" w:line="187" w:lineRule="exact"/>
        <w:rPr>
          <w:sz w:val="20"/>
          <w:szCs w:val="20"/>
          <w:color w:val="auto"/>
        </w:rPr>
      </w:pPr>
      <w:r>
        <w:rPr>
          <w:rFonts w:ascii="Arial" w:cs="Arial" w:eastAsia="Arial" w:hAnsi="Arial"/>
          <w:sz w:val="17"/>
          <w:szCs w:val="17"/>
          <w:color w:val="auto"/>
        </w:rPr>
        <w:t>The Company’s financial instruments are cash, accounts payable, accrued liabilities, and current and long-term debt. The carrying values for cash, accounts payable and accrued liabilities reported in the accompanying consolidated financial statements approximate their respective fair values due to their short</w:t>
      </w:r>
      <w:r>
        <w:rPr>
          <w:rFonts w:ascii="MS PGothic" w:cs="MS PGothic" w:eastAsia="MS PGothic" w:hAnsi="MS PGothic"/>
          <w:sz w:val="17"/>
          <w:szCs w:val="17"/>
          <w:color w:val="auto"/>
        </w:rPr>
        <w:t>‑</w:t>
      </w:r>
      <w:r>
        <w:rPr>
          <w:rFonts w:ascii="Arial" w:cs="Arial" w:eastAsia="Arial" w:hAnsi="Arial"/>
          <w:sz w:val="17"/>
          <w:szCs w:val="17"/>
          <w:color w:val="auto"/>
        </w:rPr>
        <w:t>term maturities. The carrying value of debt, the 2019 Term Loan (see Note 4 – Loan and Security Agreement), is estimated to approximate its fair value as the interest rate approximates the market rate for loans with similar terms and risk characteristics.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Issuance Costs</w:t>
      </w:r>
    </w:p>
    <w:p>
      <w:pPr>
        <w:spacing w:after="0" w:line="229"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Debt issuance costs consist of costs incurred in obtaining long-term financing. These costs are classified on the consolidated balance sheet as a direct deduction from the carrying amount of the related debt liability. These expenses are deferred and amortized as part of interest expense in the consolidated statement of operations using the effective interest rate method over the term of the debt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Equipment</w:t>
      </w:r>
    </w:p>
    <w:p>
      <w:pPr>
        <w:spacing w:after="0" w:line="2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Equipment consists primarily of computer equipment and is recorded at cost. Equipment is depreciated on a straight</w:t>
      </w:r>
      <w:r>
        <w:rPr>
          <w:rFonts w:ascii="MS PGothic" w:cs="MS PGothic" w:eastAsia="MS PGothic" w:hAnsi="MS PGothic"/>
          <w:sz w:val="18"/>
          <w:szCs w:val="18"/>
          <w:color w:val="auto"/>
        </w:rPr>
        <w:t>‑</w:t>
      </w:r>
      <w:r>
        <w:rPr>
          <w:rFonts w:ascii="Arial" w:cs="Arial" w:eastAsia="Arial" w:hAnsi="Arial"/>
          <w:sz w:val="18"/>
          <w:szCs w:val="18"/>
          <w:color w:val="auto"/>
        </w:rPr>
        <w:t>line basis over its estimated useful life, which the Company estimates to be three years. When equipment is sold or otherwise disposed of, the cost and related accumulated depreciation are removed from the accounts and the resulting gain or loss is included in operating expenses.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clinical trial study expenses based on work performed and relies upon estimates of those costs applicable to the stage of completion of a study.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the Company’s policy is to match the recording of expenses in its financial statements to the actual services received and efforts expended. As such, expense accruals related to clinical site costs are recognized based on the Company’s estimate of the degree of completion of the event or events specified in the specific clinical study or trial contract.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jc w:val="both"/>
        <w:ind w:right="440" w:firstLine="648"/>
        <w:spacing w:after="0" w:line="224" w:lineRule="auto"/>
        <w:rPr>
          <w:sz w:val="20"/>
          <w:szCs w:val="20"/>
          <w:color w:val="auto"/>
        </w:rPr>
      </w:pPr>
      <w:r>
        <w:rPr>
          <w:rFonts w:ascii="Arial" w:cs="Arial" w:eastAsia="Arial" w:hAnsi="Arial"/>
          <w:sz w:val="18"/>
          <w:szCs w:val="18"/>
          <w:color w:val="auto"/>
        </w:rPr>
        <w:t>The Company estimates an annual effective tax rate of 0% for the year ending December 31, 2019 and has not recorded an income tax benefit for the nine months ended September 30, 2019 and 2018 since it determined that a full valuation allowance is required against the Company’s deferred tax assets.</w:t>
      </w:r>
    </w:p>
    <w:p>
      <w:pPr>
        <w:spacing w:after="0" w:line="163"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2019,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For stock options issued, the Company estimates the grant date fair value of each option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Black-Scholes model takes into account the expected volatility of the Company’s common stock, expected dividends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management’s judgment. In addition, the Company recognizes expense for equity awards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7" w:lineRule="exact"/>
        <w:rPr>
          <w:sz w:val="20"/>
          <w:szCs w:val="20"/>
          <w:color w:val="auto"/>
        </w:rPr>
      </w:pPr>
    </w:p>
    <w:p>
      <w:pPr>
        <w:ind w:right="820" w:firstLine="648"/>
        <w:spacing w:after="0" w:line="235" w:lineRule="auto"/>
        <w:rPr>
          <w:sz w:val="20"/>
          <w:szCs w:val="20"/>
          <w:color w:val="auto"/>
        </w:rPr>
      </w:pPr>
      <w:r>
        <w:rPr>
          <w:rFonts w:ascii="Arial" w:cs="Arial" w:eastAsia="Arial" w:hAnsi="Arial"/>
          <w:sz w:val="18"/>
          <w:szCs w:val="18"/>
          <w:color w:val="auto"/>
        </w:rPr>
        <w:t>The Company’s policy upon exercise of stock options is that shares will be issued as new shares from the Company’s 2015 Omnibus Incentive Compensation Plan available share pool.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and nine months ended September 30, 2019 and 2018.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In February 2016, the Financial Accounting Standards Board (“FASB”) issued Accounting Standards Update (“ASU”) No. 2016-02, Leases (Topic 842), which supersedes FASB Topic 840, Leases (Topic 840), requires that assets and liabilities arising under leases be recognized on the balance sheet as well as additional quantitative and qualitative disclosures that provide the amount, timing, and uncertainty of cash flows related to lease agreements.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is effective for annual and interim periods beginning after December 15, 2018, with early adoption permitted upon issuance. The Company elected to use the transition method approved by the FASB in accordance with ASU No. 2018-11, Leases, which allows companies to apply the provisions of the new leasing standard as of January 1, 2019, without adjusting the comparative periods presented by recognizing a cumulative-effect adjustment to the opening balance of retained earnings. The Company applied a policy election to exclude short-term leases from balance sheet recognition and also elected certain practical expedients at adoption. As permitted under these expedients, the Company did not reassess whether existing contracts are or contain leases, the lease classification for any existing leases, initial direct costs for any existing lease and whether existing land easements and rights of way, that were not previously accounted for as leases, are or contain a lease. The Company has adopted this guidance effective January 1, 2019. The Company evaluated its contracts and concluded that the contracts are not leases and do not contain a lease and the adoption of this guidance did not impact its financial statements.</w:t>
      </w:r>
    </w:p>
    <w:p>
      <w:pPr>
        <w:spacing w:after="0" w:line="164" w:lineRule="exact"/>
        <w:rPr>
          <w:sz w:val="20"/>
          <w:szCs w:val="20"/>
          <w:color w:val="auto"/>
        </w:rPr>
      </w:pPr>
    </w:p>
    <w:p>
      <w:pPr>
        <w:ind w:right="8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Cash Receipts and Cash Payments</w:t>
      </w:r>
      <w:r>
        <w:rPr>
          <w:rFonts w:ascii="Arial" w:cs="Arial" w:eastAsia="Arial" w:hAnsi="Arial"/>
          <w:sz w:val="18"/>
          <w:szCs w:val="18"/>
          <w:color w:val="auto"/>
        </w:rPr>
        <w:t>, 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has adopted this guidance effective January 1, 2018 and the adoption of the guidance did not have a material impact on the Company’s financial statements.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40" w:firstLine="648"/>
        <w:spacing w:after="0" w:line="225" w:lineRule="auto"/>
        <w:rPr>
          <w:sz w:val="20"/>
          <w:szCs w:val="20"/>
          <w:color w:val="auto"/>
        </w:rPr>
      </w:pPr>
      <w:r>
        <w:rPr>
          <w:rFonts w:ascii="Arial" w:cs="Arial" w:eastAsia="Arial" w:hAnsi="Arial"/>
          <w:sz w:val="17"/>
          <w:szCs w:val="17"/>
          <w:color w:val="auto"/>
        </w:rPr>
        <w:t xml:space="preserve">In May 2017, the FASB issued ASU No. 2017-09, </w:t>
      </w:r>
      <w:r>
        <w:rPr>
          <w:rFonts w:ascii="Arial" w:cs="Arial" w:eastAsia="Arial" w:hAnsi="Arial"/>
          <w:sz w:val="17"/>
          <w:szCs w:val="17"/>
          <w:i w:val="1"/>
          <w:iCs w:val="1"/>
          <w:color w:val="auto"/>
        </w:rPr>
        <w:t>Compensation-Stock Compensation (Topic 718): Scope of</w:t>
      </w:r>
      <w:r>
        <w:rPr>
          <w:rFonts w:ascii="Arial" w:cs="Arial" w:eastAsia="Arial" w:hAnsi="Arial"/>
          <w:sz w:val="17"/>
          <w:szCs w:val="17"/>
          <w:color w:val="auto"/>
        </w:rPr>
        <w:t xml:space="preserve"> </w:t>
      </w:r>
      <w:r>
        <w:rPr>
          <w:rFonts w:ascii="Arial" w:cs="Arial" w:eastAsia="Arial" w:hAnsi="Arial"/>
          <w:sz w:val="17"/>
          <w:szCs w:val="17"/>
          <w:i w:val="1"/>
          <w:iCs w:val="1"/>
          <w:color w:val="auto"/>
        </w:rPr>
        <w:t>Modification Accounting</w:t>
      </w:r>
      <w:r>
        <w:rPr>
          <w:rFonts w:ascii="Arial" w:cs="Arial" w:eastAsia="Arial" w:hAnsi="Arial"/>
          <w:sz w:val="17"/>
          <w:szCs w:val="17"/>
          <w:color w:val="auto"/>
        </w:rPr>
        <w:t>. ASU 2017-09 provides clarity and reduces both (1) diversity in practice and (2) cost and</w:t>
      </w:r>
      <w:r>
        <w:rPr>
          <w:rFonts w:ascii="Arial" w:cs="Arial" w:eastAsia="Arial" w:hAnsi="Arial"/>
          <w:sz w:val="17"/>
          <w:szCs w:val="17"/>
          <w:i w:val="1"/>
          <w:iCs w:val="1"/>
          <w:color w:val="auto"/>
        </w:rPr>
        <w:t xml:space="preserve"> </w:t>
      </w:r>
      <w:r>
        <w:rPr>
          <w:rFonts w:ascii="Arial" w:cs="Arial" w:eastAsia="Arial" w:hAnsi="Arial"/>
          <w:sz w:val="17"/>
          <w:szCs w:val="17"/>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has adopted this guidance effective January 1, 2018 and the adoption of the guidance did not have a material impact on the Company’s financial statements.</w:t>
      </w:r>
    </w:p>
    <w:p>
      <w:pPr>
        <w:spacing w:after="0" w:line="162"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 xml:space="preserve">In June 2018, the FASB issued ASU No. 2018-07, </w:t>
      </w:r>
      <w:r>
        <w:rPr>
          <w:rFonts w:ascii="Arial" w:cs="Arial" w:eastAsia="Arial" w:hAnsi="Arial"/>
          <w:sz w:val="16"/>
          <w:szCs w:val="16"/>
          <w:i w:val="1"/>
          <w:iCs w:val="1"/>
          <w:color w:val="auto"/>
        </w:rPr>
        <w:t>Compensation-Stock Compensation (Topic 718): Improvements</w:t>
      </w:r>
      <w:r>
        <w:rPr>
          <w:rFonts w:ascii="Arial" w:cs="Arial" w:eastAsia="Arial" w:hAnsi="Arial"/>
          <w:sz w:val="16"/>
          <w:szCs w:val="16"/>
          <w:color w:val="auto"/>
        </w:rPr>
        <w:t xml:space="preserve"> </w:t>
      </w:r>
      <w:r>
        <w:rPr>
          <w:rFonts w:ascii="Arial" w:cs="Arial" w:eastAsia="Arial" w:hAnsi="Arial"/>
          <w:sz w:val="16"/>
          <w:szCs w:val="16"/>
          <w:i w:val="1"/>
          <w:iCs w:val="1"/>
          <w:color w:val="auto"/>
        </w:rPr>
        <w:t>to Nonemployee Share-Based Payment Accounting</w:t>
      </w:r>
      <w:r>
        <w:rPr>
          <w:rFonts w:ascii="Arial" w:cs="Arial" w:eastAsia="Arial" w:hAnsi="Arial"/>
          <w:sz w:val="16"/>
          <w:szCs w:val="16"/>
          <w:color w:val="auto"/>
        </w:rPr>
        <w:t>, to simplify the accounting for share-based payments to nonemployees by</w:t>
      </w:r>
      <w:r>
        <w:rPr>
          <w:rFonts w:ascii="Arial" w:cs="Arial" w:eastAsia="Arial" w:hAnsi="Arial"/>
          <w:sz w:val="16"/>
          <w:szCs w:val="16"/>
          <w:i w:val="1"/>
          <w:iCs w:val="1"/>
          <w:color w:val="auto"/>
        </w:rPr>
        <w:t xml:space="preserve"> </w:t>
      </w:r>
      <w:r>
        <w:rPr>
          <w:rFonts w:ascii="Arial" w:cs="Arial" w:eastAsia="Arial" w:hAnsi="Arial"/>
          <w:sz w:val="16"/>
          <w:szCs w:val="16"/>
          <w:color w:val="auto"/>
        </w:rPr>
        <w:t>aligning it with the accounting for share-based payments to employees, with certain exceptions. The standard will be effective for annual and interim periods beginning after December 15, 2018. The Company early adopted this guidance effective October 1, 2018 and the adoption did not have a material impact on the Company’s financial statements.</w:t>
      </w:r>
    </w:p>
    <w:p>
      <w:pPr>
        <w:spacing w:after="0" w:line="15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 xml:space="preserve">In July 2018, the FASB issued ASU No. 2018-09, </w:t>
      </w:r>
      <w:r>
        <w:rPr>
          <w:rFonts w:ascii="Arial" w:cs="Arial" w:eastAsia="Arial" w:hAnsi="Arial"/>
          <w:sz w:val="16"/>
          <w:szCs w:val="16"/>
          <w:i w:val="1"/>
          <w:iCs w:val="1"/>
          <w:color w:val="auto"/>
        </w:rPr>
        <w:t>Codification Improvements</w:t>
      </w:r>
      <w:r>
        <w:rPr>
          <w:rFonts w:ascii="Arial" w:cs="Arial" w:eastAsia="Arial" w:hAnsi="Arial"/>
          <w:sz w:val="16"/>
          <w:szCs w:val="16"/>
          <w:color w:val="auto"/>
        </w:rPr>
        <w:t>,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The Company has adopted this guidance effective January 1, 2019 and the adoption of the guidance did not have a material impact on the Company’s financial statements.</w:t>
      </w:r>
    </w:p>
    <w:p>
      <w:pPr>
        <w:spacing w:after="0" w:line="161"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w:t>
      </w:r>
      <w:r>
        <w:rPr>
          <w:rFonts w:ascii="Arial" w:cs="Arial" w:eastAsia="Arial" w:hAnsi="Arial"/>
          <w:sz w:val="18"/>
          <w:szCs w:val="18"/>
          <w:color w:val="auto"/>
        </w:rPr>
        <w:t xml:space="preserve"> </w:t>
      </w:r>
      <w:r>
        <w:rPr>
          <w:rFonts w:ascii="Arial" w:cs="Arial" w:eastAsia="Arial" w:hAnsi="Arial"/>
          <w:sz w:val="18"/>
          <w:szCs w:val="18"/>
          <w:i w:val="1"/>
          <w:iCs w:val="1"/>
          <w:color w:val="auto"/>
        </w:rPr>
        <w:t>Simplification</w:t>
      </w:r>
      <w:r>
        <w:rPr>
          <w:rFonts w:ascii="Arial" w:cs="Arial" w:eastAsia="Arial" w:hAnsi="Arial"/>
          <w:sz w:val="18"/>
          <w:szCs w:val="18"/>
          <w:color w:val="auto"/>
        </w:rPr>
        <w:t>, amending certain disclosure requirements that were redundant, duplicative, overlapping, outdated or</w:t>
      </w:r>
      <w:r>
        <w:rPr>
          <w:rFonts w:ascii="Arial" w:cs="Arial" w:eastAsia="Arial" w:hAnsi="Arial"/>
          <w:sz w:val="18"/>
          <w:szCs w:val="18"/>
          <w:i w:val="1"/>
          <w:iCs w:val="1"/>
          <w:color w:val="auto"/>
        </w:rPr>
        <w:t xml:space="preserve"> </w:t>
      </w:r>
      <w:r>
        <w:rPr>
          <w:rFonts w:ascii="Arial" w:cs="Arial" w:eastAsia="Arial" w:hAnsi="Arial"/>
          <w:sz w:val="18"/>
          <w:szCs w:val="18"/>
          <w:color w:val="auto"/>
        </w:rPr>
        <w:t>superseded. The changes are generally expected to reduce or eliminate certain disclosures; however, the amendments did expand interim period disclosure requirements related to changes in stockholders’ equity. The final rule was effective on November 5, 2018. The Company adopted this guidance on its effective date and presented the changes in shareholders’ equity in the interim financial statements in quarterly reports on Form 10-Q. See the consolidated statement of stockholders’ equity.</w:t>
      </w:r>
    </w:p>
    <w:p>
      <w:pPr>
        <w:spacing w:after="0" w:line="165" w:lineRule="exact"/>
        <w:rPr>
          <w:sz w:val="20"/>
          <w:szCs w:val="20"/>
          <w:color w:val="auto"/>
        </w:rPr>
      </w:pPr>
    </w:p>
    <w:p>
      <w:pPr>
        <w:ind w:right="80" w:firstLine="647"/>
        <w:spacing w:after="0" w:line="23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 for Fair Value Measurement</w:t>
      </w:r>
      <w:r>
        <w:rPr>
          <w:rFonts w:ascii="Arial" w:cs="Arial" w:eastAsia="Arial" w:hAnsi="Arial"/>
          <w:sz w:val="16"/>
          <w:szCs w:val="16"/>
          <w:color w:val="auto"/>
        </w:rPr>
        <w:t>, which modifies, removes and adds certain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on fair value measurements based on the FASB Concepts Statement, </w:t>
      </w:r>
      <w:r>
        <w:rPr>
          <w:rFonts w:ascii="Arial" w:cs="Arial" w:eastAsia="Arial" w:hAnsi="Arial"/>
          <w:sz w:val="16"/>
          <w:szCs w:val="16"/>
          <w:i w:val="1"/>
          <w:iCs w:val="1"/>
          <w:color w:val="auto"/>
        </w:rPr>
        <w:t>Conceptual Framework for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Reporting-Chapter 8: Notes to the Financial Statements</w:t>
      </w:r>
      <w:r>
        <w:rPr>
          <w:rFonts w:ascii="Arial" w:cs="Arial" w:eastAsia="Arial" w:hAnsi="Arial"/>
          <w:sz w:val="16"/>
          <w:szCs w:val="16"/>
          <w:color w:val="auto"/>
        </w:rPr>
        <w:t>. The amendments on changes in unrealized gains and losses, the</w:t>
      </w:r>
      <w:r>
        <w:rPr>
          <w:rFonts w:ascii="Arial" w:cs="Arial" w:eastAsia="Arial" w:hAnsi="Arial"/>
          <w:sz w:val="16"/>
          <w:szCs w:val="16"/>
          <w:i w:val="1"/>
          <w:iCs w:val="1"/>
          <w:color w:val="auto"/>
        </w:rPr>
        <w:t xml:space="preserve"> </w:t>
      </w:r>
      <w:r>
        <w:rPr>
          <w:rFonts w:ascii="Arial" w:cs="Arial" w:eastAsia="Arial" w:hAnsi="Arial"/>
          <w:sz w:val="16"/>
          <w:szCs w:val="16"/>
          <w:color w:val="auto"/>
        </w:rPr>
        <w:t>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The Company is currently evaluating the potential impact of the new guidance.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Accrued Expenses and Other Current Liabilities</w:t>
      </w:r>
    </w:p>
    <w:p>
      <w:pPr>
        <w:spacing w:after="0" w:line="189" w:lineRule="exact"/>
        <w:rPr>
          <w:sz w:val="20"/>
          <w:szCs w:val="20"/>
          <w:color w:val="auto"/>
        </w:rPr>
      </w:pPr>
    </w:p>
    <w:p>
      <w:pPr>
        <w:ind w:right="520" w:firstLine="648"/>
        <w:spacing w:after="0" w:line="235" w:lineRule="auto"/>
        <w:rPr>
          <w:sz w:val="20"/>
          <w:szCs w:val="20"/>
          <w:color w:val="auto"/>
        </w:rPr>
      </w:pPr>
      <w:r>
        <w:rPr>
          <w:rFonts w:ascii="Arial" w:cs="Arial" w:eastAsia="Arial" w:hAnsi="Arial"/>
          <w:sz w:val="18"/>
          <w:szCs w:val="18"/>
          <w:color w:val="auto"/>
        </w:rPr>
        <w:t>At September 30, 2019 and December 31, 2018 accrued expenses and other current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0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64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6,625,638</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2,266,285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Arial" w:cs="Arial" w:eastAsia="Arial" w:hAnsi="Arial"/>
                <w:sz w:val="18"/>
                <w:szCs w:val="18"/>
                <w:color w:val="auto"/>
              </w:rPr>
              <w:t>Accrued compensation</w:t>
            </w:r>
          </w:p>
        </w:tc>
        <w:tc>
          <w:tcPr>
            <w:tcW w:w="3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995,181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1,051,401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34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792,288</w:t>
            </w:r>
          </w:p>
        </w:tc>
        <w:tc>
          <w:tcPr>
            <w:tcW w:w="2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525,613</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344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8,413,107</w:t>
            </w:r>
          </w:p>
        </w:tc>
        <w:tc>
          <w:tcPr>
            <w:tcW w:w="20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3,843,299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40" w:type="dxa"/>
            <w:vAlign w:val="bottom"/>
          </w:tcPr>
          <w:p>
            <w:pPr>
              <w:jc w:val="right"/>
              <w:ind w:right="193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Loan and Security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Current Term Loan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2019 Term Loan</w:t>
      </w:r>
    </w:p>
    <w:p>
      <w:pPr>
        <w:spacing w:after="0" w:line="63"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In March 2019, the Company entered into a $24.0 million growth capital term loan facility (the “2019 Term Loan”) with Silicon Valley Bank (“SVB”) and WestRiver Innovation Lending Fund VIII, L.P (“WestRiver”). The two-tranche loan agreement consists of an initial $20.0 million tranche (the “Term A Loan Advance”), which was funded upon closing, with the remaining $4.0 million (the “Term B Loan Advance”) initially available to be drawn, at the Company’s option, subject to the achievement of positive data, on or prior to August 15, 2019 (which was extended to December 31, 2019, in connection with the First Amendment to the 2019 Term Loan, as discussed below), with respect to the Company’s ongoing Phase 2 clinical trial for AXS-12 in narcolepsy, sufficient to submit a Phase 3 protocol to FDA, provided that the Company has not received any objections from the FDA within thirty days after submission of such Phase 3 protocol (the “Milestone Event”). A portion of the first tranche was used to satisfy the Company’s existing obligations under the 2016 Amended Term Loan (as defined below) with SVB, which consisted of $5.6 million in outstanding principal balance and $0.85 million as a final payment fee, and such obligations are considered to be fully repaid and performed.</w:t>
      </w:r>
    </w:p>
    <w:p>
      <w:pPr>
        <w:spacing w:after="0" w:line="166" w:lineRule="exact"/>
        <w:rPr>
          <w:sz w:val="20"/>
          <w:szCs w:val="20"/>
          <w:color w:val="auto"/>
        </w:rPr>
      </w:pPr>
    </w:p>
    <w:p>
      <w:pPr>
        <w:ind w:right="20" w:firstLine="648"/>
        <w:spacing w:after="0" w:line="209" w:lineRule="auto"/>
        <w:rPr>
          <w:sz w:val="20"/>
          <w:szCs w:val="20"/>
          <w:color w:val="auto"/>
        </w:rPr>
      </w:pPr>
      <w:r>
        <w:rPr>
          <w:rFonts w:ascii="Arial" w:cs="Arial" w:eastAsia="Arial" w:hAnsi="Arial"/>
          <w:sz w:val="18"/>
          <w:szCs w:val="18"/>
          <w:color w:val="auto"/>
        </w:rPr>
        <w:t>The loan bears interest at an annual rate equal to the greater of (i) seven and one-half of one percent (7.50%) and (ii) two percent (2%) above the Prime Rate. The loan advances mature in February 2023 and initially had an interest-only payment period of 12 months (which was extended to 18 months in connection with the First Amendment to the 2019 Term Loan, as discussed below), extendable to 18 months upon the drawing of the Term B Loan Advance (which is now extendable to 24 months as a result of the First Amendment to the 2019 Term Loan). Principal payments coming due within twelve months have been classified as current liabilities in the accompanying balance sheet. In addition, the Company was initially required to pay a final payment fee of 6.0% of the principal amount extended on the date of repayment of the 2019 Term Loan (which was increased to 6.3% in connection with the First Amendment to the 2019 Term Loan, as discussed below), which is being accreted and amortized into interest expense using the effective interest rate method over the term of the loan.</w:t>
      </w:r>
    </w:p>
    <w:p>
      <w:pPr>
        <w:spacing w:after="0" w:line="169"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The Company could initially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or prior to the second anniversary of the effective date, and 1.0% of the outstanding principal if prepaid after the second anniversary of the effective date. The 2019 Term Loan is collateralized by a security interest in all of the Company’s assets except intellectual property. The Company’s intellectual property is subject to a negative pledge.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First Amendment to the 2019 Term Loan</w:t>
      </w:r>
    </w:p>
    <w:p>
      <w:pPr>
        <w:spacing w:after="0" w:line="50"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On July 25, 2019 (the “First Amendment Effective Date”), the Company entered into the first amendment to the 2019 Term Loan (the “First Amendment to the 2019 Term Loan”). Under the First Amendment to the 2019 Term Loan, the interest-only monthly payment period was extended to 18 months after the date of the 2019 Term Loan, which may be further extended to 24 months upon receipt by the Company of the Term B Loan Advance. The Company’s ability to draw down the Term B Loan Advance was extended to December 31, 2019, subject to the Company’s achievement of the Milestone Event prior to or on December 31, 2019. The Term B Loan Advance and the Term A Loan Advance (together, the “Loan Advances”) mature on February 1, 2023 (the “Maturity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the Company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the Company’s repayment of the Loan Advances from 6.0% to 6.3% of the original principal amount of the Loan Advances.</w:t>
      </w:r>
    </w:p>
    <w:p>
      <w:pPr>
        <w:spacing w:after="0" w:line="46"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The Company may prepay all, but not less than all of the Loan Advances, subject to a prepayment fee of 3.0% of any amount prepaid prior to the first anniversary of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62"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 xml:space="preserve">The Company evaluated whether the First Amendment to the 2019 Term Loan entered into in July 2019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First Amendment to the 2019 Term Loan is less than 10% different from the remaining cash flows under the terms of the 2019 Term Loan, the First Amendment to the 2019 Term Loan was accounted for as a debt modification. Therefore, the unamortized balance of debt discount costs incurred in connection with 2019 Term Loan are being amortized through maturity in February 2023 utilizing the effective interest rate method.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Previous Term Loan</w:t>
      </w:r>
    </w:p>
    <w:p>
      <w:pPr>
        <w:spacing w:after="0" w:line="185"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Prior to the 2019 Term Loan, the Company had a $20.0 million Term Loan Agreement with SVB which was executed in November 2016 (“2016 Original Term Loan”). The three-tranche term loan consisted of an initial $10.0 million tranche triggered upon closing, with the remaining $10.0 million available to be drawn in two $5.0 million tranches, at the Company’s option, subject to the achievement of certain clinical and financial milestones. The Company did not achieve the conditional criteria to access the second and third tranches before the specified dates and the $10.0 million in additional term loan advances subsequently expired.</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The 2016 Original Term Loan bore interest at an annual rate equal to 4.50% plus the prime rate, which is the greater of 3.50% or the Wall Street Journal prime rate, and was payable monthly. It was to mature in November 2020 and had an interest-only payment period until December 1, 2017, which was extendable to May 2018 upon the drawing of the second tranche. Because the Company did not achieve the conditional criteria to access the second and third term advances before the specified dates, the $10.0 million in additional term loan advances expired and the Company began to repay principal in December 2017. Following the interest-only payment period, the Company began making monthly payments of principal and interest and such payments would continue until the maturity date. Principal payments coming due within twelve months had been classified as current liabilities in the accompanying balance sheet. In addition to principal and interest payments under the 2016 Original Term Loan, the Company was required to pay a final payment fee of 8.5% of the principal amount extended on the date of repayment of the 2016 Original Term Loan. The Company accrued the final payment fee into interest expense using the effective interest rate method until the entry into the 2019 Term Loan in March 2019, at which time the Company paid SVB $0.85 million in satisfaction of all final payment fee liabilities due under the 2016 Original Term Loan.</w:t>
      </w:r>
    </w:p>
    <w:p>
      <w:pPr>
        <w:spacing w:after="0" w:line="170" w:lineRule="exact"/>
        <w:rPr>
          <w:sz w:val="20"/>
          <w:szCs w:val="20"/>
          <w:color w:val="auto"/>
        </w:rPr>
      </w:pPr>
    </w:p>
    <w:p>
      <w:pPr>
        <w:ind w:right="60" w:firstLine="648"/>
        <w:spacing w:after="0" w:line="229" w:lineRule="auto"/>
        <w:rPr>
          <w:sz w:val="20"/>
          <w:szCs w:val="20"/>
          <w:color w:val="auto"/>
        </w:rPr>
      </w:pPr>
      <w:r>
        <w:rPr>
          <w:rFonts w:ascii="Arial" w:cs="Arial" w:eastAsia="Arial" w:hAnsi="Arial"/>
          <w:sz w:val="17"/>
          <w:szCs w:val="17"/>
          <w:color w:val="auto"/>
        </w:rPr>
        <w:t>The Company was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2016 Original Term Loan was collateralized by a security interest in all of the Company’s assets except intellectual property. The Company’s intellectual property was subject to a negative pledge.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November 2018, the Company amended the 2016 Original Term Loan with SVB to provide an additional $4.0 million growth capital loan. The additional capital was available to be drawn on the amendment effective date which was November 26, 2018 through May 31, 2019, at the Company’s option, conditioned upon the achievement of a clinical milestone, which required the Company’s receipt of positive data of the Company’s Phase 2 clinical trial of AXS-12 for the treatment of narcolepsy, sufficient to submit a Phase 3 protocol to the FDA and to proceed to a Phase 3 trial (“2016 Amended Term Loan”). The financial terms for this additional growth capital were more favorable than those of the 2016 Original Term Loan. All other terms and conditions from the 2016 Original Term Loan agreement remained in place. The additional $4.0 million growth capital loan had to be drawn by May 31, 2019 and would bear interest at an annual rate equal to the greater of the prime rate plus 2.00%, or 7.25%, if drawn. The Company’s obligations under the 2016 Amended Term Loan, along with the ability of the Company to draw down on the additional $4.0 million tranche, were considered performed and completed in connection with the establishment of the 2019 Term Loan.</w:t>
      </w:r>
    </w:p>
    <w:p>
      <w:pPr>
        <w:spacing w:after="0" w:line="167"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 xml:space="preserve">The Company evaluated whether the 2019 Term Loan entered into in March 2019 represented a debt modification or extinguishment in accordance with ASC 470-50, </w:t>
      </w:r>
      <w:r>
        <w:rPr>
          <w:rFonts w:ascii="Arial" w:cs="Arial" w:eastAsia="Arial" w:hAnsi="Arial"/>
          <w:sz w:val="16"/>
          <w:szCs w:val="16"/>
          <w:i w:val="1"/>
          <w:iCs w:val="1"/>
          <w:color w:val="auto"/>
        </w:rPr>
        <w:t>Debt – Modifications and Extinguishments</w:t>
      </w:r>
      <w:r>
        <w:rPr>
          <w:rFonts w:ascii="Arial" w:cs="Arial" w:eastAsia="Arial" w:hAnsi="Arial"/>
          <w:sz w:val="16"/>
          <w:szCs w:val="16"/>
          <w:color w:val="auto"/>
        </w:rPr>
        <w:t>. As the present value of the cash flows under the terms of the 2019 Term Loan is less than 10% different from the remaining cash flows under the terms of the 2016 Original Term Loan and the 2016 Amended Term Loan, the 2019 Term Loan was accounted for as a debt modification. Since the borrowing capacity of the 2019 Term Loan is greater than the borrowing capacity from the 2016 Original Term Loan and the 2016 Amended Term Loan, the unamortized balance of debt discount costs incurred in connection with those loans and additional debt discount costs incurred in connection with entry into the 2019 Term Loan, are being amortized through maturity in February 2023 utilizing the effective interest rate method.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Interest Expense and Amortization</w:t>
      </w:r>
    </w:p>
    <w:p>
      <w:pPr>
        <w:spacing w:after="0" w:line="185" w:lineRule="exact"/>
        <w:rPr>
          <w:sz w:val="20"/>
          <w:szCs w:val="20"/>
          <w:color w:val="auto"/>
        </w:rPr>
      </w:pPr>
    </w:p>
    <w:p>
      <w:pPr>
        <w:ind w:right="160" w:firstLine="648"/>
        <w:spacing w:after="0" w:line="216" w:lineRule="auto"/>
        <w:rPr>
          <w:sz w:val="20"/>
          <w:szCs w:val="20"/>
          <w:color w:val="auto"/>
        </w:rPr>
      </w:pPr>
      <w:r>
        <w:rPr>
          <w:rFonts w:ascii="Arial" w:cs="Arial" w:eastAsia="Arial" w:hAnsi="Arial"/>
          <w:sz w:val="18"/>
          <w:szCs w:val="18"/>
          <w:color w:val="auto"/>
        </w:rPr>
        <w:t>The Company incurred interest expense of $383,334 and $979,167 for the three and nine months ended September 30, 2019, respectively, as compared to $182,357 and $585,025 for the three and nine months ended September 30, 2018, respectively. In addition, amortization of the final payment fee was $120,322 and $316,246 for the three and nine months ended September 30, 2019, respectively, as compared to $63,636 and $210,399 for the three and nine months ended September 30, 2018, respectively.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debt and unamortized debt discount balances are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5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34"/>
              <w:spacing w:after="0"/>
              <w:rPr>
                <w:sz w:val="20"/>
                <w:szCs w:val="20"/>
                <w:color w:val="auto"/>
              </w:rPr>
            </w:pPr>
            <w:r>
              <w:rPr>
                <w:rFonts w:ascii="Arial" w:cs="Arial" w:eastAsia="Arial" w:hAnsi="Arial"/>
                <w:sz w:val="14"/>
                <w:szCs w:val="14"/>
                <w:b w:val="1"/>
                <w:bCs w:val="1"/>
                <w:color w:val="auto"/>
                <w:w w:val="89"/>
              </w:rPr>
              <w:t>September 30,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ind w:right="54"/>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5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Total Outstanding Debt</w:t>
            </w:r>
          </w:p>
        </w:tc>
        <w:tc>
          <w:tcPr>
            <w:tcW w:w="15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20,000,000</w:t>
            </w:r>
          </w:p>
        </w:tc>
        <w:tc>
          <w:tcPr>
            <w:tcW w:w="3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6,388,889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Pr>
          <w:p>
            <w:pPr>
              <w:ind w:left="100"/>
              <w:spacing w:after="0" w:line="176" w:lineRule="exact"/>
              <w:rPr>
                <w:sz w:val="20"/>
                <w:szCs w:val="20"/>
                <w:color w:val="auto"/>
              </w:rPr>
            </w:pPr>
            <w:r>
              <w:rPr>
                <w:rFonts w:ascii="Arial" w:cs="Arial" w:eastAsia="Arial" w:hAnsi="Arial"/>
                <w:sz w:val="18"/>
                <w:szCs w:val="18"/>
                <w:color w:val="auto"/>
              </w:rPr>
              <w:t>Add: accreted liability of final payment fee</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284,042</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663,459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rPr>
              <w:t>Less: unamortized debt discount, long-term</w:t>
            </w: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(509,231)</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(99,595)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00" w:type="dxa"/>
            <w:vAlign w:val="bottom"/>
            <w:tcBorders>
              <w:bottom w:val="single" w:sz="8" w:color="CCEEFF"/>
            </w:tcBorders>
          </w:tcPr>
          <w:p>
            <w:pPr>
              <w:ind w:left="100"/>
              <w:spacing w:after="0" w:line="176" w:lineRule="exact"/>
              <w:rPr>
                <w:sz w:val="20"/>
                <w:szCs w:val="20"/>
                <w:color w:val="auto"/>
              </w:rPr>
            </w:pPr>
            <w:r>
              <w:rPr>
                <w:rFonts w:ascii="Arial" w:cs="Arial" w:eastAsia="Arial" w:hAnsi="Arial"/>
                <w:sz w:val="18"/>
                <w:szCs w:val="18"/>
                <w:color w:val="auto"/>
              </w:rPr>
              <w:t>Less: current portion of long-term debt</w:t>
            </w: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(666,667)</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19,108,144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3,619,420</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5200" w:type="dxa"/>
            <w:vAlign w:val="bottom"/>
            <w:tcBorders>
              <w:top w:val="single" w:sz="8" w:color="CCEEFF"/>
            </w:tcBorders>
          </w:tcPr>
          <w:p>
            <w:pPr>
              <w:spacing w:after="0"/>
              <w:rPr>
                <w:sz w:val="15"/>
                <w:szCs w:val="15"/>
                <w:color w:val="auto"/>
              </w:rPr>
            </w:pPr>
          </w:p>
        </w:tc>
        <w:tc>
          <w:tcPr>
            <w:tcW w:w="144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666,667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Less: current portion of unamortized debt discount</w:t>
            </w:r>
          </w:p>
        </w:tc>
        <w:tc>
          <w:tcPr>
            <w:tcW w:w="1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(18,144)</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(41,939)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Loan payable, current portion</w:t>
            </w: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648,523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In connection with the 2016 Original Term Loan, SVB and Life Science Loans, LLC received warrants to purchase an aggregate 65,228 shares of the Company’s common stock at an exercise price of $7.41 per share, which are exercisable for seven years from the date of issuance. The warrants were classified as a component of stockholders’ equity. In September 2019, SVB exercised in full the 32,614 warrants it received in connection with the 2016 Original Term Loan via a cashless exercise. The Company issued SVB 24,328 shares of its common stock in connection with the warrant exercise, and did not receive any cash proceeds in connection with the warrant exercise.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Additionally, in connection with the 2016 Amended Term Loan, SVB and WestRiver Innovation Lending Fund VIII, L.P. received warrants to purchase an aggregate 15,750 shares of the Company’s common stock at an exercise price of $3.06 per share, which are exercisable for seven years from the date of issuance. Both of these warrants were classified as a component of stockholders’ equity. Prior to entering into the 2019 Term Loan, the fair value of these warrants and the closing costs were recorded as debt discounts and were being amortized using the effective interest rate method over the term of the loan. In August 2019, SVB exercised in full the 7,875 warrants it received in connection with the 2016 Amended Term Loan via a cashless exercise. The Company issued SVB 6,969 shares of its common stock in connection with the warrant exercise, and did not receive any cash proceeds in connection with the warrant exercise.</w:t>
      </w:r>
    </w:p>
    <w:p>
      <w:pPr>
        <w:spacing w:after="0" w:line="127"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color w:val="auto"/>
        </w:rPr>
        <w:t>Due to the debt modification upon entry of the 2019 Term Loan, the unamortized balance of the deferred debt issuance costs incurred with the 2016 Amended Term Loan will continue to be amortized through maturity in February 2023 along with the debt issuance costs of the 2019 Term Loan utilizing the effective interest rate method.</w:t>
      </w:r>
    </w:p>
    <w:p>
      <w:pPr>
        <w:spacing w:after="0" w:line="121"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connection with the 2019 Term Loan, SVB and WestRiver received warrants to purchase an aggregate 70,000 shares of the Company’s common stock at a price per share equal to $8.10 (the “March 2019 Warrants”). The warrants would initially be earned based upon the usage of the facility and are exercisable until March 4, 2026. The warrants were classified as a component of stockholder’s equity, of which 58,332 warrants were immediately exercisable and the remaining 11,668 warrants could be earned based on usage of the second tranche of the 2019 Term Loan. The additional warrants were initially immediately exercisable if and when the Term B Loan Advance was funded (however, the March 2019 Warrants were amended in connection with the First Amendment to the 2019 Term Loan, as discussed below).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 utilizing the effective interest rate method.</w:t>
      </w:r>
    </w:p>
    <w:p>
      <w:pPr>
        <w:spacing w:after="0" w:line="122"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new warrants (the “July 2019 Warrants”), which become exercisable only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The July 2019 Warrants, if earned, will be exercisable until July 24, 2026 and will be exercised automatically on a net issuance basis if not exercised prior to the expiration date and if the then-current fair market value of one share of the Company’s common stock is greater than the exercise price then in effect.</w:t>
      </w:r>
    </w:p>
    <w:p>
      <w:pPr>
        <w:spacing w:after="0" w:line="127"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Amortization of the debt discount in relation to warrants issued as described above was $56,602 and $155,496 for the three and nine months ended September 30, 2019, respectively, as compared to $24,940 and $83,181 for three and nine months ended September 30, 2018, respectively.</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80" w:type="dxa"/>
            <w:vAlign w:val="bottom"/>
          </w:tcPr>
          <w:p>
            <w:pPr>
              <w:ind w:left="640"/>
              <w:spacing w:after="0"/>
              <w:rPr>
                <w:sz w:val="20"/>
                <w:szCs w:val="20"/>
                <w:color w:val="auto"/>
              </w:rPr>
            </w:pPr>
            <w:r>
              <w:rPr>
                <w:rFonts w:ascii="Arial" w:cs="Arial" w:eastAsia="Arial" w:hAnsi="Arial"/>
                <w:sz w:val="18"/>
                <w:szCs w:val="18"/>
                <w:color w:val="auto"/>
                <w:w w:val="91"/>
              </w:rPr>
              <w:t>Scheduled Principal Payments on Outstanding Debt, as of September 30, 2019, are as follows: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7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400" w:type="dxa"/>
            <w:vAlign w:val="bottom"/>
            <w:gridSpan w:val="2"/>
            <w:shd w:val="clear" w:color="auto" w:fill="CCEEFF"/>
          </w:tcPr>
          <w:p>
            <w:pPr>
              <w:jc w:val="right"/>
              <w:ind w:right="85"/>
              <w:spacing w:after="0" w:line="176" w:lineRule="exact"/>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2,666,667</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80" w:type="dxa"/>
            <w:vAlign w:val="bottom"/>
          </w:tcPr>
          <w:p>
            <w:pPr>
              <w:spacing w:after="0" w:line="176" w:lineRule="exact"/>
              <w:rPr>
                <w:sz w:val="20"/>
                <w:szCs w:val="20"/>
                <w:color w:val="auto"/>
              </w:rPr>
            </w:pPr>
            <w:r>
              <w:rPr>
                <w:rFonts w:ascii="Arial" w:cs="Arial" w:eastAsia="Arial" w:hAnsi="Arial"/>
                <w:sz w:val="18"/>
                <w:szCs w:val="18"/>
                <w:color w:val="auto"/>
              </w:rPr>
              <w:t>2021</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rPr>
              <w:t>8,000,000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8,000,000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1,333,333</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5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principal payments outstanding</w:t>
            </w:r>
          </w:p>
        </w:tc>
        <w:tc>
          <w:tcPr>
            <w:tcW w:w="16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20,000,000</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18"/>
          <w:szCs w:val="18"/>
          <w:color w:val="auto"/>
        </w:rPr>
        <w:t>The Company was in compliance with all covenants and requirements of its financing arrangements as of and during the nine months ended September 30, 2019.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w w:val="91"/>
              </w:rPr>
              <w:t>Three months ended September 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60" w:type="dxa"/>
            <w:vAlign w:val="bottom"/>
            <w:gridSpan w:val="6"/>
          </w:tcPr>
          <w:p>
            <w:pPr>
              <w:ind w:left="4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37"/>
              <w:spacing w:after="0" w:line="129"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102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26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60" w:type="dxa"/>
            <w:vAlign w:val="bottom"/>
          </w:tcPr>
          <w:p>
            <w:pPr>
              <w:jc w:val="right"/>
              <w:spacing w:after="0" w:line="176" w:lineRule="exact"/>
              <w:rPr>
                <w:sz w:val="20"/>
                <w:szCs w:val="20"/>
                <w:color w:val="auto"/>
              </w:rPr>
            </w:pPr>
            <w:r>
              <w:rPr>
                <w:rFonts w:ascii="Arial" w:cs="Arial" w:eastAsia="Arial" w:hAnsi="Arial"/>
                <w:sz w:val="18"/>
                <w:szCs w:val="18"/>
                <w:color w:val="auto"/>
              </w:rPr>
              <w:t>(19,135,612)</w:t>
            </w:r>
          </w:p>
        </w:tc>
        <w:tc>
          <w:tcPr>
            <w:tcW w:w="3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w w:val="97"/>
              </w:rPr>
              <w:t>(8,281,974)</w:t>
            </w:r>
          </w:p>
        </w:tc>
        <w:tc>
          <w:tcPr>
            <w:tcW w:w="3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w w:val="97"/>
              </w:rPr>
              <w:t>(43,538,202)</w:t>
            </w:r>
          </w:p>
        </w:tc>
        <w:tc>
          <w:tcPr>
            <w:tcW w:w="180" w:type="dxa"/>
            <w:vAlign w:val="bottom"/>
          </w:tcPr>
          <w:p>
            <w:pPr>
              <w:spacing w:after="0"/>
              <w:rPr>
                <w:sz w:val="15"/>
                <w:szCs w:val="15"/>
                <w:color w:val="auto"/>
              </w:rPr>
            </w:pPr>
          </w:p>
        </w:tc>
        <w:tc>
          <w:tcPr>
            <w:tcW w:w="1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176" w:lineRule="exact"/>
              <w:rPr>
                <w:sz w:val="20"/>
                <w:szCs w:val="20"/>
                <w:color w:val="auto"/>
              </w:rPr>
            </w:pPr>
            <w:r>
              <w:rPr>
                <w:rFonts w:ascii="Arial" w:cs="Arial" w:eastAsia="Arial" w:hAnsi="Arial"/>
                <w:sz w:val="18"/>
                <w:szCs w:val="18"/>
                <w:color w:val="auto"/>
                <w:w w:val="97"/>
              </w:rPr>
              <w:t>(21,368,449)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w w:val="98"/>
              </w:rPr>
              <w:t>Weighted average common shares outstanding—</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34,445,489</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26,325,904</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33,771,671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25,875,783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basic and diluted</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80" w:type="dxa"/>
            <w:vAlign w:val="bottom"/>
          </w:tcPr>
          <w:p>
            <w:pPr>
              <w:spacing w:after="0" w:line="170" w:lineRule="exact"/>
              <w:rPr>
                <w:sz w:val="20"/>
                <w:szCs w:val="20"/>
                <w:color w:val="auto"/>
              </w:rPr>
            </w:pPr>
            <w:r>
              <w:rPr>
                <w:rFonts w:ascii="Arial" w:cs="Arial" w:eastAsia="Arial" w:hAnsi="Arial"/>
                <w:sz w:val="18"/>
                <w:szCs w:val="18"/>
                <w:color w:val="auto"/>
                <w:w w:val="98"/>
              </w:rPr>
              <w:t>Net loss per common share—basic and diluted</w:t>
            </w:r>
          </w:p>
        </w:tc>
        <w:tc>
          <w:tcPr>
            <w:tcW w:w="16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(0.56)</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(0.31)</w:t>
            </w:r>
          </w:p>
        </w:tc>
        <w:tc>
          <w:tcPr>
            <w:tcW w:w="2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(1.29)</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(0.83)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14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September 30, 2019 and 2018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224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68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68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3,184,842</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2,758,499</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110,603</w:t>
            </w: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2,074,149</w:t>
            </w:r>
          </w:p>
        </w:tc>
        <w:tc>
          <w:tcPr>
            <w:tcW w:w="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80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3,295,445</w:t>
            </w: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4,832,648</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On December 1, 2016, the Company filed a shelf registration statement (the “2016 Shelf Registration Statement”) with the SEC for the issuance of common stock, preferred stock, warrants, rights, debt securities and units up to an aggregate amount of $150.0 million. On December 16, 2016, the 2016 Shelf Registration Statement was declared effective by the SEC. The 2016 Shelf Registration Statement is currently the Company’s only active shelf registration statement. There is approximately $57.4 million of securities that remain available for future issuance under the 2016 Shelf Registration as of the date of this filing, which includes the amount remaining on the 2019 Sales Agreement with Leerink (as defined below). All of the securities issued by the Company in the transactions discussed in this note were registered under the 2016 Shelf Registration Statement.</w:t>
      </w:r>
    </w:p>
    <w:p>
      <w:pPr>
        <w:spacing w:after="0" w:line="165"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March 2017, the Company completed an underwritten public offering of its common stock, whereby it sold 4,304,813 shares of its common stock at a public offering price of $3.74 per share. The Company received gross proceeds of approximately $16.1 million, of which net proceeds were approximately $14.8 million after deducting underwriting discounts and offering expenses.</w:t>
      </w:r>
    </w:p>
    <w:p>
      <w:pPr>
        <w:spacing w:after="0" w:line="163"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October 2017, the Company entered into a sales agreement (the “2017 Sales Agreement”) with SVB Leerink (formerly Leerink Partners LLC) ("Leerink"), pursuant to which the Company could sell up to $30.0 million in shares of its common stock from time to time through Leerink, acting as its sales agent, in one or more at-the-market offerings. In January 2019, the Company raised approximately $25.8 million in gross proceeds through the sale of 3,164,015 shares under the 2017 Sales Agreement, which resulted in utilizing the full $30.0 million facility. Upon completion of the final sale fully exhausting the $30 million of shares allowed to be sold, the 2017 Sales Agreement was automatically terminated. Leerink received a commission of 3.0% of the gross proceeds for all shares sold under the Sales Agreement.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231" w:lineRule="auto"/>
        <w:rPr>
          <w:sz w:val="20"/>
          <w:szCs w:val="20"/>
          <w:color w:val="auto"/>
        </w:rPr>
      </w:pPr>
      <w:r>
        <w:rPr>
          <w:rFonts w:ascii="Arial" w:cs="Arial" w:eastAsia="Arial" w:hAnsi="Arial"/>
          <w:sz w:val="16"/>
          <w:szCs w:val="16"/>
          <w:color w:val="auto"/>
        </w:rPr>
        <w:t>In December 2017, the Company completed a registered direct offering (the “2017 Registered Direct Offering”), whereby it sold an aggregate of $9.5 million worth of units (“Units”) at a purchase price of $5.325 per Unit with each Unit consisting of (i) one share of the Company’s common stock, and (ii) a warrant to purchase one share of the Company’s common stock at an exercise price equal to $5.25 per share (the “Common Warrants”). The Company sold an aggregate of 1,783,587 Units for gross proceeds of approximately $9.5 million and net proceeds of approximately $8.8 million, after deducting placement agent fees and offering expenses. Additionally, the Company issued 107,015 warrants at an exercise price of $6.6562 per share to certain investors affiliated with H.C. Wainwright &amp; Co., LLC, placement agent for the 2017 Registered Direct Offering (the “Placement Agent Warrants”). The Company incurred issuance costs associated with the</w:t>
      </w:r>
    </w:p>
    <w:p>
      <w:pPr>
        <w:spacing w:after="0" w:line="4" w:lineRule="exact"/>
        <w:rPr>
          <w:sz w:val="20"/>
          <w:szCs w:val="20"/>
          <w:color w:val="auto"/>
        </w:rPr>
      </w:pPr>
    </w:p>
    <w:p>
      <w:pPr>
        <w:spacing w:after="0" w:line="229" w:lineRule="auto"/>
        <w:rPr>
          <w:sz w:val="20"/>
          <w:szCs w:val="20"/>
          <w:color w:val="auto"/>
        </w:rPr>
      </w:pPr>
      <w:r>
        <w:rPr>
          <w:rFonts w:ascii="Arial" w:cs="Arial" w:eastAsia="Arial" w:hAnsi="Arial"/>
          <w:sz w:val="16"/>
          <w:szCs w:val="16"/>
          <w:color w:val="auto"/>
        </w:rPr>
        <w:t>2017 Registered Direct Offering of $745,856, which included $81,000 related to issuance of the Placement Agent Warrants, of which, $583,768 was allocated to the common stock sold and was recorded as a reduction to equity. The remaining amount was allocated to the Common Warrants and was expensed. The Placement Agent Warrants had the same terms as the Common Warrants, except for the exercise price of $6.6562 per share. The Common Warrants priced at $5.25 and Placement Agent Warrants priced at $6.6562 utilized the 2016 Shelf Registration Statement for a total of $9.4 million and</w:t>
      </w:r>
    </w:p>
    <w:p>
      <w:pPr>
        <w:ind w:right="100"/>
        <w:spacing w:after="0" w:line="226" w:lineRule="auto"/>
        <w:rPr>
          <w:sz w:val="20"/>
          <w:szCs w:val="20"/>
          <w:color w:val="auto"/>
        </w:rPr>
      </w:pPr>
      <w:r>
        <w:rPr>
          <w:rFonts w:ascii="Arial" w:cs="Arial" w:eastAsia="Arial" w:hAnsi="Arial"/>
          <w:sz w:val="18"/>
          <w:szCs w:val="18"/>
          <w:color w:val="auto"/>
        </w:rPr>
        <w:t>$712,313, respectively. Both the Common Warrants and the Placement Agent Warrants were not exercised and subsequently were terminated in December 2018.</w:t>
      </w:r>
    </w:p>
    <w:p>
      <w:pPr>
        <w:spacing w:after="0" w:line="161" w:lineRule="exact"/>
        <w:rPr>
          <w:sz w:val="20"/>
          <w:szCs w:val="20"/>
          <w:color w:val="auto"/>
        </w:rPr>
      </w:pPr>
    </w:p>
    <w:p>
      <w:pPr>
        <w:ind w:right="220" w:firstLine="648"/>
        <w:spacing w:after="0" w:line="239" w:lineRule="auto"/>
        <w:rPr>
          <w:sz w:val="20"/>
          <w:szCs w:val="20"/>
          <w:color w:val="auto"/>
        </w:rPr>
      </w:pPr>
      <w:r>
        <w:rPr>
          <w:rFonts w:ascii="Arial" w:cs="Arial" w:eastAsia="Arial" w:hAnsi="Arial"/>
          <w:sz w:val="16"/>
          <w:szCs w:val="16"/>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net proceeds of approximately $8.8 million, after deducting transaction expenses. The 2,966,667 shares of common stock sold in the 2018 Registered Direct Offering were offered and sold by the Company directly to the RDO Investors, without a placement agent, underwriter, broker or dealer.</w:t>
      </w:r>
    </w:p>
    <w:p>
      <w:pPr>
        <w:spacing w:after="0" w:line="163" w:lineRule="exact"/>
        <w:rPr>
          <w:sz w:val="20"/>
          <w:szCs w:val="20"/>
          <w:color w:val="auto"/>
        </w:rPr>
      </w:pPr>
    </w:p>
    <w:p>
      <w:pPr>
        <w:ind w:right="200" w:firstLine="648"/>
        <w:spacing w:after="0" w:line="226" w:lineRule="auto"/>
        <w:rPr>
          <w:sz w:val="20"/>
          <w:szCs w:val="20"/>
          <w:color w:val="auto"/>
        </w:rPr>
      </w:pPr>
      <w:r>
        <w:rPr>
          <w:rFonts w:ascii="Arial" w:cs="Arial" w:eastAsia="Arial" w:hAnsi="Arial"/>
          <w:sz w:val="17"/>
          <w:szCs w:val="17"/>
          <w:color w:val="auto"/>
        </w:rPr>
        <w:t>In May 2019, the Company entered into a new sales agreement (the “2019 Sales Agreement”) with Leerink, pursuant to which the Company may sell up to $50.0 million in shares of its common stock from time to time through Leerink, acting as its sales agent, in one or more at-the-market offerings utilizing the 2016 Shelf Registration Statement. Leerink is entitled to receive a commission of 3.0% of the gross proceeds for any shares sold under 2019 Sales Agreement. The Company received approximately $20.1 million in gross proceeds through the sale of 942,285 shares, of which net proceeds were approximately $19.5 million during the nine months ended September 30, 2019.</w:t>
      </w:r>
    </w:p>
    <w:p>
      <w:pPr>
        <w:spacing w:after="0" w:line="165"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3"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There were 3,668,590 shares available for the issuance of stock options or stock-based awards under the Company’s 2015 Omnibus Incentive Compensation Plan at September 30, 2019.</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nine months ended September 30, 2019:</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90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900" w:type="dxa"/>
            <w:vAlign w:val="bottom"/>
          </w:tcPr>
          <w:p>
            <w:pPr>
              <w:jc w:val="right"/>
              <w:ind w:right="94"/>
              <w:spacing w:after="0"/>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4"/>
                <w:szCs w:val="1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term</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69"/>
        </w:trPr>
        <w:tc>
          <w:tcPr>
            <w:tcW w:w="5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2,282,636</w:t>
            </w:r>
          </w:p>
        </w:tc>
        <w:tc>
          <w:tcPr>
            <w:tcW w:w="1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5.06</w:t>
            </w:r>
          </w:p>
        </w:tc>
        <w:tc>
          <w:tcPr>
            <w:tcW w:w="16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1,197,231</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15.57</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(241,757)</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(53,268)</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Arial" w:cs="Arial" w:eastAsia="Arial" w:hAnsi="Arial"/>
                <w:sz w:val="18"/>
                <w:szCs w:val="18"/>
                <w:color w:val="auto"/>
              </w:rPr>
              <w:t>7.50</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00" w:type="dxa"/>
            <w:vAlign w:val="bottom"/>
          </w:tcPr>
          <w:p>
            <w:pPr>
              <w:spacing w:after="0" w:line="170" w:lineRule="exact"/>
              <w:rPr>
                <w:sz w:val="20"/>
                <w:szCs w:val="20"/>
                <w:color w:val="auto"/>
              </w:rPr>
            </w:pPr>
            <w:r>
              <w:rPr>
                <w:rFonts w:ascii="Arial" w:cs="Arial" w:eastAsia="Arial" w:hAnsi="Arial"/>
                <w:sz w:val="18"/>
                <w:szCs w:val="18"/>
                <w:color w:val="auto"/>
              </w:rPr>
              <w:t>Outstanding at September 30, 2019</w:t>
            </w:r>
          </w:p>
        </w:tc>
        <w:tc>
          <w:tcPr>
            <w:tcW w:w="900" w:type="dxa"/>
            <w:vAlign w:val="bottom"/>
          </w:tcPr>
          <w:p>
            <w:pPr>
              <w:jc w:val="right"/>
              <w:spacing w:after="0" w:line="170" w:lineRule="exact"/>
              <w:rPr>
                <w:sz w:val="20"/>
                <w:szCs w:val="20"/>
                <w:color w:val="auto"/>
              </w:rPr>
            </w:pPr>
            <w:r>
              <w:rPr>
                <w:rFonts w:ascii="Arial" w:cs="Arial" w:eastAsia="Arial" w:hAnsi="Arial"/>
                <w:sz w:val="18"/>
                <w:szCs w:val="18"/>
                <w:color w:val="auto"/>
              </w:rPr>
              <w:t>3,184,842</w:t>
            </w:r>
          </w:p>
        </w:tc>
        <w:tc>
          <w:tcPr>
            <w:tcW w:w="260" w:type="dxa"/>
            <w:vAlign w:val="bottom"/>
            <w:gridSpan w:val="2"/>
          </w:tcPr>
          <w:p>
            <w:pPr>
              <w:ind w:left="140"/>
              <w:spacing w:after="0" w:line="170" w:lineRule="exact"/>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line="170" w:lineRule="exact"/>
              <w:rPr>
                <w:sz w:val="20"/>
                <w:szCs w:val="20"/>
                <w:color w:val="auto"/>
              </w:rPr>
            </w:pPr>
            <w:r>
              <w:rPr>
                <w:rFonts w:ascii="Arial" w:cs="Arial" w:eastAsia="Arial" w:hAnsi="Arial"/>
                <w:sz w:val="18"/>
                <w:szCs w:val="18"/>
                <w:color w:val="auto"/>
              </w:rPr>
              <w:t>9.01</w:t>
            </w:r>
          </w:p>
        </w:tc>
        <w:tc>
          <w:tcPr>
            <w:tcW w:w="160" w:type="dxa"/>
            <w:vAlign w:val="bottom"/>
          </w:tcPr>
          <w:p>
            <w:pPr>
              <w:spacing w:after="0"/>
              <w:rPr>
                <w:sz w:val="15"/>
                <w:szCs w:val="15"/>
                <w:color w:val="auto"/>
              </w:rPr>
            </w:pPr>
          </w:p>
        </w:tc>
        <w:tc>
          <w:tcPr>
            <w:tcW w:w="720" w:type="dxa"/>
            <w:vAlign w:val="bottom"/>
          </w:tcPr>
          <w:p>
            <w:pPr>
              <w:jc w:val="right"/>
              <w:spacing w:after="0" w:line="170" w:lineRule="exact"/>
              <w:rPr>
                <w:sz w:val="20"/>
                <w:szCs w:val="20"/>
                <w:color w:val="auto"/>
              </w:rPr>
            </w:pPr>
            <w:r>
              <w:rPr>
                <w:rFonts w:ascii="Arial" w:cs="Arial" w:eastAsia="Arial" w:hAnsi="Arial"/>
                <w:sz w:val="18"/>
                <w:szCs w:val="18"/>
                <w:color w:val="auto"/>
              </w:rPr>
              <w:t>8.0</w:t>
            </w:r>
          </w:p>
        </w:tc>
        <w:tc>
          <w:tcPr>
            <w:tcW w:w="160" w:type="dxa"/>
            <w:vAlign w:val="bottom"/>
          </w:tcPr>
          <w:p>
            <w:pPr>
              <w:spacing w:after="0"/>
              <w:rPr>
                <w:sz w:val="15"/>
                <w:szCs w:val="15"/>
                <w:color w:val="auto"/>
              </w:rPr>
            </w:pPr>
          </w:p>
        </w:tc>
        <w:tc>
          <w:tcPr>
            <w:tcW w:w="140" w:type="dxa"/>
            <w:vAlign w:val="bottom"/>
            <w:gridSpan w:val="2"/>
          </w:tcPr>
          <w:p>
            <w:pPr>
              <w:jc w:val="right"/>
              <w:ind w:right="10"/>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Pr>
          <w:p>
            <w:pPr>
              <w:ind w:left="60"/>
              <w:spacing w:after="0" w:line="170" w:lineRule="exact"/>
              <w:rPr>
                <w:sz w:val="20"/>
                <w:szCs w:val="20"/>
                <w:color w:val="auto"/>
              </w:rPr>
            </w:pPr>
            <w:r>
              <w:rPr>
                <w:rFonts w:ascii="Arial" w:cs="Arial" w:eastAsia="Arial" w:hAnsi="Arial"/>
                <w:sz w:val="18"/>
                <w:szCs w:val="18"/>
                <w:color w:val="auto"/>
                <w:w w:val="95"/>
              </w:rPr>
              <w:t>36,930,345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September 30, 2019</w:t>
            </w:r>
          </w:p>
        </w:tc>
        <w:tc>
          <w:tcPr>
            <w:tcW w:w="90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3,168,673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shd w:val="clear" w:color="auto" w:fill="CCEEFF"/>
          </w:tcPr>
          <w:p>
            <w:pPr>
              <w:ind w:left="60"/>
              <w:spacing w:after="0" w:line="176" w:lineRule="exact"/>
              <w:rPr>
                <w:sz w:val="20"/>
                <w:szCs w:val="20"/>
                <w:color w:val="auto"/>
              </w:rPr>
            </w:pPr>
            <w:r>
              <w:rPr>
                <w:rFonts w:ascii="Arial" w:cs="Arial" w:eastAsia="Arial" w:hAnsi="Arial"/>
                <w:sz w:val="18"/>
                <w:szCs w:val="18"/>
                <w:color w:val="auto"/>
                <w:w w:val="95"/>
              </w:rPr>
              <w:t>36,632,902</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line="163" w:lineRule="exact"/>
              <w:rPr>
                <w:sz w:val="20"/>
                <w:szCs w:val="20"/>
                <w:color w:val="auto"/>
              </w:rPr>
            </w:pPr>
            <w:r>
              <w:rPr>
                <w:rFonts w:ascii="Arial" w:cs="Arial" w:eastAsia="Arial" w:hAnsi="Arial"/>
                <w:sz w:val="18"/>
                <w:szCs w:val="18"/>
                <w:color w:val="auto"/>
              </w:rPr>
              <w:t>Exercisable at September 30, 2019</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1,612,322</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6.34</w:t>
            </w:r>
          </w:p>
        </w:tc>
        <w:tc>
          <w:tcPr>
            <w:tcW w:w="160" w:type="dxa"/>
            <w:vAlign w:val="bottom"/>
          </w:tcPr>
          <w:p>
            <w:pPr>
              <w:spacing w:after="0"/>
              <w:rPr>
                <w:sz w:val="14"/>
                <w:szCs w:val="14"/>
                <w:color w:val="auto"/>
              </w:rPr>
            </w:pPr>
          </w:p>
        </w:tc>
        <w:tc>
          <w:tcPr>
            <w:tcW w:w="7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6.6</w:t>
            </w: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ind w:left="60"/>
              <w:spacing w:after="0" w:line="163" w:lineRule="exact"/>
              <w:rPr>
                <w:sz w:val="20"/>
                <w:szCs w:val="20"/>
                <w:color w:val="auto"/>
              </w:rPr>
            </w:pPr>
            <w:r>
              <w:rPr>
                <w:rFonts w:ascii="Arial" w:cs="Arial" w:eastAsia="Arial" w:hAnsi="Arial"/>
                <w:sz w:val="18"/>
                <w:szCs w:val="18"/>
                <w:color w:val="auto"/>
                <w:w w:val="95"/>
              </w:rPr>
              <w:t>22,428,613</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ind w:right="20" w:firstLine="648"/>
        <w:spacing w:after="0" w:line="182" w:lineRule="exact"/>
        <w:rPr>
          <w:sz w:val="20"/>
          <w:szCs w:val="20"/>
          <w:color w:val="auto"/>
        </w:rPr>
      </w:pPr>
      <w:r>
        <w:rPr>
          <w:rFonts w:ascii="Arial" w:cs="Arial" w:eastAsia="Arial" w:hAnsi="Arial"/>
          <w:sz w:val="16"/>
          <w:szCs w:val="16"/>
          <w:color w:val="auto"/>
        </w:rPr>
        <w:t>The fair value of each stock option grant is estimated on the date of grant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expected term of the Company’s stock options has been determined utilizing the “simplified” method as described in the SEC’s Staff Accounting Bulletin No. 107 relating to stock</w:t>
      </w:r>
      <w:r>
        <w:rPr>
          <w:rFonts w:ascii="MS PGothic" w:cs="MS PGothic" w:eastAsia="MS PGothic" w:hAnsi="MS PGothic"/>
          <w:sz w:val="16"/>
          <w:szCs w:val="16"/>
          <w:color w:val="auto"/>
        </w:rPr>
        <w:t>‑</w:t>
      </w:r>
      <w:r>
        <w:rPr>
          <w:rFonts w:ascii="Arial" w:cs="Arial" w:eastAsia="Arial" w:hAnsi="Arial"/>
          <w:sz w:val="16"/>
          <w:szCs w:val="16"/>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6"/>
          <w:szCs w:val="16"/>
          <w:color w:val="auto"/>
        </w:rPr>
        <w:t>‑</w:t>
      </w:r>
      <w:r>
        <w:rPr>
          <w:rFonts w:ascii="Arial" w:cs="Arial" w:eastAsia="Arial" w:hAnsi="Arial"/>
          <w:sz w:val="16"/>
          <w:szCs w:val="16"/>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67" w:lineRule="exact"/>
        <w:rPr>
          <w:sz w:val="20"/>
          <w:szCs w:val="20"/>
          <w:color w:val="auto"/>
        </w:rPr>
      </w:pPr>
    </w:p>
    <w:p>
      <w:pPr>
        <w:ind w:right="60" w:firstLine="648"/>
        <w:spacing w:after="0" w:line="182" w:lineRule="exact"/>
        <w:rPr>
          <w:sz w:val="20"/>
          <w:szCs w:val="20"/>
          <w:color w:val="auto"/>
        </w:rPr>
      </w:pPr>
      <w:r>
        <w:rPr>
          <w:rFonts w:ascii="Arial" w:cs="Arial" w:eastAsia="Arial" w:hAnsi="Arial"/>
          <w:sz w:val="17"/>
          <w:szCs w:val="17"/>
          <w:color w:val="auto"/>
        </w:rPr>
        <w:t>The weighted average grant date fair value of options granted was $11.55 and $1.98 per option for the nine months ended September 30, 2019 and 2018, respectively. As of September 30, 2019, there was $12.9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3.3 years. These amounts do not include 20,971 options outstanding as of September 30, 2019,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The total intrinsic value of options exercised (the difference in the market price of the Company’s common stock on the exercise date and the price paid by the optionee to exercise the option) was approximately $4.3 million for the nine months ended September 30, 2019. There were no options exercised for the nine months ended September 30, 2018.</w:t>
      </w:r>
    </w:p>
    <w:p>
      <w:pPr>
        <w:spacing w:after="0" w:line="168" w:lineRule="exact"/>
        <w:rPr>
          <w:sz w:val="20"/>
          <w:szCs w:val="20"/>
          <w:color w:val="auto"/>
        </w:rPr>
      </w:pPr>
    </w:p>
    <w:p>
      <w:pPr>
        <w:ind w:right="20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and nine months ended September 30, 2019 and 2018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4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160" w:type="dxa"/>
            <w:vAlign w:val="bottom"/>
          </w:tcPr>
          <w:p>
            <w:pPr>
              <w:spacing w:after="0"/>
              <w:rPr>
                <w:sz w:val="14"/>
                <w:szCs w:val="14"/>
                <w:color w:val="auto"/>
              </w:rPr>
            </w:pPr>
          </w:p>
        </w:tc>
        <w:tc>
          <w:tcPr>
            <w:tcW w:w="2260" w:type="dxa"/>
            <w:vAlign w:val="bottom"/>
            <w:gridSpan w:val="6"/>
          </w:tcPr>
          <w:p>
            <w:pPr>
              <w:ind w:left="4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38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286,234</w:t>
            </w:r>
          </w:p>
        </w:tc>
        <w:tc>
          <w:tcPr>
            <w:tcW w:w="44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90,891</w:t>
            </w:r>
          </w:p>
        </w:tc>
        <w:tc>
          <w:tcPr>
            <w:tcW w:w="320" w:type="dxa"/>
            <w:vAlign w:val="bottom"/>
            <w:gridSpan w:val="2"/>
            <w:shd w:val="clear" w:color="auto" w:fill="CCEEFF"/>
          </w:tcPr>
          <w:p>
            <w:pPr>
              <w:jc w:val="right"/>
              <w:ind w:right="7"/>
              <w:spacing w:after="0" w:line="176"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652,666</w:t>
            </w:r>
          </w:p>
        </w:tc>
        <w:tc>
          <w:tcPr>
            <w:tcW w:w="360" w:type="dxa"/>
            <w:vAlign w:val="bottom"/>
            <w:gridSpan w:val="2"/>
            <w:shd w:val="clear" w:color="auto" w:fill="CCEEFF"/>
          </w:tcPr>
          <w:p>
            <w:pPr>
              <w:jc w:val="right"/>
              <w:ind w:right="5"/>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311,753</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870,201</w:t>
            </w:r>
          </w:p>
        </w:tc>
        <w:tc>
          <w:tcPr>
            <w:tcW w:w="2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301,774</w:t>
            </w:r>
          </w:p>
        </w:tc>
        <w:tc>
          <w:tcPr>
            <w:tcW w:w="1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2,648,635</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7"/>
              </w:rPr>
              <w:t>1,090,141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6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1,156,435</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392,665</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line="169" w:lineRule="exact"/>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3,301,301</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1,401,894</w:t>
            </w: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140" w:firstLine="648"/>
        <w:spacing w:after="0" w:line="187" w:lineRule="exact"/>
        <w:rPr>
          <w:sz w:val="20"/>
          <w:szCs w:val="20"/>
          <w:color w:val="auto"/>
        </w:rPr>
      </w:pPr>
      <w:r>
        <w:rPr>
          <w:rFonts w:ascii="Arial" w:cs="Arial" w:eastAsia="Arial" w:hAnsi="Arial"/>
          <w:sz w:val="16"/>
          <w:szCs w:val="16"/>
          <w:color w:val="auto"/>
        </w:rPr>
        <w:t>The Company did not issue any performance-based awards during the nine months ended September 30, 2019 and 2018. For awards granted with performance conditions, no expense will be recognized, and no measurement date can occur, until the occurrence of the event is probable. For the three and nine months ended September 30, 2019, the Company recognized expense of $9,514 and $29,378, respectively, and for the three and nine months ended September 30, 2018, the Company recognized expense of $24 and income of $247, respectively, related to performance</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2019:</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540" w:type="dxa"/>
            <w:vAlign w:val="bottom"/>
          </w:tcPr>
          <w:p>
            <w:pPr>
              <w:spacing w:after="0"/>
              <w:rPr>
                <w:sz w:val="11"/>
                <w:szCs w:val="11"/>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65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69"/>
        </w:trPr>
        <w:tc>
          <w:tcPr>
            <w:tcW w:w="65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2018</w:t>
            </w:r>
          </w:p>
        </w:tc>
        <w:tc>
          <w:tcPr>
            <w:tcW w:w="9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123,037</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6.35</w:t>
            </w: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54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58,334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8.10</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(70,768)</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6.30</w:t>
            </w: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540" w:type="dxa"/>
            <w:vAlign w:val="bottom"/>
          </w:tcPr>
          <w:p>
            <w:pPr>
              <w:spacing w:after="0" w:line="170" w:lineRule="exact"/>
              <w:rPr>
                <w:sz w:val="20"/>
                <w:szCs w:val="20"/>
                <w:color w:val="auto"/>
              </w:rPr>
            </w:pPr>
            <w:r>
              <w:rPr>
                <w:rFonts w:ascii="Arial" w:cs="Arial" w:eastAsia="Arial" w:hAnsi="Arial"/>
                <w:sz w:val="18"/>
                <w:szCs w:val="18"/>
                <w:color w:val="auto"/>
              </w:rPr>
              <w:t>Outstanding at September 30, 2019</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110,603</w:t>
            </w:r>
          </w:p>
        </w:tc>
        <w:tc>
          <w:tcPr>
            <w:tcW w:w="200" w:type="dxa"/>
            <w:vAlign w:val="bottom"/>
          </w:tcPr>
          <w:p>
            <w:pPr>
              <w:spacing w:after="0"/>
              <w:rPr>
                <w:sz w:val="15"/>
                <w:szCs w:val="15"/>
                <w:color w:val="auto"/>
              </w:rPr>
            </w:pPr>
          </w:p>
        </w:tc>
        <w:tc>
          <w:tcPr>
            <w:tcW w:w="180" w:type="dxa"/>
            <w:vAlign w:val="bottom"/>
            <w:tcBorders>
              <w:bottom w:val="single" w:sz="8" w:color="auto"/>
            </w:tcBorders>
            <w:gridSpan w:val="2"/>
          </w:tcPr>
          <w:p>
            <w:pPr>
              <w:jc w:val="right"/>
              <w:ind w:right="5"/>
              <w:spacing w:after="0" w:line="170"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7.31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associated with 2017 Registered Direct Offering</w:t>
      </w:r>
    </w:p>
    <w:p>
      <w:pPr>
        <w:spacing w:after="0" w:line="18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 xml:space="preserve">The change in the fair value of warrant liability for the nine months ended September 30, 2018 was $2,689,000. This relates to the Company’s 2017 Registered Direct Offering. As described in further detail above, the Company issued Common Warrants to certain investors to purchase an aggregate of 1,783,587 shares of its common stock. The Common Warrants were exercisable at $5.25 per share and expired on December 11, 2018. Additionally, as part of the 2017 Registered Direct Offering, the Company issued Placement Agent Warrants to certain investors affiliated with H.C. Wainwright &amp; Co., LLC, the placement agent in the 2017 Registered Direct Offering to purchase an aggregate of 107,015 shares of its common stock. The Placement Agent Warrants were exercisable at $6.6562 and expired on December 11, 2018. The Common Warrants and Placement Agent Warrants were analyzed and it was determined that they required liability treatment. Under ASC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registered common stock warrants that require the issuance of registered shares upon exercise and do not expressly preclude an implied right to cash settlement are accounted for as derivative liabilities. The Company classified these derivative warrant liabilities on the consolidated balance sheet as a current liability and the change in fair value of the warrant liability was reported on the statement of operations.</w:t>
      </w:r>
    </w:p>
    <w:p>
      <w:pPr>
        <w:spacing w:after="0" w:line="170"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The fair value of the Common Warrants at September 30, 2018 and December 31, 2017 was determined to be approximately $101,000 and $2,683,000, respectively, as calculated using Black-Scholes with the following assumptions: (1) stock price of $3.45 and $5.60, respectively; (2) a risk-free rate of 2.22% and 1.76%, respectively; and (3) an expected volatility of 70% and 62%, respectively. The change in the fair value between December 31, 2017 and September 30, 2018 is reported as a change in fair value of the warrant liability on the statement of operations.</w:t>
      </w:r>
    </w:p>
    <w:p>
      <w:pPr>
        <w:spacing w:after="0" w:line="161" w:lineRule="exact"/>
        <w:rPr>
          <w:sz w:val="20"/>
          <w:szCs w:val="20"/>
          <w:color w:val="auto"/>
        </w:rPr>
      </w:pPr>
    </w:p>
    <w:p>
      <w:pPr>
        <w:ind w:right="40" w:firstLine="648"/>
        <w:spacing w:after="0" w:line="244" w:lineRule="auto"/>
        <w:rPr>
          <w:sz w:val="20"/>
          <w:szCs w:val="20"/>
          <w:color w:val="auto"/>
        </w:rPr>
      </w:pPr>
      <w:r>
        <w:rPr>
          <w:rFonts w:ascii="Arial" w:cs="Arial" w:eastAsia="Arial" w:hAnsi="Arial"/>
          <w:sz w:val="16"/>
          <w:szCs w:val="16"/>
          <w:color w:val="auto"/>
        </w:rPr>
        <w:t>The fair value of the Placement Agent Warrants at September 30, 2018 and December 31, 2017 were determined to be approximately $1,000 and $108,000, respectively, as calculated using Black-Scholes with the following assumptions: (1) stock price of $3.45 and $5.60, respectively; (2) a risk-free rate of 2.22% and 1.76%, respectively; and (3) an expected volatility of 70% and 62%, respectively. The change in the fair value between December 31, 2017 and September 30, 2018 is reported as a change in fair value of the warrant liability on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“Cautionary Note Regarding Forward-Looking Statements” set forth at the beginning of this report.</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interim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2018 which was filed with the Securities and Exchange Commission, or SEC, on March 15, 2019</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AXS-05, AXS-07, AXS-09, and AXS-12, which are being developed for multiple indications. AXS-05 is currently in a Phase 3 trial in treatment resistant depression, or TRD, which we refer to as the STRIDE-1 study, a Phase 3 trial in major depressive disorder, or MDD, which we refer to as the GEMINI study, a Phase 3 open-label safety trial in patients with TRD and MDD; and a Phase 2/3 trial in agitation associated with Alzheimer's disease, or AD, which we refer to as the ADVANCE-1 study. We have completed a Phase 2 trial in MDD, which we refer to as the ASCEND study and a Phase 2 trial in smoking cessation. AXS-07 is currently in two Phase 3 trials for the acute treatment of migraine, which we refer to as the MOMENTUM and the INTERCEPT studies, and a Phase 3 open-label safety trial in patients with migraine. AXS-12 is currently in a Phase 2 trial in narcolepsy, which we refer to as the CONCERT study. The Axsome Pain and Primary Care business unit, or Axsome PPC, houses our pain and primary care assets, including AXS-02 and AXS-06, and intellectual property which covers these and related product candidates and molecules being developed by us and others. AXS-02 is being developed for the treatment of knee osteoarthritis, or OA, associated with bone marrow lesions, or BMLs. AXS-06 is being developed for the treatment of osteoarthritis and rheumatoid arthritis and for the reduction of the risk of nonsteroidal anti-inflammatory drug, or NSAID, associated gastrointestinal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73"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color w:val="auto"/>
        </w:rPr>
        <w:t>AXS-05 is a novel, oral, investigational NMDA receptor antagonist with multimodal activity under development for the treatment of CNS disorders. AXS-05 consists of bupropion and dextromethorphan, or DM, and utilizes our metabolic inhibition technology. We are developing AXS-05 initially for the following four indications: TRD, agitation associated with AD, MDD, and as an aid to smoking cessation. The DM component of AXS-05 is a non-competitive N-methyl-D-aspartate, or NMDA, receptor antagonist, also known as a glutamate receptor modulator. The DM component of AXS-05 is also a sigma-1 receptor agonist, nicotinic acetylcholine receptor antagonist, and inhibitor of the serotonin and norepinephrine transporters. The bupropion component of AXS-05 serves to increase the bioavailability of dextromethorphan, and is a norepinephrine and dopamine reuptake inhibitor, and a nicotinic acetylcholine receptor antagonist. We intend to seek U.S. Food and Drug Administration, or FDA, approval for AXS-05 utilizing the 505(b)(2) regulatory development pathway.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9" w:lineRule="auto"/>
        <w:rPr>
          <w:sz w:val="20"/>
          <w:szCs w:val="20"/>
          <w:color w:val="auto"/>
        </w:rPr>
      </w:pPr>
      <w:r>
        <w:rPr>
          <w:rFonts w:ascii="Arial" w:cs="Arial" w:eastAsia="Arial" w:hAnsi="Arial"/>
          <w:sz w:val="16"/>
          <w:szCs w:val="16"/>
          <w:color w:val="auto"/>
        </w:rPr>
        <w:t>AXS-07, is a novel, oral, investigational medicine with distinct dual mechanisms of action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w:t>
      </w:r>
      <w:r>
        <w:rPr>
          <w:rFonts w:ascii="Arial" w:cs="Arial" w:eastAsia="Arial" w:hAnsi="Arial"/>
          <w:sz w:val="26"/>
          <w:szCs w:val="26"/>
          <w:color w:val="auto"/>
          <w:vertAlign w:val="subscript"/>
        </w:rPr>
        <w:t>max</w:t>
      </w:r>
      <w:r>
        <w:rPr>
          <w:rFonts w:ascii="Arial" w:cs="Arial" w:eastAsia="Arial" w:hAnsi="Arial"/>
          <w:sz w:val="16"/>
          <w:szCs w:val="16"/>
          <w:color w:val="auto"/>
        </w:rPr>
        <w:t>, which delays its onset of action.</w:t>
      </w:r>
    </w:p>
    <w:p>
      <w:pPr>
        <w:spacing w:after="0" w:line="3" w:lineRule="exact"/>
        <w:rPr>
          <w:sz w:val="20"/>
          <w:szCs w:val="20"/>
          <w:color w:val="auto"/>
        </w:rPr>
      </w:pPr>
    </w:p>
    <w:p>
      <w:pPr>
        <w:ind w:right="140"/>
        <w:spacing w:after="0" w:line="208" w:lineRule="auto"/>
        <w:rPr>
          <w:sz w:val="20"/>
          <w:szCs w:val="20"/>
          <w:color w:val="auto"/>
        </w:rPr>
      </w:pPr>
      <w:r>
        <w:rPr>
          <w:rFonts w:ascii="Arial" w:cs="Arial" w:eastAsia="Arial" w:hAnsi="Arial"/>
          <w:sz w:val="16"/>
          <w:szCs w:val="16"/>
          <w:color w:val="auto"/>
        </w:rPr>
        <w:t>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w:t>
      </w:r>
      <w:r>
        <w:rPr>
          <w:rFonts w:ascii="Arial" w:cs="Arial" w:eastAsia="Arial" w:hAnsi="Arial"/>
          <w:sz w:val="26"/>
          <w:szCs w:val="26"/>
          <w:color w:val="auto"/>
          <w:vertAlign w:val="subscript"/>
        </w:rPr>
        <w:t>1B/D</w:t>
      </w:r>
      <w:r>
        <w:rPr>
          <w:rFonts w:ascii="Arial" w:cs="Arial" w:eastAsia="Arial" w:hAnsi="Arial"/>
          <w:sz w:val="16"/>
          <w:szCs w:val="16"/>
          <w:color w:val="auto"/>
        </w:rPr>
        <w:t xml:space="preserve"> agonist that inhibits calcitonin gene-related peptide-, or CGRP-</w:t>
      </w:r>
    </w:p>
    <w:p>
      <w:pPr>
        <w:spacing w:after="0" w:line="3" w:lineRule="exact"/>
        <w:rPr>
          <w:sz w:val="20"/>
          <w:szCs w:val="20"/>
          <w:color w:val="auto"/>
        </w:rPr>
      </w:pPr>
    </w:p>
    <w:p>
      <w:pPr>
        <w:ind w:right="40"/>
        <w:spacing w:after="0" w:line="231" w:lineRule="auto"/>
        <w:rPr>
          <w:sz w:val="20"/>
          <w:szCs w:val="20"/>
          <w:color w:val="auto"/>
        </w:rPr>
      </w:pPr>
      <w:r>
        <w:rPr>
          <w:rFonts w:ascii="Arial" w:cs="Arial" w:eastAsia="Arial" w:hAnsi="Arial"/>
          <w:sz w:val="17"/>
          <w:szCs w:val="17"/>
          <w:color w:val="auto"/>
        </w:rPr>
        <w:t>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2" w:lineRule="exact"/>
        <w:rPr>
          <w:sz w:val="20"/>
          <w:szCs w:val="20"/>
          <w:color w:val="auto"/>
        </w:rPr>
      </w:pPr>
    </w:p>
    <w:p>
      <w:pPr>
        <w:ind w:right="60" w:firstLine="648"/>
        <w:spacing w:after="0" w:line="241" w:lineRule="auto"/>
        <w:rPr>
          <w:sz w:val="20"/>
          <w:szCs w:val="20"/>
          <w:color w:val="auto"/>
        </w:rPr>
      </w:pPr>
      <w:r>
        <w:rPr>
          <w:rFonts w:ascii="Arial" w:cs="Arial" w:eastAsia="Arial" w:hAnsi="Arial"/>
          <w:sz w:val="16"/>
          <w:szCs w:val="16"/>
          <w:color w:val="auto"/>
        </w:rPr>
        <w:t xml:space="preserve">AXS-09 is a novel, oral, investigational medicine consisting of esbupropion and DM, which is being developed for the treatment of CNS disorders. AXS-09 contains esbupropion, the chirally pure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jc w:val="both"/>
        <w:ind w:right="80" w:firstLine="648"/>
        <w:spacing w:after="0" w:line="235" w:lineRule="auto"/>
        <w:rPr>
          <w:sz w:val="20"/>
          <w:szCs w:val="20"/>
          <w:color w:val="auto"/>
        </w:rPr>
      </w:pPr>
      <w:r>
        <w:rPr>
          <w:rFonts w:ascii="Arial" w:cs="Arial" w:eastAsia="Arial" w:hAnsi="Arial"/>
          <w:sz w:val="16"/>
          <w:szCs w:val="16"/>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preliminary clinical results in narcolepsy, and an extensive positive clinical safety record.</w:t>
      </w:r>
    </w:p>
    <w:p>
      <w:pPr>
        <w:spacing w:after="0" w:line="2"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color w:val="auto"/>
        </w:rPr>
        <w:t>Reboxetine, the active agent in AXS-12, significantly and dose-dependently reduced narcoleptic episodes in hypocretin-, or orexin-deficient mice, a well-established genetic animal model of narcolepsy.</w:t>
      </w:r>
    </w:p>
    <w:p>
      <w:pPr>
        <w:spacing w:after="0" w:line="161"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The Axsome PPC houses Axsome’s pain and primary care assets, including AXS-02 and AXS-06, and intellectual property which covers these and related product candidates and molecules being developed by Axsome and others. AXS-02 is being developed for the treatment of knee osteoarthritis, or OA, associated with bone marrow lesions, or BMLs, and chronic low back pain, or CLBP, associated with Modic changes, or MCs. Lastly, AXS-06 is being developed for the treatment of osteoarthritis and rheumatoid arthritis and for the reduction of the risk of NSAID-associated gastrointestinal ulcers.</w:t>
      </w:r>
    </w:p>
    <w:p>
      <w:pPr>
        <w:spacing w:after="0" w:line="162"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AXS</w:t>
      </w:r>
      <w:r>
        <w:rPr>
          <w:rFonts w:ascii="MS PGothic" w:cs="MS PGothic" w:eastAsia="MS PGothic" w:hAnsi="MS PGothic"/>
          <w:sz w:val="17"/>
          <w:szCs w:val="17"/>
          <w:color w:val="auto"/>
        </w:rPr>
        <w:t>‑</w:t>
      </w:r>
      <w:r>
        <w:rPr>
          <w:rFonts w:ascii="Arial" w:cs="Arial" w:eastAsia="Arial" w:hAnsi="Arial"/>
          <w:sz w:val="17"/>
          <w:szCs w:val="17"/>
          <w:color w:val="auto"/>
        </w:rPr>
        <w:t>02, disodium zoledronate tetrahydrate, is a potentially first</w:t>
      </w:r>
      <w:r>
        <w:rPr>
          <w:rFonts w:ascii="MS PGothic" w:cs="MS PGothic" w:eastAsia="MS PGothic" w:hAnsi="MS PGothic"/>
          <w:sz w:val="17"/>
          <w:szCs w:val="17"/>
          <w:color w:val="auto"/>
        </w:rPr>
        <w:t>‑</w:t>
      </w:r>
      <w:r>
        <w:rPr>
          <w:rFonts w:ascii="Arial" w:cs="Arial" w:eastAsia="Arial" w:hAnsi="Arial"/>
          <w:sz w:val="17"/>
          <w:szCs w:val="17"/>
          <w:color w:val="auto"/>
        </w:rPr>
        <w:t>in</w:t>
      </w:r>
      <w:r>
        <w:rPr>
          <w:rFonts w:ascii="MS PGothic" w:cs="MS PGothic" w:eastAsia="MS PGothic" w:hAnsi="MS PGothic"/>
          <w:sz w:val="17"/>
          <w:szCs w:val="17"/>
          <w:color w:val="auto"/>
        </w:rPr>
        <w:t>‑</w:t>
      </w:r>
      <w:r>
        <w:rPr>
          <w:rFonts w:ascii="Arial" w:cs="Arial" w:eastAsia="Arial" w:hAnsi="Arial"/>
          <w:sz w:val="17"/>
          <w:szCs w:val="17"/>
          <w:color w:val="auto"/>
        </w:rPr>
        <w:t>class, oral, targeted, non</w:t>
      </w:r>
      <w:r>
        <w:rPr>
          <w:rFonts w:ascii="MS PGothic" w:cs="MS PGothic" w:eastAsia="MS PGothic" w:hAnsi="MS PGothic"/>
          <w:sz w:val="17"/>
          <w:szCs w:val="17"/>
          <w:color w:val="auto"/>
        </w:rPr>
        <w:t>‑</w:t>
      </w:r>
      <w:r>
        <w:rPr>
          <w:rFonts w:ascii="Arial" w:cs="Arial" w:eastAsia="Arial" w:hAnsi="Arial"/>
          <w:sz w:val="17"/>
          <w:szCs w:val="17"/>
          <w:color w:val="auto"/>
        </w:rPr>
        <w:t>opioid therapeutic for chronic pain. AXS</w:t>
      </w:r>
      <w:r>
        <w:rPr>
          <w:rFonts w:ascii="MS PGothic" w:cs="MS PGothic" w:eastAsia="MS PGothic" w:hAnsi="MS PGothic"/>
          <w:sz w:val="17"/>
          <w:szCs w:val="17"/>
          <w:color w:val="auto"/>
        </w:rPr>
        <w:t>‑</w:t>
      </w:r>
      <w:r>
        <w:rPr>
          <w:rFonts w:ascii="Arial" w:cs="Arial" w:eastAsia="Arial" w:hAnsi="Arial"/>
          <w:sz w:val="17"/>
          <w:szCs w:val="17"/>
          <w:color w:val="auto"/>
        </w:rPr>
        <w:t>02 is a potent inhibitor of osteoclasts, which are bone remodeling cells that break down bone tissue. We are developing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7"/>
          <w:szCs w:val="17"/>
          <w:color w:val="auto"/>
        </w:rPr>
        <w:t>‑</w:t>
      </w:r>
      <w:r>
        <w:rPr>
          <w:rFonts w:ascii="Arial" w:cs="Arial" w:eastAsia="Arial" w:hAnsi="Arial"/>
          <w:sz w:val="17"/>
          <w:szCs w:val="17"/>
          <w:color w:val="auto"/>
        </w:rPr>
        <w:t>02, such as inhibition of osteoclast activity. These mechanisms may result in a reduction of pain in these conditions. We intend to seek FDA approval for AXS</w:t>
      </w:r>
      <w:r>
        <w:rPr>
          <w:rFonts w:ascii="MS PGothic" w:cs="MS PGothic" w:eastAsia="MS PGothic" w:hAnsi="MS PGothic"/>
          <w:sz w:val="17"/>
          <w:szCs w:val="17"/>
          <w:color w:val="auto"/>
        </w:rPr>
        <w:t>‑</w:t>
      </w:r>
      <w:r>
        <w:rPr>
          <w:rFonts w:ascii="Arial" w:cs="Arial" w:eastAsia="Arial" w:hAnsi="Arial"/>
          <w:sz w:val="17"/>
          <w:szCs w:val="17"/>
          <w:color w:val="auto"/>
        </w:rPr>
        <w:t>02 utilizing the 505(b)(2) regulatory development pathway.</w:t>
      </w:r>
    </w:p>
    <w:p>
      <w:pPr>
        <w:spacing w:after="0" w:line="162" w:lineRule="exact"/>
        <w:rPr>
          <w:sz w:val="20"/>
          <w:szCs w:val="20"/>
          <w:color w:val="auto"/>
        </w:rPr>
      </w:pPr>
    </w:p>
    <w:p>
      <w:pPr>
        <w:ind w:right="20" w:firstLine="648"/>
        <w:spacing w:after="0" w:line="222" w:lineRule="auto"/>
        <w:rPr>
          <w:sz w:val="20"/>
          <w:szCs w:val="20"/>
          <w:color w:val="auto"/>
        </w:rPr>
      </w:pPr>
      <w:r>
        <w:rPr>
          <w:rFonts w:ascii="Arial" w:cs="Arial" w:eastAsia="Arial" w:hAnsi="Arial"/>
          <w:sz w:val="16"/>
          <w:szCs w:val="16"/>
          <w:color w:val="auto"/>
        </w:rPr>
        <w:t>AXS-06, is a novel, oral, non-opioid, fixed-dose combination of MoSEIC™ meloxicam and esomeprazole. We are developing AXS-06 initially for the treatment of osteoarthritis and rheumatoid arthritis. Esomeprazole is a proton pump inhibitor which lowers stomach acidity and which has been shown to reduce the occurrence of NSAID-associated gastrointestinal ulcers. AXS-06 is designed to provide rapid, effective pain relief, and to reduce the risk of NSAID-associated gastrointestinal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w:t>
      </w:r>
    </w:p>
    <w:p>
      <w:pPr>
        <w:spacing w:after="0" w:line="1"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06 as compared to standard meloxicam. We intend to seek FDA approval for AXS-06 utilizing the 505(b)(2) regulatory development pathway.</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 and subsequent to our IPO, through proceeds from sales of our common stock and warrants to purchase shares of our common stock to equity investors and debt borrowings. For a further discussion, see the section entitled “Liquidity and Capital Resources” below.</w:t>
      </w:r>
    </w:p>
    <w:p>
      <w:pPr>
        <w:spacing w:after="0" w:line="122"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1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have incurred significant operating expenses and net losses since inception. We incurred net losses of</w:t>
      </w:r>
    </w:p>
    <w:p>
      <w:pPr>
        <w:spacing w:after="0" w:line="215" w:lineRule="auto"/>
        <w:rPr>
          <w:sz w:val="20"/>
          <w:szCs w:val="20"/>
          <w:color w:val="auto"/>
        </w:rPr>
      </w:pPr>
      <w:r>
        <w:rPr>
          <w:rFonts w:ascii="Arial" w:cs="Arial" w:eastAsia="Arial" w:hAnsi="Arial"/>
          <w:sz w:val="17"/>
          <w:szCs w:val="17"/>
          <w:color w:val="auto"/>
        </w:rPr>
        <w:t>$43.5 million and $21.4 million for the nine months ended September 30, 2019 and 2018, respectively. Our accumulated</w:t>
      </w:r>
    </w:p>
    <w:p>
      <w:pPr>
        <w:spacing w:after="0" w:line="229" w:lineRule="auto"/>
        <w:rPr>
          <w:sz w:val="20"/>
          <w:szCs w:val="20"/>
          <w:color w:val="auto"/>
        </w:rPr>
      </w:pPr>
      <w:r>
        <w:rPr>
          <w:rFonts w:ascii="Arial" w:cs="Arial" w:eastAsia="Arial" w:hAnsi="Arial"/>
          <w:sz w:val="16"/>
          <w:szCs w:val="16"/>
          <w:color w:val="auto"/>
        </w:rPr>
        <w:t>deficit as of September 30, 2019 was $151.1 million, and we expect to incur significant expenses and increasing operating</w:t>
      </w:r>
    </w:p>
    <w:p>
      <w:pPr>
        <w:spacing w:after="0" w:line="216" w:lineRule="auto"/>
        <w:rPr>
          <w:sz w:val="20"/>
          <w:szCs w:val="20"/>
          <w:color w:val="auto"/>
        </w:rPr>
      </w:pPr>
      <w:r>
        <w:rPr>
          <w:rFonts w:ascii="Arial" w:cs="Arial" w:eastAsia="Arial" w:hAnsi="Arial"/>
          <w:sz w:val="17"/>
          <w:szCs w:val="17"/>
          <w:color w:val="auto"/>
        </w:rPr>
        <w:t>losses for the foreseeable future. We expect our expenses to increase in connection with our ongoing activities, as we</w:t>
      </w:r>
    </w:p>
    <w:p>
      <w:pPr>
        <w:spacing w:after="0" w:line="229" w:lineRule="auto"/>
        <w:rPr>
          <w:sz w:val="20"/>
          <w:szCs w:val="20"/>
          <w:color w:val="auto"/>
        </w:rPr>
      </w:pPr>
      <w:r>
        <w:rPr>
          <w:rFonts w:ascii="Arial" w:cs="Arial" w:eastAsia="Arial" w:hAnsi="Arial"/>
          <w:sz w:val="16"/>
          <w:szCs w:val="16"/>
          <w:color w:val="auto"/>
        </w:rPr>
        <w:t>continue the development and clinical trials of, and seek regulatory approval for our current product candidates and any other</w:t>
      </w:r>
    </w:p>
    <w:p>
      <w:pPr>
        <w:spacing w:after="0" w:line="176" w:lineRule="exact"/>
        <w:rPr>
          <w:sz w:val="20"/>
          <w:szCs w:val="20"/>
          <w:color w:val="auto"/>
        </w:rPr>
      </w:pPr>
      <w:r>
        <w:rPr>
          <w:rFonts w:ascii="Arial" w:cs="Arial" w:eastAsia="Arial" w:hAnsi="Arial"/>
          <w:sz w:val="16"/>
          <w:szCs w:val="16"/>
          <w:color w:val="auto"/>
        </w:rPr>
        <w:t>product candidates that we develop or 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w:t>
      </w:r>
    </w:p>
    <w:p>
      <w:pPr>
        <w:spacing w:after="0" w:line="203" w:lineRule="auto"/>
        <w:rPr>
          <w:sz w:val="20"/>
          <w:szCs w:val="20"/>
          <w:color w:val="auto"/>
        </w:rPr>
      </w:pPr>
      <w:r>
        <w:rPr>
          <w:rFonts w:ascii="Arial" w:cs="Arial" w:eastAsia="Arial" w:hAnsi="Arial"/>
          <w:sz w:val="18"/>
          <w:szCs w:val="18"/>
          <w:color w:val="auto"/>
        </w:rPr>
        <w:t>product candidate, we expect to incur significant expenses in order to create an infrastructure to support the</w:t>
      </w:r>
    </w:p>
    <w:p>
      <w:pPr>
        <w:spacing w:after="0" w:line="229" w:lineRule="auto"/>
        <w:rPr>
          <w:sz w:val="20"/>
          <w:szCs w:val="20"/>
          <w:color w:val="auto"/>
        </w:rPr>
      </w:pPr>
      <w:r>
        <w:rPr>
          <w:rFonts w:ascii="Arial" w:cs="Arial" w:eastAsia="Arial" w:hAnsi="Arial"/>
          <w:sz w:val="16"/>
          <w:szCs w:val="16"/>
          <w:color w:val="auto"/>
        </w:rPr>
        <w:t>commercialization of the product candidate, including manufacturing, sales, marketing, and distribution functions. Further,</w:t>
      </w:r>
    </w:p>
    <w:p>
      <w:pPr>
        <w:spacing w:after="0" w:line="229" w:lineRule="auto"/>
        <w:rPr>
          <w:sz w:val="20"/>
          <w:szCs w:val="20"/>
          <w:color w:val="auto"/>
        </w:rPr>
      </w:pPr>
      <w:r>
        <w:rPr>
          <w:rFonts w:ascii="Arial" w:cs="Arial" w:eastAsia="Arial" w:hAnsi="Arial"/>
          <w:sz w:val="16"/>
          <w:szCs w:val="16"/>
          <w:color w:val="auto"/>
        </w:rPr>
        <w:t>we have incurred and will continue to incur additional costs associated with operating as a public company. Accordingly, we</w:t>
      </w:r>
    </w:p>
    <w:p>
      <w:pPr>
        <w:spacing w:after="0" w:line="216" w:lineRule="auto"/>
        <w:rPr>
          <w:sz w:val="20"/>
          <w:szCs w:val="20"/>
          <w:color w:val="auto"/>
        </w:rPr>
      </w:pPr>
      <w:r>
        <w:rPr>
          <w:rFonts w:ascii="Arial" w:cs="Arial" w:eastAsia="Arial" w:hAnsi="Arial"/>
          <w:sz w:val="17"/>
          <w:szCs w:val="17"/>
          <w:color w:val="auto"/>
        </w:rPr>
        <w:t>will need additional financing to support our continuing operations. We will seek to fund our operations through public or</w:t>
      </w:r>
    </w:p>
    <w:p>
      <w:pPr>
        <w:spacing w:after="0" w:line="215" w:lineRule="auto"/>
        <w:rPr>
          <w:sz w:val="20"/>
          <w:szCs w:val="20"/>
          <w:color w:val="auto"/>
        </w:rPr>
      </w:pPr>
      <w:r>
        <w:rPr>
          <w:rFonts w:ascii="Arial" w:cs="Arial" w:eastAsia="Arial" w:hAnsi="Arial"/>
          <w:sz w:val="17"/>
          <w:szCs w:val="17"/>
          <w:color w:val="auto"/>
        </w:rPr>
        <w:t>private equity, debt financings or other sources. Adequate additional financing may not be available to us on acceptable</w:t>
      </w:r>
    </w:p>
    <w:p>
      <w:pPr>
        <w:spacing w:after="0" w:line="230" w:lineRule="auto"/>
        <w:rPr>
          <w:sz w:val="20"/>
          <w:szCs w:val="20"/>
          <w:color w:val="auto"/>
        </w:rPr>
      </w:pPr>
      <w:r>
        <w:rPr>
          <w:rFonts w:ascii="Arial" w:cs="Arial" w:eastAsia="Arial" w:hAnsi="Arial"/>
          <w:sz w:val="16"/>
          <w:szCs w:val="16"/>
          <w:color w:val="auto"/>
        </w:rPr>
        <w:t>terms, or at all. Our failure to raise capital as and when needed would have a negative impact on our financial condition and</w:t>
      </w:r>
    </w:p>
    <w:p>
      <w:pPr>
        <w:spacing w:after="0" w:line="229" w:lineRule="auto"/>
        <w:rPr>
          <w:sz w:val="20"/>
          <w:szCs w:val="20"/>
          <w:color w:val="auto"/>
        </w:rPr>
      </w:pPr>
      <w:r>
        <w:rPr>
          <w:rFonts w:ascii="Arial" w:cs="Arial" w:eastAsia="Arial" w:hAnsi="Arial"/>
          <w:sz w:val="16"/>
          <w:szCs w:val="16"/>
          <w:color w:val="auto"/>
        </w:rPr>
        <w:t>our ability to pursue our business strategy. We will need to generate significant revenue to achieve profitability, and we may</w:t>
      </w:r>
    </w:p>
    <w:p>
      <w:pPr>
        <w:spacing w:after="0"/>
        <w:rPr>
          <w:sz w:val="20"/>
          <w:szCs w:val="20"/>
          <w:color w:val="auto"/>
        </w:rPr>
      </w:pPr>
      <w:r>
        <w:rPr>
          <w:rFonts w:ascii="Arial" w:cs="Arial" w:eastAsia="Arial" w:hAnsi="Arial"/>
          <w:sz w:val="18"/>
          <w:szCs w:val="18"/>
          <w:color w:val="auto"/>
        </w:rPr>
        <w:t>never do so.</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 and Recent Developments</w:t>
      </w:r>
    </w:p>
    <w:p>
      <w:pPr>
        <w:spacing w:after="0" w:line="189"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In January 2019, we announced that AXS-05 met the prespecified primary endpoint and significantly improved symptoms of depression in the ASCEND study.</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January 2019, we received approximately $25.8 million in gross proceeds, of which net proceeds were approximately $25.0 million through the sale of 3,164,015 shares under the existing at-the-market facility with SVB Leerink (formerly Leerink Partners LLC), or Leerink. Upon completion of the final sale fully exhausting the $30 million of shares available for sale, the Sales Agreement was automatically terminated. Please see the section entitled “Liquidity and Capital Resources” below for a further discussion.</w:t>
      </w:r>
    </w:p>
    <w:p>
      <w:pPr>
        <w:spacing w:after="0" w:line="162"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 January 2019, we initiated the CONCERT study, a Phase 2 randomized, double-blind, controlled trial to evaluate the efficacy and safety of AXS-12 in narcolepsy.</w:t>
      </w:r>
    </w:p>
    <w:p>
      <w:pPr>
        <w:spacing w:after="0" w:line="162"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In March 2019, we initiated the MOMENTUM study, a Phase 3, randomized, double-blind, multicenter, controlled trial to assess the efficacy and safety of AXS-07 in the acute treatment of migraine.</w:t>
      </w:r>
    </w:p>
    <w:p>
      <w:pPr>
        <w:spacing w:after="0" w:line="162" w:lineRule="exact"/>
        <w:rPr>
          <w:sz w:val="20"/>
          <w:szCs w:val="20"/>
          <w:color w:val="auto"/>
        </w:rPr>
      </w:pPr>
    </w:p>
    <w:p>
      <w:pPr>
        <w:ind w:firstLine="648"/>
        <w:spacing w:after="0" w:line="219" w:lineRule="auto"/>
        <w:rPr>
          <w:sz w:val="20"/>
          <w:szCs w:val="20"/>
          <w:color w:val="auto"/>
        </w:rPr>
      </w:pPr>
      <w:r>
        <w:rPr>
          <w:rFonts w:ascii="Arial" w:cs="Arial" w:eastAsia="Arial" w:hAnsi="Arial"/>
          <w:sz w:val="18"/>
          <w:szCs w:val="18"/>
          <w:color w:val="auto"/>
        </w:rPr>
        <w:t>In March 2019, we entered into a $24.0 million growth capital term loan facility, which we refer to as the 2019 Term Loan, with Silicon Valley Bank, or SVB, and WestRiver Innovation Lending Fund VIII, L.P., or WestRiver. Further, in July 2019, the 2019 Term Loan was amended. Please see the section entitled “Liquidity and Capital Resources” below for a further discussion.</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March 2019, we received FDA Breakthrough Therapy designation for AXS-05 for the treatment of MDD.</w:t>
      </w:r>
    </w:p>
    <w:p>
      <w:pPr>
        <w:spacing w:after="0" w:line="196" w:lineRule="exact"/>
        <w:rPr>
          <w:sz w:val="20"/>
          <w:szCs w:val="20"/>
          <w:color w:val="auto"/>
        </w:rPr>
      </w:pPr>
    </w:p>
    <w:p>
      <w:pPr>
        <w:ind w:right="580" w:firstLine="648"/>
        <w:spacing w:after="0" w:line="235" w:lineRule="auto"/>
        <w:rPr>
          <w:sz w:val="20"/>
          <w:szCs w:val="20"/>
          <w:color w:val="auto"/>
        </w:rPr>
      </w:pPr>
      <w:r>
        <w:rPr>
          <w:rFonts w:ascii="Arial" w:cs="Arial" w:eastAsia="Arial" w:hAnsi="Arial"/>
          <w:sz w:val="18"/>
          <w:szCs w:val="18"/>
          <w:color w:val="auto"/>
        </w:rPr>
        <w:t>In April 2019, we announced that AXS-05 met the prespecified primary endpoint in Phase 2 trial in smoking cessation.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In May 2019, we announced expedited development and pivotal status for AXS-05 for the treatment of MDD based on an FDA Breakthrough Therapy meeting.</w:t>
      </w:r>
    </w:p>
    <w:p>
      <w:pPr>
        <w:spacing w:after="0" w:line="162"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In May 2019, we announced the acceleration of the timeline for reporting topline results from the MOMENTUM Phase 3 trial of AXS-07 for the acute treatment of migraine.</w:t>
      </w:r>
    </w:p>
    <w:p>
      <w:pPr>
        <w:spacing w:after="0" w:line="14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In May 2019, we entered into a new sales agreement with Leerink with respect to an at the market offering</w:t>
      </w:r>
    </w:p>
    <w:p>
      <w:pPr>
        <w:spacing w:after="0" w:line="229" w:lineRule="auto"/>
        <w:rPr>
          <w:sz w:val="20"/>
          <w:szCs w:val="20"/>
          <w:color w:val="auto"/>
        </w:rPr>
      </w:pPr>
      <w:r>
        <w:rPr>
          <w:rFonts w:ascii="Arial" w:cs="Arial" w:eastAsia="Arial" w:hAnsi="Arial"/>
          <w:sz w:val="16"/>
          <w:szCs w:val="16"/>
          <w:color w:val="auto"/>
        </w:rPr>
        <w:t>program, which we refer to as the 2019 Sales Agreement, under which we may, from time to time in our sole discretion, issue</w:t>
      </w:r>
    </w:p>
    <w:p>
      <w:pPr>
        <w:spacing w:after="0" w:line="229" w:lineRule="auto"/>
        <w:rPr>
          <w:sz w:val="20"/>
          <w:szCs w:val="20"/>
          <w:color w:val="auto"/>
        </w:rPr>
      </w:pPr>
      <w:r>
        <w:rPr>
          <w:rFonts w:ascii="Arial" w:cs="Arial" w:eastAsia="Arial" w:hAnsi="Arial"/>
          <w:sz w:val="16"/>
          <w:szCs w:val="16"/>
          <w:color w:val="auto"/>
        </w:rPr>
        <w:t>and sell through Leerink, acting as agent, up to $50.0 million of shares of our common stock. We received approximately</w:t>
      </w:r>
    </w:p>
    <w:p>
      <w:pPr>
        <w:spacing w:after="0" w:line="229" w:lineRule="auto"/>
        <w:rPr>
          <w:sz w:val="20"/>
          <w:szCs w:val="20"/>
          <w:color w:val="auto"/>
        </w:rPr>
      </w:pPr>
      <w:r>
        <w:rPr>
          <w:rFonts w:ascii="Arial" w:cs="Arial" w:eastAsia="Arial" w:hAnsi="Arial"/>
          <w:sz w:val="16"/>
          <w:szCs w:val="16"/>
          <w:color w:val="auto"/>
        </w:rPr>
        <w:t>$20.1 million in gross proceeds through the sale of 942,285 shares, of which net proceeds were approximately $19.5 million</w:t>
      </w:r>
    </w:p>
    <w:p>
      <w:pPr>
        <w:spacing w:after="0"/>
        <w:rPr>
          <w:sz w:val="20"/>
          <w:szCs w:val="20"/>
          <w:color w:val="auto"/>
        </w:rPr>
      </w:pPr>
      <w:r>
        <w:rPr>
          <w:rFonts w:ascii="Arial" w:cs="Arial" w:eastAsia="Arial" w:hAnsi="Arial"/>
          <w:sz w:val="18"/>
          <w:szCs w:val="18"/>
          <w:color w:val="auto"/>
        </w:rPr>
        <w:t>during the nine months ended September 30, 2019.</w:t>
      </w:r>
    </w:p>
    <w:p>
      <w:pPr>
        <w:spacing w:after="0" w:line="169"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In June 2019, we initiated the GEMINI study, a Phase 3, randomized, double-blind, multicenter, placebo-controlled trial of AXS-05 in the treatment of MDD.</w:t>
      </w:r>
    </w:p>
    <w:p>
      <w:pPr>
        <w:spacing w:after="0" w:line="162"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In July 2019, we announced that we are enrolling two open-label studies in order to build safety databases of patients to support the filing of a New Drug Application, or NDA for (i) AXS-05 in the treatment of MDD and (ii) AXS-07 in the acute treatment of migraine.</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August 2019, we announced that David Marek has been appointed as our Chief Commercial Officer.</w:t>
      </w:r>
    </w:p>
    <w:p>
      <w:pPr>
        <w:spacing w:after="0" w:line="185"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September 2019, we announced positive results from a Phase 1 pharmacokinetic trial of AXS-07, a novel, oral, investigational medicine with distinct dual mechanisms of action being developed for the acute treatment of migraine.</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October 2019, we announced the completion of patient enrollment in our GEMINI and CONCERT studies.</w:t>
      </w:r>
    </w:p>
    <w:p>
      <w:pPr>
        <w:spacing w:after="0" w:line="196" w:lineRule="exact"/>
        <w:rPr>
          <w:sz w:val="20"/>
          <w:szCs w:val="20"/>
          <w:color w:val="auto"/>
        </w:rPr>
      </w:pPr>
    </w:p>
    <w:p>
      <w:pPr>
        <w:ind w:right="240" w:firstLine="648"/>
        <w:spacing w:after="0" w:line="235" w:lineRule="auto"/>
        <w:rPr>
          <w:sz w:val="20"/>
          <w:szCs w:val="20"/>
          <w:color w:val="auto"/>
        </w:rPr>
      </w:pPr>
      <w:r>
        <w:rPr>
          <w:rFonts w:ascii="Arial" w:cs="Arial" w:eastAsia="Arial" w:hAnsi="Arial"/>
          <w:sz w:val="18"/>
          <w:szCs w:val="18"/>
          <w:color w:val="auto"/>
        </w:rPr>
        <w:t>In October 2019, we initiated the INTERCEPT study, a Phase 3, randomized, double-blind, multicenter, placebo-controlled trial evaluating the early treatment of migraine with AXS-07.</w:t>
      </w:r>
    </w:p>
    <w:p>
      <w:pPr>
        <w:spacing w:after="0" w:line="162"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In October 2019, we announced the results of the MINDSET physician survey, which affirms the unmet need and favorable profile of AXS-07 in the acute treatment of migraine.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360" w:firstLine="648"/>
        <w:spacing w:after="0" w:line="189"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34" w:lineRule="auto"/>
        <w:rPr>
          <w:sz w:val="20"/>
          <w:szCs w:val="20"/>
          <w:color w:val="auto"/>
        </w:rPr>
      </w:pPr>
      <w:r>
        <w:rPr>
          <w:rFonts w:ascii="Arial" w:cs="Arial" w:eastAsia="Arial" w:hAnsi="Arial"/>
          <w:sz w:val="16"/>
          <w:szCs w:val="16"/>
          <w:color w:val="auto"/>
        </w:rPr>
        <w:t>Research and development activities are central to our business model. We will incur substantial costs beyond our present and planned clinical trials in order to file an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our unaudited interim consolidated financial statements.</w:t>
      </w:r>
    </w:p>
    <w:p>
      <w:pPr>
        <w:spacing w:after="0" w:line="170"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our unaudited interim consolidated financial statements if these results differ from historical experience, or other assumptions do not turn out to be substantially accurate, even if such assumptions are reasonable when made.</w:t>
      </w:r>
    </w:p>
    <w:p>
      <w:pPr>
        <w:spacing w:after="0" w:line="168"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following table summarizes our research and development expenses for our primary programs for the three and nine months ended September 30, 2019 and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right"/>
              <w:ind w:right="29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22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w w:val="90"/>
              </w:rPr>
              <w:t>Nine months ended</w:t>
            </w:r>
          </w:p>
        </w:tc>
      </w:tr>
      <w:tr>
        <w:trPr>
          <w:trHeight w:val="162"/>
        </w:trPr>
        <w:tc>
          <w:tcPr>
            <w:tcW w:w="3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2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4"/>
                <w:szCs w:val="14"/>
                <w:color w:val="auto"/>
              </w:rPr>
            </w:pPr>
          </w:p>
        </w:tc>
        <w:tc>
          <w:tcPr>
            <w:tcW w:w="22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September 30,</w:t>
            </w:r>
          </w:p>
        </w:tc>
      </w:tr>
      <w:tr>
        <w:trPr>
          <w:trHeight w:val="129"/>
        </w:trPr>
        <w:tc>
          <w:tcPr>
            <w:tcW w:w="3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2019</w:t>
            </w:r>
          </w:p>
        </w:tc>
        <w:tc>
          <w:tcPr>
            <w:tcW w:w="1040" w:type="dxa"/>
            <w:vAlign w:val="bottom"/>
            <w:tcBorders>
              <w:top w:val="single" w:sz="8" w:color="auto"/>
            </w:tcBorders>
            <w:gridSpan w:val="2"/>
          </w:tcPr>
          <w:p>
            <w:pPr>
              <w:jc w:val="right"/>
              <w:ind w:right="210"/>
              <w:spacing w:after="0" w:line="129"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1"/>
                <w:szCs w:val="11"/>
                <w:color w:val="auto"/>
              </w:rPr>
            </w:pPr>
          </w:p>
        </w:tc>
        <w:tc>
          <w:tcPr>
            <w:tcW w:w="980" w:type="dxa"/>
            <w:vAlign w:val="bottom"/>
            <w:tcBorders>
              <w:top w:val="single" w:sz="8" w:color="auto"/>
            </w:tcBorders>
          </w:tcPr>
          <w:p>
            <w:pPr>
              <w:jc w:val="right"/>
              <w:ind w:right="264"/>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r>
      <w:tr>
        <w:trPr>
          <w:trHeight w:val="129"/>
        </w:trPr>
        <w:tc>
          <w:tcPr>
            <w:tcW w:w="3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AXS-05</w:t>
            </w:r>
          </w:p>
        </w:tc>
        <w:tc>
          <w:tcPr>
            <w:tcW w:w="9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7,829,826</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$ 3,453,303</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$ 15,491,879</w:t>
            </w:r>
          </w:p>
        </w:tc>
        <w:tc>
          <w:tcPr>
            <w:tcW w:w="14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9,847,722</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6,177,098</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1,226,328</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13,914,286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2,095,683</w:t>
            </w:r>
          </w:p>
        </w:tc>
        <w:tc>
          <w:tcPr>
            <w:tcW w:w="140" w:type="dxa"/>
            <w:vAlign w:val="bottom"/>
          </w:tcPr>
          <w:p>
            <w:pPr>
              <w:spacing w:after="0"/>
              <w:rPr>
                <w:sz w:val="15"/>
                <w:szCs w:val="15"/>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AXS-12</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487,703</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7,914</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1,363,852</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7,914</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AXS-02</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174,253</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34,539</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264,155</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507,074</w:t>
            </w:r>
          </w:p>
        </w:tc>
        <w:tc>
          <w:tcPr>
            <w:tcW w:w="140" w:type="dxa"/>
            <w:vAlign w:val="bottom"/>
          </w:tcPr>
          <w:p>
            <w:pPr>
              <w:spacing w:after="0"/>
              <w:rPr>
                <w:sz w:val="15"/>
                <w:szCs w:val="15"/>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3,650</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3,671</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8,126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63,844</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876,809</w:t>
            </w:r>
          </w:p>
        </w:tc>
        <w:tc>
          <w:tcPr>
            <w:tcW w:w="10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1,224,134</w:t>
            </w:r>
          </w:p>
        </w:tc>
        <w:tc>
          <w:tcPr>
            <w:tcW w:w="11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2,746,832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w w:val="99"/>
              </w:rPr>
              <w:t>3,509,833</w:t>
            </w:r>
          </w:p>
        </w:tc>
        <w:tc>
          <w:tcPr>
            <w:tcW w:w="140" w:type="dxa"/>
            <w:vAlign w:val="bottom"/>
          </w:tcPr>
          <w:p>
            <w:pPr>
              <w:spacing w:after="0"/>
              <w:rPr>
                <w:sz w:val="15"/>
                <w:szCs w:val="15"/>
                <w:color w:val="auto"/>
              </w:rPr>
            </w:pPr>
          </w:p>
        </w:tc>
      </w:tr>
      <w:tr>
        <w:trPr>
          <w:trHeight w:val="176"/>
        </w:trPr>
        <w:tc>
          <w:tcPr>
            <w:tcW w:w="38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286,234</w:t>
            </w:r>
          </w:p>
        </w:tc>
        <w:tc>
          <w:tcPr>
            <w:tcW w:w="10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90,891</w:t>
            </w:r>
          </w:p>
        </w:tc>
        <w:tc>
          <w:tcPr>
            <w:tcW w:w="11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652,666</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311,753</w:t>
            </w:r>
          </w:p>
        </w:tc>
        <w:tc>
          <w:tcPr>
            <w:tcW w:w="140" w:type="dxa"/>
            <w:vAlign w:val="bottom"/>
            <w:shd w:val="clear" w:color="auto" w:fill="CCEEFF"/>
          </w:tcPr>
          <w:p>
            <w:pPr>
              <w:spacing w:after="0"/>
              <w:rPr>
                <w:sz w:val="15"/>
                <w:szCs w:val="15"/>
                <w:color w:val="auto"/>
              </w:rPr>
            </w:pPr>
          </w:p>
        </w:tc>
      </w:tr>
      <w:tr>
        <w:trPr>
          <w:trHeight w:val="176"/>
        </w:trPr>
        <w:tc>
          <w:tcPr>
            <w:tcW w:w="380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8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15,835,573</w:t>
            </w:r>
          </w:p>
        </w:tc>
        <w:tc>
          <w:tcPr>
            <w:tcW w:w="140" w:type="dxa"/>
            <w:vAlign w:val="bottom"/>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6"/>
              </w:rPr>
              <w:t>$ 6,040,780</w:t>
            </w:r>
          </w:p>
        </w:tc>
        <w:tc>
          <w:tcPr>
            <w:tcW w:w="20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34,441,796</w:t>
            </w: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top w:val="single" w:sz="8" w:color="auto"/>
              <w:bottom w:val="single" w:sz="8" w:color="auto"/>
            </w:tcBorders>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88"/>
              </w:rPr>
              <w:t>16,343,823</w:t>
            </w:r>
          </w:p>
        </w:tc>
        <w:tc>
          <w:tcPr>
            <w:tcW w:w="140" w:type="dxa"/>
            <w:vAlign w:val="bottom"/>
          </w:tcPr>
          <w:p>
            <w:pPr>
              <w:spacing w:after="0"/>
              <w:rPr>
                <w:sz w:val="15"/>
                <w:szCs w:val="15"/>
                <w:color w:val="auto"/>
              </w:rPr>
            </w:pPr>
          </w:p>
        </w:tc>
      </w:tr>
    </w:tbl>
    <w:p>
      <w:pPr>
        <w:spacing w:after="0" w:line="148" w:lineRule="exact"/>
        <w:rPr>
          <w:sz w:val="20"/>
          <w:szCs w:val="20"/>
          <w:color w:val="auto"/>
        </w:rPr>
      </w:pPr>
    </w:p>
    <w:p>
      <w:pPr>
        <w:ind w:right="380" w:firstLine="648"/>
        <w:spacing w:after="0" w:line="249" w:lineRule="auto"/>
        <w:rPr>
          <w:sz w:val="20"/>
          <w:szCs w:val="20"/>
          <w:color w:val="auto"/>
        </w:rPr>
      </w:pPr>
      <w:r>
        <w:rPr>
          <w:rFonts w:ascii="Arial" w:cs="Arial" w:eastAsia="Arial" w:hAnsi="Arial"/>
          <w:sz w:val="16"/>
          <w:szCs w:val="16"/>
          <w:color w:val="auto"/>
        </w:rPr>
        <w:t>Other research and development expenses primarily consist of employee salaries and benefits, facilities and overhead costs. For the three and nine months ended September 30, 2019, the majority of employee salaries and benefits were allocated amongst the respective clinical development programs whereas for the three and nine months ended September 30, 2018, employee salaries and benefits were allocated to Other research and development expenses.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4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right="80" w:firstLine="648"/>
        <w:spacing w:after="0" w:line="184" w:lineRule="exact"/>
        <w:rPr>
          <w:sz w:val="20"/>
          <w:szCs w:val="20"/>
          <w:color w:val="auto"/>
        </w:rPr>
      </w:pPr>
      <w:r>
        <w:rPr>
          <w:rFonts w:ascii="Arial" w:cs="Arial" w:eastAsia="Arial" w:hAnsi="Arial"/>
          <w:sz w:val="16"/>
          <w:szCs w:val="16"/>
          <w:color w:val="auto"/>
        </w:rPr>
        <w:t>Interest and amortization of debt discount (expense) primarily consists of cash interest and non</w:t>
      </w:r>
      <w:r>
        <w:rPr>
          <w:rFonts w:ascii="MS PGothic" w:cs="MS PGothic" w:eastAsia="MS PGothic" w:hAnsi="MS PGothic"/>
          <w:sz w:val="16"/>
          <w:szCs w:val="16"/>
          <w:color w:val="auto"/>
        </w:rPr>
        <w:t>‑</w:t>
      </w:r>
      <w:r>
        <w:rPr>
          <w:rFonts w:ascii="Arial" w:cs="Arial" w:eastAsia="Arial" w:hAnsi="Arial"/>
          <w:sz w:val="16"/>
          <w:szCs w:val="16"/>
          <w:color w:val="auto"/>
        </w:rPr>
        <w:t>cash costs related to our term loan with SVB (see “Liquidity and Capital Resources” below for a further discussion). We record costs incurred in connection with the issuance of debt as a direct deduction from the debt liability. We amortize these costs over the term of our debt agreements in our consolidated statement of operations. For the three and nine months ended September 30, 2019, the amortization of debt discount expense related to the 2019 Term Loan, the First Amendment to the 2019 Term Loan, and the 2016 Original and Amended Term Loan, whereas for the three and nine months ended September 30, 2018, the amortization of debt discount expense related to only the 2016 Original Term Loan.</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122"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While our significant accounting policies are more fully described in Note 2 - Summary of Significant Accounting Policies to our unaudited interim consolidated financial statements appearing elsewhere in this report, we believe the accounting policies described in the “Financial Overview” section above are the most critical to the judgments and estimates we use in the preparation of our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352"/>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52"/>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5"/>
              <w:spacing w:after="0" w:line="129"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0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ind w:left="200"/>
              <w:spacing w:after="0" w:line="176" w:lineRule="exact"/>
              <w:rPr>
                <w:sz w:val="20"/>
                <w:szCs w:val="20"/>
                <w:color w:val="auto"/>
              </w:rPr>
            </w:pPr>
            <w:r>
              <w:rPr>
                <w:rFonts w:ascii="Arial" w:cs="Arial" w:eastAsia="Arial" w:hAnsi="Arial"/>
                <w:sz w:val="18"/>
                <w:szCs w:val="18"/>
                <w:color w:val="auto"/>
              </w:rPr>
              <w:t>Research and development</w:t>
            </w:r>
          </w:p>
        </w:tc>
        <w:tc>
          <w:tcPr>
            <w:tcW w:w="3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15,835,573</w:t>
            </w:r>
          </w:p>
        </w:tc>
        <w:tc>
          <w:tcPr>
            <w:tcW w:w="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6,040,780</w:t>
            </w:r>
          </w:p>
        </w:tc>
        <w:tc>
          <w:tcPr>
            <w:tcW w:w="3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34,441,796</w:t>
            </w:r>
          </w:p>
        </w:tc>
        <w:tc>
          <w:tcPr>
            <w:tcW w:w="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5"/>
              </w:rPr>
              <w:t>16,343,823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3,111,662</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2,202,679</w:t>
            </w:r>
          </w:p>
        </w:tc>
        <w:tc>
          <w:tcPr>
            <w:tcW w:w="22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8,375,131</w:t>
            </w:r>
          </w:p>
        </w:tc>
        <w:tc>
          <w:tcPr>
            <w:tcW w:w="1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7,052,439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18,947,235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8,243,459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42,816,927</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5"/>
              </w:rPr>
              <w:t>23,396,262</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2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(18,947,235)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(8,243,459)</w:t>
            </w: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(42,816,927)</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(23,396,262)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Pr>
          <w:p>
            <w:pPr>
              <w:spacing w:after="0" w:line="176" w:lineRule="exact"/>
              <w:rPr>
                <w:sz w:val="20"/>
                <w:szCs w:val="20"/>
                <w:color w:val="auto"/>
              </w:rPr>
            </w:pPr>
            <w:r>
              <w:rPr>
                <w:rFonts w:ascii="Arial" w:cs="Arial" w:eastAsia="Arial" w:hAnsi="Arial"/>
                <w:sz w:val="18"/>
                <w:szCs w:val="18"/>
                <w:color w:val="auto"/>
                <w:w w:val="96"/>
              </w:rPr>
              <w:t>Interest and amortization of debt discount (expense)</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(327,825)</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(270,933)</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(860,723)</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(878,605)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139,448</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139,448</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2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15,000</w:t>
            </w:r>
          </w:p>
        </w:tc>
        <w:tc>
          <w:tcPr>
            <w:tcW w:w="2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2,689,000</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0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(19,135,612)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1"/>
              </w:rPr>
              <w:t>(8,281,974)</w:t>
            </w:r>
          </w:p>
        </w:tc>
        <w:tc>
          <w:tcPr>
            <w:tcW w:w="2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u w:val="single" w:color="auto"/>
                <w:color w:val="auto"/>
                <w:w w:val="71"/>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(43,538,202)</w:t>
            </w: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u w:val="single" w:color="auto"/>
                <w:color w:val="auto"/>
                <w:w w:val="79"/>
              </w:rPr>
              <w:t>$</w:t>
            </w:r>
          </w:p>
        </w:tc>
        <w:tc>
          <w:tcPr>
            <w:tcW w:w="9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(21,368,449)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2019 and 2018</w:t>
      </w:r>
    </w:p>
    <w:p>
      <w:pPr>
        <w:spacing w:after="0" w:line="185" w:lineRule="exact"/>
        <w:rPr>
          <w:sz w:val="20"/>
          <w:szCs w:val="20"/>
          <w:color w:val="auto"/>
        </w:rPr>
      </w:pPr>
    </w:p>
    <w:p>
      <w:pPr>
        <w:ind w:right="320" w:firstLine="648"/>
        <w:spacing w:after="0" w:line="249"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were $15.8 million, compared to $6.0 million for the three months ended September 30, 2018, an increase of $9.8 million. This increase was primarily due to trials that were initiated in 2019, which include the GEMINI, MOMENTUM, INTERCEPT, and CONCERT trials, along with the AXS-05 and AXS-07 open-label safety studies.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25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was $3.1 million, compared to $2.2 million for the three months ended September 30, 2018, an increase of $0.9 million. The increase was primarily due to an increase in stock compensation expense as well as personnel costs.</w:t>
      </w:r>
    </w:p>
    <w:p>
      <w:pPr>
        <w:spacing w:after="0" w:line="147" w:lineRule="exact"/>
        <w:rPr>
          <w:sz w:val="20"/>
          <w:szCs w:val="20"/>
          <w:color w:val="auto"/>
        </w:rPr>
      </w:pPr>
    </w:p>
    <w:p>
      <w:pPr>
        <w:ind w:right="99" w:firstLine="648"/>
        <w:spacing w:after="0" w:line="235"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September 30, 2019 and 2018 was $0.3 million.</w:t>
      </w:r>
    </w:p>
    <w:p>
      <w:pPr>
        <w:spacing w:after="0" w:line="162" w:lineRule="exact"/>
        <w:rPr>
          <w:sz w:val="20"/>
          <w:szCs w:val="20"/>
          <w:color w:val="auto"/>
        </w:rPr>
      </w:pPr>
    </w:p>
    <w:p>
      <w:pPr>
        <w:ind w:right="139" w:firstLine="648"/>
        <w:spacing w:after="0" w:line="232"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Tax credit income for the three months ended September 30, 2019 was $0.1 million, compared to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three months ended September 30, 2018, a decrease of $0.1 million. This represents the receipt by Axsome Therapeutics Australia PTY LTD, our Australian subsidiary, of the Australia Tax Incentive Credit related to the 2018 and 2017 research and development expenses incurred for our product candidates.</w:t>
      </w:r>
    </w:p>
    <w:p>
      <w:pPr>
        <w:spacing w:after="0" w:line="163" w:lineRule="exact"/>
        <w:rPr>
          <w:sz w:val="20"/>
          <w:szCs w:val="20"/>
          <w:color w:val="auto"/>
        </w:rPr>
      </w:pPr>
    </w:p>
    <w:p>
      <w:pPr>
        <w:jc w:val="both"/>
        <w:ind w:right="79"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three months ended September 30, 2018 of less than $0.1 million. There was no warrant liability outstanding during the three months ended September 30,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2019 and 2018</w:t>
      </w:r>
    </w:p>
    <w:p>
      <w:pPr>
        <w:spacing w:after="0" w:line="185" w:lineRule="exact"/>
        <w:rPr>
          <w:sz w:val="20"/>
          <w:szCs w:val="20"/>
          <w:color w:val="auto"/>
        </w:rPr>
      </w:pPr>
    </w:p>
    <w:p>
      <w:pPr>
        <w:ind w:right="79" w:firstLine="648"/>
        <w:spacing w:after="0" w:line="21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were $34.4 million, compared to $16.3 million for the nine months ended September 30, 2018, an increase of $18.1 million. The increase was primarily due to the preparation for and initiation of the GEMINI, MOMENTUM, INTERCEPT, and CONCERT trials along with the AXS-05 and AXS-07 open-label safety trials; and continued progress of our STRIDE-1, and ADVANCE-1 trials, which was partially offset by the cessation of the CREATE-1 study and completion of the ASCEND trial.</w:t>
      </w:r>
    </w:p>
    <w:p>
      <w:pPr>
        <w:spacing w:after="0" w:line="162" w:lineRule="exact"/>
        <w:rPr>
          <w:sz w:val="20"/>
          <w:szCs w:val="20"/>
          <w:color w:val="auto"/>
        </w:rPr>
      </w:pPr>
    </w:p>
    <w:p>
      <w:pPr>
        <w:ind w:right="59" w:firstLine="648"/>
        <w:spacing w:after="0" w:line="259"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Our general and administrative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2019 were $8.4 million, compared to $7.1 million for the nine months ended September 30, 2018, an increase of $1.3 million. The increase was primarily due an increase in stock compensation expense as well as personnel costs.</w:t>
      </w:r>
    </w:p>
    <w:p>
      <w:pPr>
        <w:spacing w:after="0" w:line="147" w:lineRule="exact"/>
        <w:rPr>
          <w:sz w:val="20"/>
          <w:szCs w:val="20"/>
          <w:color w:val="auto"/>
        </w:rPr>
      </w:pPr>
    </w:p>
    <w:p>
      <w:pPr>
        <w:ind w:right="19" w:firstLine="648"/>
        <w:spacing w:after="0" w:line="235"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2019 and 2018 was $0.9 million.</w:t>
      </w:r>
    </w:p>
    <w:p>
      <w:pPr>
        <w:spacing w:after="0" w:line="162" w:lineRule="exact"/>
        <w:rPr>
          <w:sz w:val="20"/>
          <w:szCs w:val="20"/>
          <w:color w:val="auto"/>
        </w:rPr>
      </w:pPr>
    </w:p>
    <w:p>
      <w:pPr>
        <w:ind w:right="199" w:firstLine="648"/>
        <w:spacing w:after="0" w:line="232"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Tax credit income for the nine months ended September 30, 2019 was $0.1 million, compared to $0.2</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nine months ended September 30, 2018, a decrease of $0.1 million. This represents the receipt by Axsome Therapeutics Australia PTY LTD, our Australian subsidiary, of the Australia Tax Incentive Credit related to the 2018 and 2017 research and development expenses incurred for our product candidates.</w:t>
      </w:r>
    </w:p>
    <w:p>
      <w:pPr>
        <w:spacing w:after="0" w:line="163" w:lineRule="exact"/>
        <w:rPr>
          <w:sz w:val="20"/>
          <w:szCs w:val="20"/>
          <w:color w:val="auto"/>
        </w:rPr>
      </w:pPr>
    </w:p>
    <w:p>
      <w:pPr>
        <w:ind w:right="19"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nine months ended September 30, 2018 of $2.7 million. There was no warrant liability outstanding during the nine months ended September 30, 2019.</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560" w:firstLine="648"/>
        <w:spacing w:after="0" w:line="235" w:lineRule="auto"/>
        <w:rPr>
          <w:sz w:val="20"/>
          <w:szCs w:val="20"/>
          <w:color w:val="auto"/>
        </w:rPr>
      </w:pPr>
      <w:r>
        <w:rPr>
          <w:rFonts w:ascii="Arial" w:cs="Arial" w:eastAsia="Arial" w:hAnsi="Arial"/>
          <w:sz w:val="18"/>
          <w:szCs w:val="18"/>
          <w:color w:val="auto"/>
        </w:rPr>
        <w:t>We have financed our operations primarily through proceeds from equity offerings and debt borrowings. See discussion below.</w:t>
      </w:r>
    </w:p>
    <w:p>
      <w:pPr>
        <w:spacing w:after="0" w:line="162"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In November 2016, we entered into a loan and security agreement with SVB for a term loan of up to $20.0 million, which we refer to as the 2016 Original Term Loan. The initial tranche of $10.0 million was funded shortly after executing the loan agreement. Because we did not achieve the conditional criteria to access the second and third tranches before the specified dates, the $10.0 million in additional term loan advances expired. In November 2018, we amended the 2016 Original Term Loan to provide an additional $4.0 million growth capital loan, related to our narcolepsy clinical program with AXS-12. We refer to the 2016 Original Term Loan, as amended in November 2018, as the 2016 Amended Term Loan. The additional capital under the 2016 Amended Term Loan was available to be drawn, at our option, subject to the achievement of a specified clinical milestone. Our obligations under the 2016 Amended Term Loan, along with our ability to draw down on the additional $4.0 million tranche, were considered to be performed and completed in connection with the establishment of the 2019 Term Loan (see below).</w:t>
      </w:r>
    </w:p>
    <w:p>
      <w:pPr>
        <w:spacing w:after="0" w:line="164" w:lineRule="exact"/>
        <w:rPr>
          <w:sz w:val="20"/>
          <w:szCs w:val="20"/>
          <w:color w:val="auto"/>
        </w:rPr>
      </w:pPr>
    </w:p>
    <w:p>
      <w:pPr>
        <w:ind w:right="40" w:firstLine="648"/>
        <w:spacing w:after="0" w:line="235"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in October 2017 pursuant to which we sold shares of our common stock from time to time in an at-the-market offering until completion of the offering in January 2019, and completed a registered direct offering priced at the market in December 2017 and September 2018,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166" w:lineRule="exact"/>
        <w:rPr>
          <w:sz w:val="20"/>
          <w:szCs w:val="20"/>
          <w:color w:val="auto"/>
        </w:rPr>
      </w:pPr>
    </w:p>
    <w:p>
      <w:pPr>
        <w:ind w:right="20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121" w:lineRule="exact"/>
        <w:rPr>
          <w:sz w:val="20"/>
          <w:szCs w:val="20"/>
          <w:color w:val="auto"/>
        </w:rPr>
      </w:pPr>
    </w:p>
    <w:p>
      <w:pPr>
        <w:ind w:right="160" w:firstLine="648"/>
        <w:spacing w:after="0" w:line="237" w:lineRule="auto"/>
        <w:rPr>
          <w:sz w:val="20"/>
          <w:szCs w:val="20"/>
          <w:color w:val="auto"/>
        </w:rPr>
      </w:pPr>
      <w:r>
        <w:rPr>
          <w:rFonts w:ascii="Arial" w:cs="Arial" w:eastAsia="Arial" w:hAnsi="Arial"/>
          <w:sz w:val="16"/>
          <w:szCs w:val="16"/>
          <w:color w:val="auto"/>
        </w:rPr>
        <w:t>In October 2017, we entered into an “at-the-market” sales agreement, or the 2017 Sales Agreement, with Leerink, pursuant to which we could sell up to $30 million in shares of our common stock from time to time through Leerink, acting as our sales agent, in one or more at-the-market offerings. We received approximately $4.2 million in gross proceeds, of which net proceeds were approximately $4.1 million from the sales of our common stock to Leerink under the 2017 Sales Agreement during the year ended December 31, 2018. In January 2019, we raised approximately $25.8 million in gross proceeds through the sale of 3,164,015 shares under the 2017 Sales Agreement. Upon completion of the final sale fully exhausting the $30 million of shares available for sale, the 2017 Sales Agreement was automatically terminated, Leerink received a commission of 3.0% of the gross proceeds for all shares sold under the 2017 Sales Agreement.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December 2017, we completed a registered direct offering priced at the market, which we refer to the as the 2017</w:t>
      </w:r>
    </w:p>
    <w:p>
      <w:pPr>
        <w:spacing w:after="0" w:line="224" w:lineRule="auto"/>
        <w:rPr>
          <w:sz w:val="20"/>
          <w:szCs w:val="20"/>
          <w:color w:val="auto"/>
        </w:rPr>
      </w:pPr>
      <w:r>
        <w:rPr>
          <w:rFonts w:ascii="Arial" w:cs="Arial" w:eastAsia="Arial" w:hAnsi="Arial"/>
          <w:sz w:val="17"/>
          <w:szCs w:val="17"/>
          <w:color w:val="auto"/>
        </w:rPr>
        <w:t>Registered Direct Offering, whereby we sold an aggregate of $9.5 million worth of units, or Units, at a purchase price of</w:t>
      </w:r>
    </w:p>
    <w:p>
      <w:pPr>
        <w:spacing w:after="0" w:line="229" w:lineRule="auto"/>
        <w:rPr>
          <w:sz w:val="20"/>
          <w:szCs w:val="20"/>
          <w:color w:val="auto"/>
        </w:rPr>
      </w:pPr>
      <w:r>
        <w:rPr>
          <w:rFonts w:ascii="Arial" w:cs="Arial" w:eastAsia="Arial" w:hAnsi="Arial"/>
          <w:sz w:val="16"/>
          <w:szCs w:val="16"/>
          <w:color w:val="auto"/>
        </w:rPr>
        <w:t>$5.325 per Unit, with each Unit consisting of (i) one share of our common stock, and (ii) a warrant to purchase one share of</w:t>
      </w:r>
    </w:p>
    <w:p>
      <w:pPr>
        <w:spacing w:after="0" w:line="229" w:lineRule="auto"/>
        <w:rPr>
          <w:sz w:val="20"/>
          <w:szCs w:val="20"/>
          <w:color w:val="auto"/>
        </w:rPr>
      </w:pPr>
      <w:r>
        <w:rPr>
          <w:rFonts w:ascii="Arial" w:cs="Arial" w:eastAsia="Arial" w:hAnsi="Arial"/>
          <w:sz w:val="16"/>
          <w:szCs w:val="16"/>
          <w:color w:val="auto"/>
        </w:rPr>
        <w:t>our common stock, or Common Warrant, at an exercise price equal to $5.25 per share. We sold an aggregate of 1,783,587</w:t>
      </w:r>
    </w:p>
    <w:p>
      <w:pPr>
        <w:spacing w:after="0" w:line="204" w:lineRule="auto"/>
        <w:rPr>
          <w:sz w:val="20"/>
          <w:szCs w:val="20"/>
          <w:color w:val="auto"/>
        </w:rPr>
      </w:pPr>
      <w:r>
        <w:rPr>
          <w:rFonts w:ascii="Arial" w:cs="Arial" w:eastAsia="Arial" w:hAnsi="Arial"/>
          <w:sz w:val="18"/>
          <w:szCs w:val="18"/>
          <w:color w:val="auto"/>
        </w:rPr>
        <w:t>Units in the 2017 Registered Direct Offering for gross proceeds of approximately $9.5 million and net proceeds of</w:t>
      </w:r>
    </w:p>
    <w:p>
      <w:pPr>
        <w:spacing w:after="0" w:line="229" w:lineRule="auto"/>
        <w:rPr>
          <w:sz w:val="20"/>
          <w:szCs w:val="20"/>
          <w:color w:val="auto"/>
        </w:rPr>
      </w:pPr>
      <w:r>
        <w:rPr>
          <w:rFonts w:ascii="Arial" w:cs="Arial" w:eastAsia="Arial" w:hAnsi="Arial"/>
          <w:sz w:val="16"/>
          <w:szCs w:val="16"/>
          <w:color w:val="auto"/>
        </w:rPr>
        <w:t>approximately $8.8 million, after deducting placement agent fees and offering expenses. Additionally, we issued warrants to</w:t>
      </w:r>
    </w:p>
    <w:p>
      <w:pPr>
        <w:spacing w:after="0" w:line="229" w:lineRule="auto"/>
        <w:rPr>
          <w:sz w:val="20"/>
          <w:szCs w:val="20"/>
          <w:color w:val="auto"/>
        </w:rPr>
      </w:pPr>
      <w:r>
        <w:rPr>
          <w:rFonts w:ascii="Arial" w:cs="Arial" w:eastAsia="Arial" w:hAnsi="Arial"/>
          <w:sz w:val="16"/>
          <w:szCs w:val="16"/>
          <w:color w:val="auto"/>
        </w:rPr>
        <w:t>purchase up to 107,015 shares of our common stock at an exercise price of $6.6562 per share to certain investors affiliated</w:t>
      </w:r>
    </w:p>
    <w:p>
      <w:pPr>
        <w:spacing w:after="0" w:line="216" w:lineRule="auto"/>
        <w:rPr>
          <w:sz w:val="20"/>
          <w:szCs w:val="20"/>
          <w:color w:val="auto"/>
        </w:rPr>
      </w:pPr>
      <w:r>
        <w:rPr>
          <w:rFonts w:ascii="Arial" w:cs="Arial" w:eastAsia="Arial" w:hAnsi="Arial"/>
          <w:sz w:val="17"/>
          <w:szCs w:val="17"/>
          <w:color w:val="auto"/>
        </w:rPr>
        <w:t>with H.C. Wainwright &amp; Co., LLC, placement agent for the offering, which we refer to as the Placement Agent Warrants.</w:t>
      </w:r>
    </w:p>
    <w:p>
      <w:pPr>
        <w:spacing w:after="0" w:line="229" w:lineRule="auto"/>
        <w:rPr>
          <w:sz w:val="20"/>
          <w:szCs w:val="20"/>
          <w:color w:val="auto"/>
        </w:rPr>
      </w:pPr>
      <w:r>
        <w:rPr>
          <w:rFonts w:ascii="Arial" w:cs="Arial" w:eastAsia="Arial" w:hAnsi="Arial"/>
          <w:sz w:val="16"/>
          <w:szCs w:val="16"/>
          <w:color w:val="auto"/>
        </w:rPr>
        <w:t>The Placement Agent Warrants had the same terms as the Common Warrants, except for the difference in exercise price</w:t>
      </w:r>
    </w:p>
    <w:p>
      <w:pPr>
        <w:spacing w:after="0"/>
        <w:rPr>
          <w:sz w:val="20"/>
          <w:szCs w:val="20"/>
          <w:color w:val="auto"/>
        </w:rPr>
      </w:pPr>
      <w:r>
        <w:rPr>
          <w:rFonts w:ascii="Arial" w:cs="Arial" w:eastAsia="Arial" w:hAnsi="Arial"/>
          <w:sz w:val="18"/>
          <w:szCs w:val="18"/>
          <w:color w:val="auto"/>
        </w:rPr>
        <w:t>noted above. Both the Common Warrants and the Placement Agent Warrants expired on December 11, 2018.</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On September 27, 2018, we entered into a purchase agreement with certain institutional and accredited investors, which we refer to as the RDO Investors, for the sale by us directly to the RDO Investors of an aggregate of 2,966,667 shares of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transaction expenses. The 2,966,667 shares of common stock sold in the 2018 Registered Direct Offering were offered and sold by us directly to the RDO Investors, without a placement agent, underwriter, broker or dealer.</w:t>
      </w:r>
    </w:p>
    <w:p>
      <w:pPr>
        <w:spacing w:after="0" w:line="162" w:lineRule="exact"/>
        <w:rPr>
          <w:sz w:val="20"/>
          <w:szCs w:val="20"/>
          <w:color w:val="auto"/>
        </w:rPr>
      </w:pPr>
    </w:p>
    <w:p>
      <w:pPr>
        <w:ind w:firstLine="648"/>
        <w:spacing w:after="0" w:line="236" w:lineRule="auto"/>
        <w:rPr>
          <w:sz w:val="20"/>
          <w:szCs w:val="20"/>
          <w:color w:val="auto"/>
        </w:rPr>
      </w:pPr>
      <w:r>
        <w:rPr>
          <w:rFonts w:ascii="Arial" w:cs="Arial" w:eastAsia="Arial" w:hAnsi="Arial"/>
          <w:sz w:val="16"/>
          <w:szCs w:val="16"/>
          <w:color w:val="auto"/>
        </w:rPr>
        <w:t>In March 2019, we entered into the 2019 Term Loan with SVB and WestRiver for a term loan up to $24.0 million, which completely replaces the 2016 Original Term Loan and the 2016 Amended Term Loan. The initial tranche of $20.0 million, or the Term A Loan Advance, was funded shortly after executing the loan agreement. The second tranche of $4.0 million, or the Term B Loan Advance was initially available to be drawn, at our option, subject to the achievement of positive data, on or prior to August 15, 2019, with respect to our ongoing Phase 2 clinical trial for AXS-12 in narcolepsy, sufficient to submit a Phase 3 protocol to FDA, provided that we have not received any objections from the FDA within thirty days after submission of such Phase 3 protocol, which we refer to as the Milestone Event. A portion of the initial tranche was used to satisfy our then-existing obligations under our 2016 Amended Term Loan, and such obligations are considered to be fully repaid and completed. We refer to the Term A Loan Advance and the Term B Loan Advance as the Loan Advances.</w:t>
      </w:r>
    </w:p>
    <w:p>
      <w:pPr>
        <w:spacing w:after="0" w:line="12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In May 2019, we entered into the 2019 Sales Agreement with Leerink, pursuant to which we may sell up to $50 million in shares of our common stock from time to time through Leerink, acting as our sales agent, in one or more at-the-market offerings utilizing the 2016 Shelf Registration Statement. Leerink is entitled to receive a commission of 3.0% of the gross proceeds for any shares sold under the 2019 Sales Agreement. We received approximately $20.1 million in gross proceeds through the sale of 942,285 shares, of which net proceeds were approximately $19.5 million during the nine months ended September 30, 2019.</w:t>
      </w:r>
    </w:p>
    <w:p>
      <w:pPr>
        <w:spacing w:after="0" w:line="122"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In July 2019, we entered into the first amendment to the 2019 Term Loan,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See the subsection titled “July 2019 First Amendment to Loan and Security Agreement – Silicon Valley Bank” under the “Contractual Obligations and Commitments” section below for a further description of the First Amendment to the 2019 Term Loan.</w:t>
      </w:r>
    </w:p>
    <w:p>
      <w:pPr>
        <w:spacing w:after="0" w:line="124"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into the second quarter of 2021.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4"/>
          </w:tcPr>
          <w:p>
            <w:pPr>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jc w:val="right"/>
              <w:ind w:right="316"/>
              <w:spacing w:after="0" w:line="129" w:lineRule="exact"/>
              <w:rPr>
                <w:sz w:val="20"/>
                <w:szCs w:val="20"/>
                <w:color w:val="auto"/>
              </w:rPr>
            </w:pPr>
            <w:r>
              <w:rPr>
                <w:rFonts w:ascii="Arial" w:cs="Arial" w:eastAsia="Arial" w:hAnsi="Arial"/>
                <w:sz w:val="14"/>
                <w:szCs w:val="14"/>
                <w:b w:val="1"/>
                <w:bCs w:val="1"/>
                <w:color w:val="auto"/>
              </w:rPr>
              <w:t>2019</w:t>
            </w:r>
          </w:p>
        </w:tc>
        <w:tc>
          <w:tcPr>
            <w:tcW w:w="1280" w:type="dxa"/>
            <w:vAlign w:val="bottom"/>
            <w:tcBorders>
              <w:top w:val="single" w:sz="8" w:color="auto"/>
            </w:tcBorders>
            <w:gridSpan w:val="2"/>
          </w:tcPr>
          <w:p>
            <w:pPr>
              <w:jc w:val="right"/>
              <w:ind w:right="310"/>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44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4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Pr>
          <w:p>
            <w:pPr>
              <w:ind w:left="200"/>
              <w:spacing w:after="0" w:line="176" w:lineRule="exact"/>
              <w:rPr>
                <w:sz w:val="20"/>
                <w:szCs w:val="20"/>
                <w:color w:val="auto"/>
              </w:rPr>
            </w:pPr>
            <w:r>
              <w:rPr>
                <w:rFonts w:ascii="Arial" w:cs="Arial" w:eastAsia="Arial" w:hAnsi="Arial"/>
                <w:sz w:val="18"/>
                <w:szCs w:val="18"/>
                <w:color w:val="auto"/>
              </w:rPr>
              <w:t>Operating activities</w:t>
            </w:r>
          </w:p>
        </w:tc>
        <w:tc>
          <w:tcPr>
            <w:tcW w:w="22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w w:val="94"/>
              </w:rPr>
              <w:t>(28,807,908)</w:t>
            </w:r>
          </w:p>
        </w:tc>
        <w:tc>
          <w:tcPr>
            <w:tcW w:w="1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 (20,259,752)</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shd w:val="clear" w:color="auto" w:fill="CCEEFF"/>
          </w:tcPr>
          <w:p>
            <w:pPr>
              <w:ind w:left="200"/>
              <w:spacing w:after="0" w:line="176" w:lineRule="exact"/>
              <w:rPr>
                <w:sz w:val="20"/>
                <w:szCs w:val="20"/>
                <w:color w:val="auto"/>
              </w:rPr>
            </w:pPr>
            <w:r>
              <w:rPr>
                <w:rFonts w:ascii="Arial" w:cs="Arial" w:eastAsia="Arial" w:hAnsi="Arial"/>
                <w:sz w:val="18"/>
                <w:szCs w:val="18"/>
                <w:color w:val="auto"/>
              </w:rPr>
              <w:t>Investing activities</w:t>
            </w:r>
          </w:p>
        </w:tc>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(14,660)</w:t>
            </w:r>
          </w:p>
        </w:tc>
        <w:tc>
          <w:tcPr>
            <w:tcW w:w="128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(32,696)</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Pr>
          <w:p>
            <w:pPr>
              <w:ind w:left="200"/>
              <w:spacing w:after="0" w:line="176" w:lineRule="exact"/>
              <w:rPr>
                <w:sz w:val="20"/>
                <w:szCs w:val="20"/>
                <w:color w:val="auto"/>
              </w:rPr>
            </w:pPr>
            <w:r>
              <w:rPr>
                <w:rFonts w:ascii="Arial" w:cs="Arial" w:eastAsia="Arial" w:hAnsi="Arial"/>
                <w:sz w:val="18"/>
                <w:szCs w:val="18"/>
                <w:color w:val="auto"/>
              </w:rPr>
              <w:t>Financing activities</w:t>
            </w:r>
          </w:p>
        </w:tc>
        <w:tc>
          <w:tcPr>
            <w:tcW w:w="2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w w:val="99"/>
              </w:rPr>
              <w:t>58,495,687</w:t>
            </w:r>
          </w:p>
        </w:tc>
        <w:tc>
          <w:tcPr>
            <w:tcW w:w="128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1,492,089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40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increase (decrease) in cash</w:t>
            </w:r>
          </w:p>
        </w:tc>
        <w:tc>
          <w:tcPr>
            <w:tcW w:w="21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29,673,119</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0"/>
              </w:rPr>
              <w:t>$ (18,800,359)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right="40" w:firstLine="648"/>
        <w:spacing w:after="0" w:line="259" w:lineRule="auto"/>
        <w:rPr>
          <w:sz w:val="20"/>
          <w:szCs w:val="20"/>
          <w:color w:val="auto"/>
        </w:rPr>
      </w:pPr>
      <w:r>
        <w:rPr>
          <w:rFonts w:ascii="Arial" w:cs="Arial" w:eastAsia="Arial" w:hAnsi="Arial"/>
          <w:sz w:val="16"/>
          <w:szCs w:val="16"/>
          <w:i w:val="1"/>
          <w:iCs w:val="1"/>
          <w:color w:val="auto"/>
        </w:rPr>
        <w:t xml:space="preserve">Operating Activities. </w:t>
      </w:r>
      <w:r>
        <w:rPr>
          <w:rFonts w:ascii="Arial" w:cs="Arial" w:eastAsia="Arial" w:hAnsi="Arial"/>
          <w:sz w:val="16"/>
          <w:szCs w:val="16"/>
          <w:color w:val="auto"/>
        </w:rPr>
        <w:t>Cash used in operating activities for the nine months ended September 30, 2019 was $28.8</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$20.3 million for the nine months ended September 30, 2018. The increase of $8.5 million in net cash used was primarily related to higher research and development spend related to multiple product candidates in clinical trials.</w:t>
      </w:r>
    </w:p>
    <w:p>
      <w:pPr>
        <w:spacing w:after="0" w:line="147"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nine months ended September 30, 2019 and 2018.</w:t>
      </w:r>
    </w:p>
    <w:p>
      <w:pPr>
        <w:spacing w:after="0" w:line="162"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$58.5 million for the nine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2019, which included net proceeds from the sale of common stock through our Sales Agreement with Leerink of $44.5 million, proceeds from the 2019 Term Loan of $20.0 million, proceeds from issuance of common stock upon exercise of options and warrants of $1.1 million and $0.2 million, respectively. These proceeds were offset by the repayment on our 2016 Amended Term Loan of $7.2 million.</w:t>
      </w:r>
    </w:p>
    <w:p>
      <w:pPr>
        <w:spacing w:after="0" w:line="162" w:lineRule="exact"/>
        <w:rPr>
          <w:sz w:val="20"/>
          <w:szCs w:val="20"/>
          <w:color w:val="auto"/>
        </w:rPr>
      </w:pPr>
    </w:p>
    <w:p>
      <w:pPr>
        <w:ind w:right="260" w:firstLine="648"/>
        <w:spacing w:after="0" w:line="219" w:lineRule="auto"/>
        <w:rPr>
          <w:sz w:val="20"/>
          <w:szCs w:val="20"/>
          <w:color w:val="auto"/>
        </w:rPr>
      </w:pPr>
      <w:r>
        <w:rPr>
          <w:rFonts w:ascii="Arial" w:cs="Arial" w:eastAsia="Arial" w:hAnsi="Arial"/>
          <w:sz w:val="18"/>
          <w:szCs w:val="18"/>
          <w:color w:val="auto"/>
        </w:rPr>
        <w:t>Cash provided by financing activities was $1.5 million for the nine months ended September 30, 2018, which included net proceeds from the sale of common stock through our Sales Agreement with Leerink of $2.9 million and $1.1 million of the $8.9 million of cash received in connection with the Registered Direct Offering completed in October 2018, offset by the principal payments on our term loan with SVB of $2.5 million.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48"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rFonts w:ascii="Arial" w:cs="Arial" w:eastAsia="Arial" w:hAnsi="Arial"/>
          <w:sz w:val="18"/>
          <w:szCs w:val="18"/>
          <w:color w:val="auto"/>
        </w:rPr>
      </w:pPr>
    </w:p>
    <w:p>
      <w:pPr>
        <w:ind w:left="980" w:right="320" w:hanging="329"/>
        <w:spacing w:after="0" w:line="235"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94" w:lineRule="exact"/>
        <w:rPr>
          <w:rFonts w:ascii="Arial" w:cs="Arial" w:eastAsia="Arial" w:hAnsi="Arial"/>
          <w:sz w:val="18"/>
          <w:szCs w:val="18"/>
          <w:color w:val="auto"/>
        </w:rPr>
      </w:pPr>
    </w:p>
    <w:p>
      <w:pPr>
        <w:ind w:left="980" w:hanging="329"/>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number and development requirements of any other product candidates that we pursue;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timing, and outcome of regulatory reviews of our product candidates;</w:t>
      </w:r>
    </w:p>
    <w:p>
      <w:pPr>
        <w:spacing w:after="0" w:line="117" w:lineRule="exact"/>
        <w:rPr>
          <w:rFonts w:ascii="Arial" w:cs="Arial" w:eastAsia="Arial" w:hAnsi="Arial"/>
          <w:sz w:val="18"/>
          <w:szCs w:val="18"/>
          <w:color w:val="auto"/>
        </w:rPr>
      </w:pPr>
    </w:p>
    <w:p>
      <w:pPr>
        <w:ind w:left="980" w:right="120" w:hanging="329"/>
        <w:spacing w:after="0" w:line="25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79" w:lineRule="exact"/>
        <w:rPr>
          <w:rFonts w:ascii="Arial" w:cs="Arial" w:eastAsia="Arial" w:hAnsi="Arial"/>
          <w:sz w:val="17"/>
          <w:szCs w:val="17"/>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product liability or other lawsuits related to our product candidates;</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expenses needed to attract and retain skilled personnel;</w:t>
      </w:r>
    </w:p>
    <w:p>
      <w:pPr>
        <w:spacing w:after="0" w:line="117" w:lineRule="exact"/>
        <w:rPr>
          <w:rFonts w:ascii="Arial" w:cs="Arial" w:eastAsia="Arial" w:hAnsi="Arial"/>
          <w:sz w:val="18"/>
          <w:szCs w:val="18"/>
          <w:color w:val="auto"/>
        </w:rPr>
      </w:pPr>
    </w:p>
    <w:p>
      <w:pPr>
        <w:ind w:left="980" w:hanging="329"/>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general and administrative expenses related to being a public company;</w:t>
      </w:r>
    </w:p>
    <w:p>
      <w:pPr>
        <w:spacing w:after="0" w:line="117" w:lineRule="exact"/>
        <w:rPr>
          <w:rFonts w:ascii="Arial" w:cs="Arial" w:eastAsia="Arial" w:hAnsi="Arial"/>
          <w:sz w:val="18"/>
          <w:szCs w:val="18"/>
          <w:color w:val="auto"/>
        </w:rPr>
      </w:pPr>
    </w:p>
    <w:p>
      <w:pPr>
        <w:ind w:left="980" w:right="160" w:hanging="329"/>
        <w:spacing w:after="0" w:line="235"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rFonts w:ascii="Arial" w:cs="Arial" w:eastAsia="Arial" w:hAnsi="Arial"/>
          <w:sz w:val="18"/>
          <w:szCs w:val="18"/>
          <w:color w:val="auto"/>
        </w:rPr>
      </w:pPr>
    </w:p>
    <w:p>
      <w:pPr>
        <w:ind w:left="980" w:right="480" w:hanging="329"/>
        <w:spacing w:after="0" w:line="203" w:lineRule="exact"/>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“Risk Factors” for additional risks associated with our substantial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 with Antecip Bioventures</w:t>
      </w:r>
    </w:p>
    <w:p>
      <w:pPr>
        <w:spacing w:after="0" w:line="185" w:lineRule="exact"/>
        <w:rPr>
          <w:sz w:val="20"/>
          <w:szCs w:val="20"/>
          <w:color w:val="auto"/>
        </w:rPr>
      </w:pP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November 2016 Loan and Security Agreement—Silicon Valley Bank</w:t>
      </w:r>
    </w:p>
    <w:p>
      <w:pPr>
        <w:spacing w:after="0" w:line="185" w:lineRule="exact"/>
        <w:rPr>
          <w:sz w:val="20"/>
          <w:szCs w:val="20"/>
          <w:color w:val="auto"/>
        </w:rPr>
      </w:pPr>
    </w:p>
    <w:p>
      <w:pPr>
        <w:ind w:right="120" w:firstLine="648"/>
        <w:spacing w:after="0" w:line="225" w:lineRule="auto"/>
        <w:rPr>
          <w:sz w:val="20"/>
          <w:szCs w:val="20"/>
          <w:color w:val="auto"/>
        </w:rPr>
      </w:pPr>
      <w:r>
        <w:rPr>
          <w:rFonts w:ascii="Arial" w:cs="Arial" w:eastAsia="Arial" w:hAnsi="Arial"/>
          <w:sz w:val="17"/>
          <w:szCs w:val="17"/>
          <w:color w:val="auto"/>
        </w:rPr>
        <w:t>In November 2016, we entered into the 2016 Original Term Loan with SVB, for a term loan of up to $20.0 million. The initial tranche of $10.0 million was funded shortly after executing the loan agreement. We were scheduled to make interest only payments on the loan until December 1, 2017, which could have been extended under certain circumstances.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2" w:lineRule="exact"/>
        <w:rPr>
          <w:sz w:val="20"/>
          <w:szCs w:val="20"/>
          <w:color w:val="auto"/>
        </w:rPr>
      </w:pPr>
    </w:p>
    <w:p>
      <w:pPr>
        <w:ind w:right="40" w:firstLine="648"/>
        <w:spacing w:after="0" w:line="232" w:lineRule="auto"/>
        <w:rPr>
          <w:sz w:val="20"/>
          <w:szCs w:val="20"/>
          <w:color w:val="auto"/>
        </w:rPr>
      </w:pPr>
      <w:r>
        <w:rPr>
          <w:rFonts w:ascii="Arial" w:cs="Arial" w:eastAsia="Arial" w:hAnsi="Arial"/>
          <w:sz w:val="17"/>
          <w:szCs w:val="17"/>
          <w:color w:val="auto"/>
        </w:rPr>
        <w:t>The 2016 Original Term Loan accrued interest at an annual rate equal to 4.50% plus the prime rate, which was the greater of 3.50% or the Wall Street Journal prime rate, and was payable monthly. Following the interest only payment period, we began making monthly payments of principal and interest. In addition, we were required to pay a final payment fee of 8.5% of the principal amount extended to us on the date of repayment of the outstanding loan.</w:t>
      </w:r>
    </w:p>
    <w:p>
      <w:pPr>
        <w:spacing w:after="0" w:line="163" w:lineRule="exact"/>
        <w:rPr>
          <w:sz w:val="20"/>
          <w:szCs w:val="20"/>
          <w:color w:val="auto"/>
        </w:rPr>
      </w:pPr>
    </w:p>
    <w:p>
      <w:pPr>
        <w:ind w:right="280" w:firstLine="648"/>
        <w:spacing w:after="0" w:line="216" w:lineRule="auto"/>
        <w:rPr>
          <w:sz w:val="20"/>
          <w:szCs w:val="20"/>
          <w:color w:val="auto"/>
        </w:rPr>
      </w:pPr>
      <w:r>
        <w:rPr>
          <w:rFonts w:ascii="Arial" w:cs="Arial" w:eastAsia="Arial" w:hAnsi="Arial"/>
          <w:sz w:val="18"/>
          <w:szCs w:val="18"/>
          <w:color w:val="auto"/>
        </w:rPr>
        <w:t>We were permitted to prepay all, but not less than all, of the 2016 Original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was collateralized by a security interest in all of our assets except intellectual property. Our intellectual property was subject to a negative pledge.</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was being amortized to interest expense over the term of the debt.</w:t>
      </w:r>
    </w:p>
    <w:p>
      <w:pPr>
        <w:spacing w:after="0" w:line="155"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In November 2018, we amended the 2016 Original Term Loan to provide an additional $4 million growth capital loan, related to our narcolepsy clinical program with AXS-12. The additional capital was available to be drawn, at our option, subject to the achievement of a specified clinical milestone. In connection with the 2016 Amended Term Loan, SVB and WestRiver received warrants to purchase an aggregate 15,750 shares of our common stock at an exercise price of $3.06 per share, which are exercisable for seven years from the date of issuance.</w:t>
      </w:r>
    </w:p>
    <w:p>
      <w:pPr>
        <w:spacing w:after="0" w:line="161"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Our obligations under the 2016 Amended Term Loan, along with the ability to draw down on the additional $4.0 million tranche, were considered to be performed and completed in connection with the establishment of the 2019 Term Loan during March 2019.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March 2019 Loan and Security Agreement—Silicon Valley Bank</w:t>
      </w:r>
    </w:p>
    <w:p>
      <w:pPr>
        <w:spacing w:after="0" w:line="185" w:lineRule="exact"/>
        <w:rPr>
          <w:sz w:val="20"/>
          <w:szCs w:val="20"/>
          <w:color w:val="auto"/>
        </w:rPr>
      </w:pPr>
    </w:p>
    <w:p>
      <w:pPr>
        <w:ind w:right="40" w:firstLine="648"/>
        <w:spacing w:after="0" w:line="212" w:lineRule="auto"/>
        <w:rPr>
          <w:sz w:val="20"/>
          <w:szCs w:val="20"/>
          <w:color w:val="auto"/>
        </w:rPr>
      </w:pPr>
      <w:r>
        <w:rPr>
          <w:rFonts w:ascii="Arial" w:cs="Arial" w:eastAsia="Arial" w:hAnsi="Arial"/>
          <w:sz w:val="18"/>
          <w:szCs w:val="18"/>
          <w:color w:val="auto"/>
        </w:rPr>
        <w:t>In March 2019, we entered into the 2019 Term Loan with SVB and WestRiver consisting of an initial $20.0 million tranche, which was funded shortly upon closing, with the remaining $4.0 million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A portion of the first tranche was used to satisfy our then-existing obligations under our 2016 Amended Term Loan and such obligations are considered to be fully repaid and completed.</w:t>
      </w:r>
    </w:p>
    <w:p>
      <w:pPr>
        <w:spacing w:after="0" w:line="165"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The 2019 Term Loan accrues interest on the unpaid principal balance of the outstanding loan advances at a floating per annum rate equal to the greater of (i) seven and one-half of one percent (7.50%) and (ii) two percent (2.0%) above the prime rate and is payable monthly. The 2019 Term Loan initially had an interest-only monthly payment period for twelve months which was extendable to 18 months upon drawing of the second tranche. Following the interest only payment period, we will begin making monthly payments of principal and interest and these payments will continue until the maturity date of February 1, 2023. In addition, we were initially required to pay a final payment fee of 6.0% of the principal amount extended to us on the date of repayment of the outstanding loan, which was increased to 6.3% in connection with the First Amendment to the 2019 Term Loan, as described below.</w:t>
      </w:r>
    </w:p>
    <w:p>
      <w:pPr>
        <w:spacing w:after="0" w:line="168"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We were initially permitted to prepay all, but not less than all, of the 2019 Term Loan, subject to a prepayment premium of 3.0% of the outstanding principal if prepaid within one year of the effective date of the loan, 2.0% of the outstanding principal if prepaid after the first anniversary of the effective date but on prior to the second anniversary of the effective date, and 1.0% of the outstanding principal if prepaid after the second anniversary of the effective date. The term loan is collateralized by a security interest in all of our assets except intellectual property. Our intellectual property is subject to a negative pledge.</w:t>
      </w:r>
    </w:p>
    <w:p>
      <w:pPr>
        <w:spacing w:after="0" w:line="162" w:lineRule="exact"/>
        <w:rPr>
          <w:sz w:val="20"/>
          <w:szCs w:val="20"/>
          <w:color w:val="auto"/>
        </w:rPr>
      </w:pPr>
    </w:p>
    <w:p>
      <w:pPr>
        <w:ind w:firstLine="648"/>
        <w:spacing w:after="0" w:line="239" w:lineRule="auto"/>
        <w:rPr>
          <w:sz w:val="20"/>
          <w:szCs w:val="20"/>
          <w:color w:val="auto"/>
        </w:rPr>
      </w:pPr>
      <w:r>
        <w:rPr>
          <w:rFonts w:ascii="Arial" w:cs="Arial" w:eastAsia="Arial" w:hAnsi="Arial"/>
          <w:sz w:val="16"/>
          <w:szCs w:val="16"/>
          <w:color w:val="auto"/>
        </w:rPr>
        <w:t>In connection with the 2019 Term Loan, SVB and WestRiver received warrants, or the March 2019 Warrants, to purchase an aggregate 70,000 shares of our common stock at an exercise price of $8.10 per share, which are exercisable for seven years from the date of issuance. The warrants were to be earned based upon the usage of the facility and are exercisable until March 4, 2026. The warrants were classified as a component of stockholders’ equity, of which 58,332 warrants were immediately exercisable and the remaining 11,668 warrants would be earned upon drawing of the second $4.0 million tranche under the loan. In connection with the First Amendment to the 2019 Term Loan, the shares of common stock issuable under each of the March 2019 Warrants were fixed at 29,167 shares, as described further below.</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firstLine="648"/>
        <w:spacing w:after="0" w:line="249" w:lineRule="auto"/>
        <w:rPr>
          <w:sz w:val="20"/>
          <w:szCs w:val="20"/>
          <w:color w:val="auto"/>
        </w:rPr>
      </w:pPr>
      <w:r>
        <w:rPr>
          <w:rFonts w:ascii="Arial" w:cs="Arial" w:eastAsia="Arial" w:hAnsi="Arial"/>
          <w:sz w:val="16"/>
          <w:szCs w:val="16"/>
          <w:color w:val="auto"/>
        </w:rPr>
        <w:t>We allocated the proceeds of $20.0 million based on the relative fair values of the debt instrument and the warrant instrument. The relative fair value of the warrants of approximately $0.4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July 2019 First Amendment to Loan and Security Agreement—Silicon Valley Bank</w:t>
      </w:r>
    </w:p>
    <w:p>
      <w:pPr>
        <w:spacing w:after="0" w:line="185" w:lineRule="exact"/>
        <w:rPr>
          <w:sz w:val="20"/>
          <w:szCs w:val="20"/>
          <w:color w:val="auto"/>
        </w:rPr>
      </w:pPr>
    </w:p>
    <w:p>
      <w:pPr>
        <w:ind w:right="20" w:firstLine="648"/>
        <w:spacing w:after="0" w:line="244" w:lineRule="auto"/>
        <w:rPr>
          <w:sz w:val="20"/>
          <w:szCs w:val="20"/>
          <w:color w:val="auto"/>
        </w:rPr>
      </w:pPr>
      <w:r>
        <w:rPr>
          <w:rFonts w:ascii="Arial" w:cs="Arial" w:eastAsia="Arial" w:hAnsi="Arial"/>
          <w:sz w:val="16"/>
          <w:szCs w:val="16"/>
          <w:color w:val="auto"/>
        </w:rPr>
        <w:t>In July 2019, we entered into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w:t>
      </w:r>
    </w:p>
    <w:p>
      <w:pPr>
        <w:spacing w:after="0" w:line="15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68"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162" w:lineRule="exact"/>
        <w:rPr>
          <w:sz w:val="20"/>
          <w:szCs w:val="20"/>
          <w:color w:val="auto"/>
        </w:rPr>
      </w:pPr>
    </w:p>
    <w:p>
      <w:pPr>
        <w:ind w:right="40" w:firstLine="648"/>
        <w:spacing w:after="0" w:line="237" w:lineRule="auto"/>
        <w:rPr>
          <w:sz w:val="20"/>
          <w:szCs w:val="20"/>
          <w:color w:val="auto"/>
        </w:rPr>
      </w:pPr>
      <w:r>
        <w:rPr>
          <w:rFonts w:ascii="Arial" w:cs="Arial" w:eastAsia="Arial" w:hAnsi="Arial"/>
          <w:sz w:val="16"/>
          <w:szCs w:val="16"/>
          <w:color w:val="auto"/>
        </w:rPr>
        <w:t>In connection with the First Amendment to the 2019 Term Loan, the March 2019 Warrants were amended to fix the number of shares that may be issued upon exercise of each such March 2019 Warrant at 29,167 shares of common stock, and SVB and WestRiver were issued the July 2019 Warrants, which become exercisable only upon funding of the Term B Loan Advance, to purchase 5,750 shares of the Company’s common stock at a price per share equal to $25.71. The July 2019 Warrants replace the portion of the March 2019 Warrants that could originally be earned by SVB and WestRiver upon funding of the Term B Loan Advance. The July 2019 Warrants, if earned, will be exercisable until July 24, 2026 and will be exercised automatically on a net issuance basis if not exercised prior to the expiration date and if the then-current fair market value of one share of the Company’s common stock is greater than the exercise price then in effect.</w:t>
      </w:r>
    </w:p>
    <w:p>
      <w:pPr>
        <w:spacing w:after="0" w:line="163"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6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120" w:firstLine="647"/>
        <w:spacing w:after="0" w:line="224" w:lineRule="auto"/>
        <w:rPr>
          <w:sz w:val="20"/>
          <w:szCs w:val="20"/>
          <w:color w:val="auto"/>
        </w:rPr>
      </w:pPr>
      <w:r>
        <w:rPr>
          <w:rFonts w:ascii="Arial" w:cs="Arial" w:eastAsia="Arial" w:hAnsi="Arial"/>
          <w:sz w:val="18"/>
          <w:szCs w:val="18"/>
          <w:color w:val="auto"/>
        </w:rPr>
        <w:t>Refer to Note 2 – Summary of Significant Accounting Policies to our consolidated financial statements included in Part I, Financial Information, Item 1, Financial Statements, of this Quarterly Report on Form 10-Q for a discussion of recently issued accounting pronouncements.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We are exposed to market risks in the ordinary course of our business and from changes in the interest rate on our debt borrowings. These market risks are principally limited to interest rate fluctuations. We had cash of $43.6 million and $14.0 million as of September 30, 2019 and December 31, 2018,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8"/>
          <w:szCs w:val="18"/>
          <w:color w:val="auto"/>
        </w:rPr>
        <w:t>‑</w:t>
      </w:r>
      <w:r>
        <w:rPr>
          <w:rFonts w:ascii="Arial" w:cs="Arial" w:eastAsia="Arial" w:hAnsi="Arial"/>
          <w:sz w:val="18"/>
          <w:szCs w:val="18"/>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right="40" w:firstLine="648"/>
        <w:spacing w:after="0" w:line="235" w:lineRule="auto"/>
        <w:rPr>
          <w:sz w:val="20"/>
          <w:szCs w:val="20"/>
          <w:color w:val="auto"/>
        </w:rPr>
      </w:pPr>
      <w:r>
        <w:rPr>
          <w:rFonts w:ascii="Arial" w:cs="Arial" w:eastAsia="Arial" w:hAnsi="Arial"/>
          <w:sz w:val="18"/>
          <w:szCs w:val="18"/>
          <w:color w:val="auto"/>
        </w:rPr>
        <w:t>We do not believe a 10% change in these currencies on September 30, 2019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nine months ended September 30, 2019.</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Our management, with the participation of our principal executive officer and</w:t>
      </w:r>
      <w:r>
        <w:rPr>
          <w:rFonts w:ascii="Arial" w:cs="Arial" w:eastAsia="Arial" w:hAnsi="Arial"/>
          <w:sz w:val="17"/>
          <w:szCs w:val="17"/>
          <w:i w:val="1"/>
          <w:iCs w:val="1"/>
          <w:color w:val="auto"/>
        </w:rPr>
        <w:t xml:space="preserve"> </w:t>
      </w:r>
      <w:r>
        <w:rPr>
          <w:rFonts w:ascii="Arial" w:cs="Arial" w:eastAsia="Arial" w:hAnsi="Arial"/>
          <w:sz w:val="17"/>
          <w:szCs w:val="17"/>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were effective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164"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right="220" w:firstLine="648"/>
        <w:spacing w:after="0" w:line="224" w:lineRule="auto"/>
        <w:rPr>
          <w:sz w:val="20"/>
          <w:szCs w:val="20"/>
          <w:color w:val="auto"/>
        </w:rPr>
      </w:pPr>
      <w:r>
        <w:rPr>
          <w:rFonts w:ascii="Arial" w:cs="Arial" w:eastAsia="Arial" w:hAnsi="Arial"/>
          <w:sz w:val="18"/>
          <w:szCs w:val="18"/>
          <w:color w:val="auto"/>
        </w:rPr>
        <w:t>We, and our subsidiaries, are currently not a party to, and our property is not currently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We are a clinical stage biopharmaceutical company with a limited operating history. For the last several years, we have focused our efforts primarily on developing CNS product candidates, AXS-05, AXS-07, AXS-09, and AXS-12, as well as our Axsome PPC product candidates, AXS-02 and AXS-06, which we refer to herein as our product candidates, with the goal of achieving regulatory approval. Since inception, we have incurred significant operating losses. Our net losses were $43.5 million and $31.0 million for nine months ended September 30, 2019 and the year ended December 31, 2018, respectively. As of September 30, 2019, we had an accumulated deficit of $151.1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69" w:lineRule="exact"/>
        <w:rPr>
          <w:sz w:val="20"/>
          <w:szCs w:val="20"/>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depression;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AXS-05;</w:t>
      </w:r>
    </w:p>
    <w:p>
      <w:pPr>
        <w:spacing w:after="0" w:line="184" w:lineRule="exact"/>
        <w:rPr>
          <w:rFonts w:ascii="Arial" w:cs="Arial" w:eastAsia="Arial" w:hAnsi="Arial"/>
          <w:sz w:val="18"/>
          <w:szCs w:val="18"/>
          <w:color w:val="auto"/>
        </w:rPr>
      </w:pPr>
    </w:p>
    <w:p>
      <w:pPr>
        <w:ind w:left="660" w:right="20" w:hanging="333"/>
        <w:spacing w:after="0" w:line="203"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two Phase 3 clinical trials with AXS-07 for the acute treatment of migraine;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open-label safety extension trial for AXS-07;</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conduct our Phase 2 clinical trial with AXS-12 in narcolepsy;</w:t>
      </w:r>
    </w:p>
    <w:p>
      <w:pPr>
        <w:spacing w:after="0" w:line="184"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and AXS-09 for the treatment of CNS disorders;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139" w:hanging="333"/>
        <w:spacing w:after="0" w:line="194"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our Axsome PPC product candidates, including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 and AXS-06 for the treatment of osteoarthritis and rheumatoid arthritis;</w:t>
      </w:r>
    </w:p>
    <w:p>
      <w:pPr>
        <w:spacing w:after="0" w:line="163"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develop, 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184" w:lineRule="exact"/>
        <w:rPr>
          <w:rFonts w:ascii="Arial" w:cs="Arial" w:eastAsia="Arial" w:hAnsi="Arial"/>
          <w:sz w:val="18"/>
          <w:szCs w:val="18"/>
          <w:color w:val="auto"/>
        </w:rPr>
      </w:pPr>
    </w:p>
    <w:p>
      <w:pPr>
        <w:ind w:left="660" w:hanging="333"/>
        <w:spacing w:after="0" w:line="184" w:lineRule="exact"/>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7" w:lineRule="exact"/>
        <w:rPr>
          <w:rFonts w:ascii="Arial" w:cs="Arial" w:eastAsia="Arial" w:hAnsi="Arial"/>
          <w:sz w:val="16"/>
          <w:szCs w:val="16"/>
          <w:color w:val="auto"/>
        </w:rPr>
      </w:pPr>
    </w:p>
    <w:p>
      <w:pPr>
        <w:ind w:left="660" w:hanging="333"/>
        <w:spacing w:after="0" w:line="207"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660" w:right="759"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660" w:right="319" w:hanging="333"/>
        <w:spacing w:after="0" w:line="22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660" w:right="119"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62" w:lineRule="exact"/>
        <w:rPr>
          <w:sz w:val="20"/>
          <w:szCs w:val="20"/>
          <w:color w:val="auto"/>
        </w:rPr>
      </w:pPr>
    </w:p>
    <w:p>
      <w:pPr>
        <w:ind w:right="119"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59"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179"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660" w:right="40" w:hanging="333"/>
        <w:spacing w:after="0" w:line="235"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660" w:right="280" w:hanging="333"/>
        <w:spacing w:after="0" w:line="22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660" w:right="520" w:hanging="333"/>
        <w:spacing w:after="0" w:line="203"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into the second quarter of 2021.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5" w:lineRule="exact"/>
        <w:rPr>
          <w:sz w:val="20"/>
          <w:szCs w:val="20"/>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84"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184" w:lineRule="exact"/>
        <w:rPr>
          <w:rFonts w:ascii="Arial" w:cs="Arial" w:eastAsia="Arial" w:hAnsi="Arial"/>
          <w:sz w:val="18"/>
          <w:szCs w:val="18"/>
          <w:color w:val="auto"/>
        </w:rPr>
      </w:pPr>
    </w:p>
    <w:p>
      <w:pPr>
        <w:ind w:left="660" w:right="20" w:hanging="333"/>
        <w:spacing w:after="0" w:line="194"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Arial" w:cs="Arial" w:eastAsia="Arial" w:hAnsi="Arial"/>
          <w:sz w:val="18"/>
          <w:szCs w:val="18"/>
          <w:color w:val="auto"/>
        </w:rPr>
        <w:t>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660" w:right="1200"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184" w:lineRule="exact"/>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In March 2019, we entered into a loan and security agreement with SVB and WestRiver Innovation Lending Fund VIII, L.P., or the 2019 Term Loan, consisting of an initial $20.0 million tranche, or the Term A Loan Advance, which was funded shortly upon closing, with the remaining $4.0 million, or the Term B Loan Advance, initially available to be drawn, at our option, subject to the achievement of positive data, on or prior to August 15, 2019, with respect to our ongoing Phase 2 clinical trial for AXS-12 in narcolepsy, sufficient to submit a Phase 3 protocol to the FDA, provided that we have not received any objections from the FDA within thirty days after submission of such Phase 3 protocol, which we refer to as the Milestone Event. A portion of the first tranche was used to satisfy our existing obligations under our original term loan facility with SVB, as amended, and such obligations are considered to be fully repaid and completed. The new term loan facility matures in February 2023 and initially had an interest-only monthly payment period for twelve months, extendable to eighteen months upon funding of the Term B Loan Advance. We refer to the Term A Loan Advance and the Term B Loan Advance together as the Loan Advances.</w:t>
      </w:r>
    </w:p>
    <w:p>
      <w:pPr>
        <w:spacing w:after="0" w:line="167" w:lineRule="exact"/>
        <w:rPr>
          <w:sz w:val="20"/>
          <w:szCs w:val="20"/>
          <w:color w:val="auto"/>
        </w:rPr>
      </w:pPr>
    </w:p>
    <w:p>
      <w:pPr>
        <w:ind w:right="100" w:firstLine="648"/>
        <w:spacing w:after="0" w:line="226" w:lineRule="auto"/>
        <w:rPr>
          <w:sz w:val="20"/>
          <w:szCs w:val="20"/>
          <w:color w:val="auto"/>
        </w:rPr>
      </w:pPr>
      <w:r>
        <w:rPr>
          <w:rFonts w:ascii="Arial" w:cs="Arial" w:eastAsia="Arial" w:hAnsi="Arial"/>
          <w:sz w:val="17"/>
          <w:szCs w:val="17"/>
          <w:color w:val="auto"/>
        </w:rPr>
        <w:t>In July 2019, we entered into a first amendment to the loan and security agreement, or the First Amendment to the 2019 Term Loan. Under the First Amendment to the 2019 Term Loan, the interest-only monthly payment period of the 2019 Term Loan was extended to 18 months after the date of the 2019 Term Loan, which may be further extended to 24 months upon receipt by us of the Term B Loan Advance. Our ability to draw down the Term B Loan Advance was extended to December 31, 2019, subject to our achievement of the Milestone Event prior to or on December 31, 2019. The Loan Advances mature on February 1, 2023, which we refer to as the Maturity Date.</w:t>
      </w:r>
    </w:p>
    <w:p>
      <w:pPr>
        <w:spacing w:after="0" w:line="165"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Pursuant to the 2019 Term Loan, as amended by the First Amendment to the 2019 Term Loan, following the interest-only payment period, we will begin making monthly payments of principal in equal monthly installments for 30 consecutive months (provided, that, upon the occurrence of the Milestone Event, the repayment schedule will be decreased to 24 consecutive months) and monthly payments of interest, until the Maturity Date. Interest will accrue on the unpaid principal balance of the outstanding Loan Advances at a floating per annum rate equal to the greater of (i) seven and one-half of one percent (7.50%) and (ii) two percent (2.0%) above the prime rate. The First Amendment to the 2019 Term Loan increased the final payment fee, payable upon our repayment of the Loan Advances from 6.0% to 6.30% of the original principal amount of the Loan Advances.</w:t>
      </w:r>
    </w:p>
    <w:p>
      <w:pPr>
        <w:spacing w:after="0" w:line="168" w:lineRule="exact"/>
        <w:rPr>
          <w:sz w:val="20"/>
          <w:szCs w:val="20"/>
          <w:color w:val="auto"/>
        </w:rPr>
      </w:pPr>
    </w:p>
    <w:p>
      <w:pPr>
        <w:ind w:right="60" w:firstLine="648"/>
        <w:spacing w:after="0" w:line="214" w:lineRule="auto"/>
        <w:rPr>
          <w:sz w:val="20"/>
          <w:szCs w:val="20"/>
          <w:color w:val="auto"/>
        </w:rPr>
      </w:pPr>
      <w:r>
        <w:rPr>
          <w:rFonts w:ascii="Arial" w:cs="Arial" w:eastAsia="Arial" w:hAnsi="Arial"/>
          <w:sz w:val="18"/>
          <w:szCs w:val="18"/>
          <w:color w:val="auto"/>
        </w:rPr>
        <w:t>We may prepay all, but not less than all of the Loan Advances, subject to a prepayment fee of 3.0% of any amount prepaid prior to the first anniversary of July 25, 2019, or the First Amendment Effective Date, 2.0% of the amount prepaid if the prepayment occurs after the first anniversary of the First Amendment Effective Date through and including the second anniversary of the First Amendment Effective Date, or 1.0% of the amount prepaid if the prepayment occurs after the second anniversary of the First Amendment Effective Date, but prior to the Maturity Date. These percentages are unchanged from the original 2019 Term Loan.</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2" w:lineRule="auto"/>
        <w:rPr>
          <w:sz w:val="20"/>
          <w:szCs w:val="20"/>
          <w:color w:val="auto"/>
        </w:rPr>
      </w:pPr>
      <w:r>
        <w:rPr>
          <w:rFonts w:ascii="Arial" w:cs="Arial" w:eastAsia="Arial" w:hAnsi="Arial"/>
          <w:sz w:val="18"/>
          <w:szCs w:val="18"/>
          <w:color w:val="auto"/>
        </w:rPr>
        <w:t>The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165"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2019 Term Loan if an event of default occurs under the 2019 Term Loan. Under the 2019 Term Loan, an event of default will occur if, among other things, we fail to make payments under the 2019 Term Loan; we breach any of our covenants under the 2019 Term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2019 Term Loan, subject to the covenants and limitations described in the 2019 Term Loan.</w:t>
      </w:r>
    </w:p>
    <w:p>
      <w:pPr>
        <w:spacing w:after="0" w:line="163"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163"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AXS-05 for the treatment of TRD in March 2016, our Phase 2/3 trial with AXS-05 for the treatment of agitation associated with AD in July 2017, our Phase 2 with AXS-05 for the treatment of MDD in June 2018, our Phase 2 trial with AXS-12 for the treatment of narcolepsy in January 2019, our Phase 3 trial with AXS-07 for the acute treatment of migraine in March 2019, our Phase 3 trial with AXS-05 for MDD in June 2019, and our second Phase 3 trial with AXS-07 for treatment of acute migraine in October 2019. We began enrolling patients in two open-label safety studies for (i) AXS-05 in the treatment of depression and (ii) AXS-07 in the acute treatment of migraine in July 2019. As a result of one or more risks discussed in this section, we cannot assure you that we will meet projected timelines related to these trials.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0"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a limited number of studies with our product candidates to date. For AXS-05, we completed three Phase 1 pharmacokinetic studies and one Phase 2 trial in major depressive disorder. A Phase 2 trial of AXS-05 in smoking cessation was completed under a collaboration with Duke University. For AXS-07, we have only conducted two Phase 1 clinical trials. For AXS-09, we have only completed one Phase 1 clinical trial. Finally, for AXS-12, we have not completed a clinical trial.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 The completion of one or more of our previously disclosed clinical trials for our product candidates is not an indication or guarantee that that the final results of such trials, in and of themselves, are or will be positive, or that such results will be sufficient to support the filing of an NDA with the FDA or similar approval filings with comparable foreign authorities for our applicable product candidates.</w:t>
      </w:r>
    </w:p>
    <w:p>
      <w:pPr>
        <w:spacing w:after="0" w:line="16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The independent data monitoring committee recommended continuation of our COAST-1 trial and discontinuation of our CREATE-1 trial for futility. We had paused screening in the COAST-1 trial prior to the conduct of the interim analysis for that trial and currently, we are in the process of closing out the trial. We conducted one interim analysis for the ongoing Phase 3 trial of AXS-05 in TRD and one interim analysis for the Phase 2/3 trial of AXS-05 for the treatment of AD agitation. We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166" w:lineRule="exact"/>
        <w:rPr>
          <w:sz w:val="20"/>
          <w:szCs w:val="20"/>
          <w:color w:val="auto"/>
        </w:rPr>
      </w:pPr>
    </w:p>
    <w:p>
      <w:pPr>
        <w:ind w:right="320"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660" w:right="400" w:hanging="333"/>
        <w:spacing w:after="0" w:line="23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660" w:right="880" w:hanging="333"/>
        <w:spacing w:after="0" w:line="23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660" w:right="440" w:hanging="333"/>
        <w:spacing w:after="0" w:line="235"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184" w:lineRule="exact"/>
        <w:rPr>
          <w:rFonts w:ascii="Arial" w:cs="Arial" w:eastAsia="Arial" w:hAnsi="Arial"/>
          <w:sz w:val="18"/>
          <w:szCs w:val="18"/>
          <w:color w:val="auto"/>
        </w:rPr>
      </w:pPr>
    </w:p>
    <w:p>
      <w:pPr>
        <w:ind w:left="660" w:right="440" w:hanging="333"/>
        <w:spacing w:after="0" w:line="203" w:lineRule="exact"/>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185"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depression, agitation associated with AD, and smoking cessation, AXS-07 for the acute treatment of migraine, and AXS-12 for the treatment of narcolepsy.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39"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20" w:firstLine="648"/>
        <w:spacing w:after="0" w:line="223" w:lineRule="auto"/>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molecules as our product candidate, AXS-07 may result in fatigue, confusion, dry mouth, diarrhea, nausea, insomnia, anemia, increased appetite, anxiety, sweating, dizziness, palpitations, arrythmia, tachycardia, abnormal vision, syncope, seizure, tremor, tinnitus, dizziness, somnolence, paresthesia, dysgeusia, dyspepsia, constipation, weight increase or decrease, gastritis, hematuria, flatulence, esophagitis, gastric ulcers, gastroesophageal reflux, gastrointestinal hemorrhages, colitis, rash, pain or tightness in the chest, neck, throat or jaw, upper respiratory tract infections, influenza-like symptoms, or other adverse events or potential adverse events reported or discussed in the product labels for meloxicam containing or rizatriptan-containing products including Vivlodex, Mobic, and Maxalt.</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Based on the side effects disclosed in EMA product label for marketed drugs that contain the same active molecule as our product candidate, AXS-12 may result in decreased appetite, insomnia, agitation, anxiety, dizziness, headache, paraesthesia, akathisia, dysgeusia, accommodation disorder, mydriasis, glaucoma, vertigo, tachycardia, palpitations, vasodilation, hypotension, hypertension, dry mouth, vomiting, hyperhidrosis, rash, sensation of incomplete bladder emptying, urinary tract infection, dysuria, urinary retention, erectile dysfunction, ejaculatory pain, ejaculatory delay, chills, or other adverse events or potential adverse events reported or discussed in the product labels for reboxetine containing products including Edronax.</w:t>
      </w:r>
    </w:p>
    <w:p>
      <w:pPr>
        <w:spacing w:after="0" w:line="165"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6"/>
          <w:szCs w:val="16"/>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6"/>
          <w:szCs w:val="16"/>
          <w:color w:val="auto"/>
        </w:rPr>
        <w:t>‑</w:t>
      </w:r>
      <w:r>
        <w:rPr>
          <w:rFonts w:ascii="Arial" w:cs="Arial" w:eastAsia="Arial" w:hAnsi="Arial"/>
          <w:sz w:val="16"/>
          <w:szCs w:val="16"/>
          <w:color w:val="auto"/>
        </w:rPr>
        <w:t>initiated Phase 2 clinical trials and other third</w:t>
      </w:r>
      <w:r>
        <w:rPr>
          <w:rFonts w:ascii="MS PGothic" w:cs="MS PGothic" w:eastAsia="MS PGothic" w:hAnsi="MS PGothic"/>
          <w:sz w:val="16"/>
          <w:szCs w:val="16"/>
          <w:color w:val="auto"/>
        </w:rPr>
        <w:t>‑</w:t>
      </w:r>
      <w:r>
        <w:rPr>
          <w:rFonts w:ascii="Arial" w:cs="Arial" w:eastAsia="Arial" w:hAnsi="Arial"/>
          <w:sz w:val="16"/>
          <w:szCs w:val="16"/>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6"/>
          <w:szCs w:val="16"/>
          <w:color w:val="auto"/>
        </w:rPr>
        <w:t>‑</w:t>
      </w:r>
      <w:r>
        <w:rPr>
          <w:rFonts w:ascii="Arial" w:cs="Arial" w:eastAsia="Arial" w:hAnsi="Arial"/>
          <w:sz w:val="16"/>
          <w:szCs w:val="16"/>
          <w:color w:val="auto"/>
        </w:rPr>
        <w:t>05 and AXS-07.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6"/>
          <w:szCs w:val="16"/>
          <w:color w:val="auto"/>
        </w:rPr>
        <w:t>‑</w:t>
      </w:r>
      <w:r>
        <w:rPr>
          <w:rFonts w:ascii="Arial" w:cs="Arial" w:eastAsia="Arial" w:hAnsi="Arial"/>
          <w:sz w:val="16"/>
          <w:szCs w:val="16"/>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6"/>
          <w:szCs w:val="16"/>
          <w:color w:val="auto"/>
        </w:rPr>
        <w:t>‑</w:t>
      </w:r>
      <w:r>
        <w:rPr>
          <w:rFonts w:ascii="Arial" w:cs="Arial" w:eastAsia="Arial" w:hAnsi="Arial"/>
          <w:sz w:val="16"/>
          <w:szCs w:val="16"/>
          <w:color w:val="auto"/>
        </w:rPr>
        <w:t>05 and AXS</w:t>
      </w:r>
      <w:r>
        <w:rPr>
          <w:rFonts w:ascii="MS PGothic" w:cs="MS PGothic" w:eastAsia="MS PGothic" w:hAnsi="MS PGothic"/>
          <w:sz w:val="16"/>
          <w:szCs w:val="16"/>
          <w:color w:val="auto"/>
        </w:rPr>
        <w:t>‑</w:t>
      </w:r>
      <w:r>
        <w:rPr>
          <w:rFonts w:ascii="Arial" w:cs="Arial" w:eastAsia="Arial" w:hAnsi="Arial"/>
          <w:sz w:val="16"/>
          <w:szCs w:val="16"/>
          <w:color w:val="auto"/>
        </w:rPr>
        <w:t>07 pursuant to the 505(b)(2) process, we have not conducted certain additional clinical trials for these product candidates and, as such, we will have less experience with actual testing of the product candidate.</w:t>
      </w:r>
    </w:p>
    <w:p>
      <w:pPr>
        <w:spacing w:after="0" w:line="170" w:lineRule="exact"/>
        <w:rPr>
          <w:sz w:val="20"/>
          <w:szCs w:val="20"/>
          <w:color w:val="auto"/>
        </w:rPr>
      </w:pPr>
    </w:p>
    <w:p>
      <w:pPr>
        <w:ind w:right="220" w:firstLine="648"/>
        <w:spacing w:after="0" w:line="226" w:lineRule="auto"/>
        <w:rPr>
          <w:sz w:val="20"/>
          <w:szCs w:val="20"/>
          <w:color w:val="auto"/>
        </w:rPr>
      </w:pPr>
      <w:r>
        <w:rPr>
          <w:rFonts w:ascii="Arial" w:cs="Arial" w:eastAsia="Arial" w:hAnsi="Arial"/>
          <w:sz w:val="17"/>
          <w:szCs w:val="17"/>
          <w:color w:val="auto"/>
        </w:rPr>
        <w:t>There may also be circumstances under which the FDA would not allow us to pursue a 505(b)(2) application. For instance, should the FDA approve a pharmaceutically equivalent product to our product candidates before we obtain approval,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168"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6"/>
          <w:szCs w:val="16"/>
          <w:color w:val="auto"/>
        </w:rPr>
        <w:t>‑</w:t>
      </w:r>
      <w:r>
        <w:rPr>
          <w:rFonts w:ascii="Arial" w:cs="Arial" w:eastAsia="Arial" w:hAnsi="Arial"/>
          <w:sz w:val="16"/>
          <w:szCs w:val="16"/>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167" w:lineRule="exact"/>
        <w:rPr>
          <w:sz w:val="20"/>
          <w:szCs w:val="20"/>
          <w:color w:val="auto"/>
        </w:rPr>
      </w:pPr>
    </w:p>
    <w:p>
      <w:pPr>
        <w:ind w:right="22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4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right="140" w:firstLine="648"/>
        <w:spacing w:after="0" w:line="181" w:lineRule="exact"/>
        <w:rPr>
          <w:sz w:val="20"/>
          <w:szCs w:val="20"/>
          <w:color w:val="auto"/>
        </w:rPr>
      </w:pPr>
      <w:r>
        <w:rPr>
          <w:rFonts w:ascii="Arial" w:cs="Arial" w:eastAsia="Arial" w:hAnsi="Arial"/>
          <w:sz w:val="16"/>
          <w:szCs w:val="16"/>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6"/>
          <w:szCs w:val="16"/>
          <w:color w:val="auto"/>
        </w:rPr>
        <w:t>‑</w:t>
      </w:r>
      <w:r>
        <w:rPr>
          <w:rFonts w:ascii="Arial" w:cs="Arial" w:eastAsia="Arial" w:hAnsi="Arial"/>
          <w:sz w:val="16"/>
          <w:szCs w:val="16"/>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and the submission of information about the product manufacturing process to, and inspection of manufacturing facilities and clinical trial sites by, the regulatory authorities.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We may also experience numerous unforeseen events during, or as a result of, clinical trials and in the course of our preparation, submission, and review of NDA filings that could delay or prevent our ability to receive marketing approval or commercialize our product candidates, including:</w:t>
      </w:r>
    </w:p>
    <w:p>
      <w:pPr>
        <w:spacing w:after="0" w:line="163" w:lineRule="exact"/>
        <w:rPr>
          <w:sz w:val="20"/>
          <w:szCs w:val="20"/>
          <w:color w:val="auto"/>
        </w:rPr>
      </w:pPr>
    </w:p>
    <w:p>
      <w:pPr>
        <w:ind w:left="66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660" w:right="160" w:hanging="333"/>
        <w:spacing w:after="0" w:line="23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161" w:lineRule="exact"/>
        <w:rPr>
          <w:rFonts w:ascii="Arial" w:cs="Arial" w:eastAsia="Arial" w:hAnsi="Arial"/>
          <w:sz w:val="17"/>
          <w:szCs w:val="17"/>
          <w:color w:val="auto"/>
        </w:rPr>
      </w:pPr>
    </w:p>
    <w:p>
      <w:pPr>
        <w:jc w:val="both"/>
        <w:ind w:left="660" w:right="280" w:hanging="333"/>
        <w:spacing w:after="0" w:line="2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rFonts w:ascii="Arial" w:cs="Arial" w:eastAsia="Arial" w:hAnsi="Arial"/>
          <w:sz w:val="18"/>
          <w:szCs w:val="18"/>
          <w:color w:val="auto"/>
        </w:rPr>
      </w:pPr>
    </w:p>
    <w:p>
      <w:pPr>
        <w:ind w:left="660" w:right="260" w:hanging="333"/>
        <w:spacing w:after="0" w:line="22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rFonts w:ascii="Arial" w:cs="Arial" w:eastAsia="Arial" w:hAnsi="Arial"/>
          <w:sz w:val="18"/>
          <w:szCs w:val="18"/>
          <w:color w:val="auto"/>
        </w:rPr>
      </w:pPr>
    </w:p>
    <w:p>
      <w:pPr>
        <w:ind w:left="660" w:right="300" w:hanging="333"/>
        <w:spacing w:after="0" w:line="194" w:lineRule="exact"/>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660" w:right="160" w:hanging="333"/>
        <w:spacing w:after="0" w:line="244"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8" w:lineRule="exact"/>
        <w:rPr>
          <w:rFonts w:ascii="Arial" w:cs="Arial" w:eastAsia="Arial" w:hAnsi="Arial"/>
          <w:sz w:val="16"/>
          <w:szCs w:val="16"/>
          <w:color w:val="auto"/>
        </w:rPr>
      </w:pPr>
    </w:p>
    <w:p>
      <w:pPr>
        <w:ind w:left="660" w:right="4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80" w:hanging="333"/>
        <w:spacing w:after="0" w:line="289"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660" w:right="14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660" w:right="100" w:hanging="333"/>
        <w:spacing w:after="0" w:line="180" w:lineRule="exact"/>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we may decide, or regulators may require us, to conduct additional clinical trials, analyses, reports, data, or preclinical/nonclinical studies than we currently plan, or we may abandon product development programs. For instance, with respect to AXS</w:t>
      </w:r>
      <w:r>
        <w:rPr>
          <w:rFonts w:ascii="MS PGothic" w:cs="MS PGothic" w:eastAsia="MS PGothic" w:hAnsi="MS PGothic"/>
          <w:sz w:val="17"/>
          <w:szCs w:val="17"/>
          <w:color w:val="auto"/>
        </w:rPr>
        <w:t>‑</w:t>
      </w:r>
      <w:r>
        <w:rPr>
          <w:rFonts w:ascii="Arial" w:cs="Arial" w:eastAsia="Arial" w:hAnsi="Arial"/>
          <w:sz w:val="17"/>
          <w:szCs w:val="17"/>
          <w:color w:val="auto"/>
        </w:rPr>
        <w:t>05, we may need to conduct additional clinical and preclinical studies in addition to our Phase 3 and Phase 2/3 trials in order to file an NDA for this product candidate. Additionally, although we believe that we may be able to rely on the completed Phase 2 ASCEND trial and either the Phase 3 STRIDE-1 trial or the Phase 3 placebo-controlled GEMINI trial in MDD to support an NDA for AXS-05 for the treatment of MDD and on the MOMENTUM study, which is being conducted pursuant to a Special Protocol Assessment, or SPA, to support an NDA for AXS-07 for the acute treatment of migraine, the FDA may ultimately require us to conduct additional one or more clinical studies to support the filing of an NDA for either of these product candidates. Finally, for AXS-12, we will need to conduct additional clinical studies in addition to our newly initiated Phase 2 trial in order to file an NDA for this product candidate. The outcome of our studies may further necessitate additional clinical or preclinical work;</w:t>
      </w:r>
    </w:p>
    <w:p>
      <w:pPr>
        <w:spacing w:after="0" w:line="162" w:lineRule="exact"/>
        <w:rPr>
          <w:rFonts w:ascii="Arial" w:cs="Arial" w:eastAsia="Arial" w:hAnsi="Arial"/>
          <w:sz w:val="17"/>
          <w:szCs w:val="17"/>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161" w:lineRule="exact"/>
        <w:rPr>
          <w:rFonts w:ascii="Arial" w:cs="Arial" w:eastAsia="Arial" w:hAnsi="Arial"/>
          <w:sz w:val="18"/>
          <w:szCs w:val="18"/>
          <w:color w:val="auto"/>
        </w:rPr>
      </w:pPr>
    </w:p>
    <w:p>
      <w:pPr>
        <w:ind w:left="660" w:right="260" w:hanging="333"/>
        <w:spacing w:after="0" w:line="23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61" w:lineRule="exact"/>
        <w:rPr>
          <w:rFonts w:ascii="Arial" w:cs="Arial" w:eastAsia="Arial" w:hAnsi="Arial"/>
          <w:sz w:val="17"/>
          <w:szCs w:val="17"/>
          <w:color w:val="auto"/>
        </w:rPr>
      </w:pPr>
    </w:p>
    <w:p>
      <w:pPr>
        <w:ind w:left="660" w:right="38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660" w:right="140" w:hanging="333"/>
        <w:spacing w:after="0" w:line="184" w:lineRule="exact"/>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rFonts w:ascii="Arial" w:cs="Arial" w:eastAsia="Arial" w:hAnsi="Arial"/>
          <w:sz w:val="17"/>
          <w:szCs w:val="17"/>
          <w:color w:val="auto"/>
        </w:rPr>
      </w:pPr>
    </w:p>
    <w:p>
      <w:pPr>
        <w:ind w:left="660" w:hanging="333"/>
        <w:spacing w:after="0" w:line="211"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4"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580" w:hanging="333"/>
        <w:spacing w:after="0" w:line="25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660" w:right="60" w:hanging="333"/>
        <w:spacing w:after="0" w:line="289"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connection with the chemistry, manufacturing, and controls (CMC) data necessary for our NDA filings, we will need to conduct stability studies and provide stability data to establish appropriate retest or expiration dating period;</w:t>
      </w:r>
    </w:p>
    <w:p>
      <w:pPr>
        <w:spacing w:after="0" w:line="124" w:lineRule="exact"/>
        <w:rPr>
          <w:rFonts w:ascii="Arial" w:cs="Arial" w:eastAsia="Arial" w:hAnsi="Arial"/>
          <w:sz w:val="16"/>
          <w:szCs w:val="16"/>
          <w:color w:val="auto"/>
        </w:rPr>
      </w:pPr>
    </w:p>
    <w:p>
      <w:pPr>
        <w:ind w:left="660" w:right="80" w:hanging="333"/>
        <w:spacing w:after="0" w:line="216"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applicable to all future drug substance and drug product batches manufactured, packaged, and stored under similar circumstances, to establish the long-term storage conditions, and to provide evidence of the effect of various environmental conditions on the quality of the drug substance and drug product. Our product candidates may not demonstrate sufficient long-term stability to support an NDA filing or obtain approval, or the product shelf life may be limited by stability results;</w:t>
      </w:r>
    </w:p>
    <w:p>
      <w:pPr>
        <w:spacing w:after="0" w:line="162"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4"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jc w:val="both"/>
        <w:ind w:left="660" w:right="220" w:hanging="333"/>
        <w:spacing w:after="0" w:line="23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161" w:lineRule="exact"/>
        <w:rPr>
          <w:rFonts w:ascii="Arial" w:cs="Arial" w:eastAsia="Arial" w:hAnsi="Arial"/>
          <w:sz w:val="17"/>
          <w:szCs w:val="17"/>
          <w:color w:val="auto"/>
        </w:rPr>
      </w:pPr>
    </w:p>
    <w:p>
      <w:pPr>
        <w:ind w:left="660" w:hanging="333"/>
        <w:spacing w:after="0" w:line="207" w:lineRule="exact"/>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648"/>
        <w:spacing w:after="0" w:line="210"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During the course of review, the FDA may also request or require additional CMC, or other data and information, and the development and provision of these data and information may be time consuming and expensive.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26" w:lineRule="exact"/>
        <w:rPr>
          <w:sz w:val="20"/>
          <w:szCs w:val="20"/>
          <w:color w:val="auto"/>
        </w:rPr>
      </w:pPr>
    </w:p>
    <w:p>
      <w:pPr>
        <w:ind w:right="199"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99"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499"/>
        <w:spacing w:after="0" w:line="235" w:lineRule="auto"/>
        <w:rPr>
          <w:sz w:val="20"/>
          <w:szCs w:val="20"/>
          <w:color w:val="auto"/>
        </w:rPr>
      </w:pPr>
      <w:r>
        <w:rPr>
          <w:rFonts w:ascii="Arial" w:cs="Arial" w:eastAsia="Arial" w:hAnsi="Arial"/>
          <w:sz w:val="18"/>
          <w:szCs w:val="18"/>
          <w:b w:val="1"/>
          <w:bCs w:val="1"/>
          <w:i w:val="1"/>
          <w:iCs w:val="1"/>
          <w:color w:val="auto"/>
        </w:rPr>
        <w:t>If we cannot demonstrate an acceptable safety and toxicity profile for our product candidates, we will not be able to continue our clinical trials of or obtain approval for those product candidates.</w:t>
      </w:r>
    </w:p>
    <w:p>
      <w:pPr>
        <w:spacing w:after="0" w:line="162" w:lineRule="exact"/>
        <w:rPr>
          <w:sz w:val="20"/>
          <w:szCs w:val="20"/>
          <w:color w:val="auto"/>
        </w:rPr>
      </w:pPr>
    </w:p>
    <w:p>
      <w:pPr>
        <w:ind w:right="79" w:firstLine="648"/>
        <w:spacing w:after="0" w:line="223" w:lineRule="auto"/>
        <w:rPr>
          <w:sz w:val="20"/>
          <w:szCs w:val="20"/>
          <w:color w:val="auto"/>
        </w:rPr>
      </w:pPr>
      <w:r>
        <w:rPr>
          <w:rFonts w:ascii="Arial" w:cs="Arial" w:eastAsia="Arial" w:hAnsi="Arial"/>
          <w:sz w:val="17"/>
          <w:szCs w:val="17"/>
          <w:color w:val="auto"/>
        </w:rPr>
        <w:t>In order to obtain approval of a product candidate we must demonstrate safety in various nonclinical tests (including, for example, carcinogenicity studies, drug-drug interaction studies, and toxicity studies), in addition to human clinical trials. At the time of initiating human clinical trials, we may not have conducted or may not conduct all the types of nonclinical testing ultimately required by regulatory authorities, or future nonclinical tests may indicate safety concerns regarding our product candidates. Nonclinical testing and clinical testing are both expensive and time-consuming and have uncertain outcomes. Even if initial tests appear favorable, later testing may have unfavorable results. We may experience numerous unforeseen events during, or as a result of, the testing process, which could delay or prevent our ability to develop or commercialize our product candidates, including:</w:t>
      </w:r>
    </w:p>
    <w:p>
      <w:pPr>
        <w:spacing w:after="0" w:line="168" w:lineRule="exact"/>
        <w:rPr>
          <w:sz w:val="20"/>
          <w:szCs w:val="20"/>
          <w:color w:val="auto"/>
        </w:rPr>
      </w:pPr>
    </w:p>
    <w:p>
      <w:pPr>
        <w:ind w:left="1300" w:right="499" w:hanging="325"/>
        <w:spacing w:after="0" w:line="258" w:lineRule="auto"/>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our preclinical or nonclinical testing may product inconclusive or negative safety results, which may require us to conduct additional nonclinical testing or to abandon product candidates;</w:t>
      </w:r>
    </w:p>
    <w:p>
      <w:pPr>
        <w:spacing w:after="0" w:line="146" w:lineRule="exact"/>
        <w:rPr>
          <w:rFonts w:ascii="Arial" w:cs="Arial" w:eastAsia="Arial" w:hAnsi="Arial"/>
          <w:sz w:val="17"/>
          <w:szCs w:val="17"/>
          <w:color w:val="auto"/>
        </w:rPr>
      </w:pPr>
    </w:p>
    <w:p>
      <w:pPr>
        <w:ind w:left="1300" w:right="99" w:hanging="325"/>
        <w:spacing w:after="0" w:line="235"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have unfavorable pharmacology or toxicity characteristics or suggest possible drug-drug interaction;</w:t>
      </w:r>
    </w:p>
    <w:p>
      <w:pPr>
        <w:spacing w:after="0" w:line="161"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product candidates may cause undesirable side effects; and</w:t>
      </w:r>
    </w:p>
    <w:p>
      <w:pPr>
        <w:spacing w:after="0" w:line="184" w:lineRule="exact"/>
        <w:rPr>
          <w:rFonts w:ascii="Arial" w:cs="Arial" w:eastAsia="Arial" w:hAnsi="Arial"/>
          <w:sz w:val="18"/>
          <w:szCs w:val="18"/>
          <w:color w:val="auto"/>
        </w:rPr>
      </w:pPr>
    </w:p>
    <w:p>
      <w:pPr>
        <w:ind w:left="1300" w:hanging="325"/>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FDA or other regulatory authorities may determine that additional safety testing is required.</w:t>
      </w:r>
    </w:p>
    <w:p>
      <w:pPr>
        <w:spacing w:after="0" w:line="185" w:lineRule="exact"/>
        <w:rPr>
          <w:sz w:val="20"/>
          <w:szCs w:val="20"/>
          <w:color w:val="auto"/>
        </w:rPr>
      </w:pPr>
    </w:p>
    <w:p>
      <w:pPr>
        <w:ind w:right="459" w:firstLine="648"/>
        <w:spacing w:after="0" w:line="258" w:lineRule="auto"/>
        <w:rPr>
          <w:sz w:val="20"/>
          <w:szCs w:val="20"/>
          <w:color w:val="auto"/>
        </w:rPr>
      </w:pPr>
      <w:r>
        <w:rPr>
          <w:rFonts w:ascii="Arial" w:cs="Arial" w:eastAsia="Arial" w:hAnsi="Arial"/>
          <w:sz w:val="17"/>
          <w:szCs w:val="17"/>
          <w:color w:val="auto"/>
        </w:rPr>
        <w:t>Any such events would increase our costs and could delay or prevent our ability to commercialize our product candidates, which could adversely impact our business, financial condition and results of operation.</w:t>
      </w:r>
    </w:p>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165"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8"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2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19"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660" w:right="699" w:hanging="33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660" w:right="99" w:hanging="333"/>
        <w:spacing w:after="0" w:line="235"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4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clinical trials with AXS-02 for the treatment of the pain of knee OA associated with BMLs and clinical trials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any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treatment of agitation associated with AD, we exclude patients who have been treated with certain classes of medications. For our Phase 3 MOMENTUM clinical trial with AXS-07 for the acute treatment of migraine, only patients with a history of inadequate response to prior migraine treatments will be enrolled.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232"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Enrollment delays or slower periods of enrollment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3"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 agent product candidate.</w:t>
      </w:r>
    </w:p>
    <w:p>
      <w:pPr>
        <w:spacing w:after="0" w:line="157"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The FDA’s requirements concerning combination products may change in the future. Moreover, the applicable requirements for approval may differ from country to country.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167"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Although the breakthrough therapy process is designed to expedite the review and development of drugs, Breakthrough Therapy designation by the FDA for AXS-05 for the treatment of MDD may not ultimately lead to a faster development or regulatory review or approval process, and it will not increase the likelihood that the product candidate will receive marketing approval.</w:t>
      </w:r>
    </w:p>
    <w:p>
      <w:pPr>
        <w:spacing w:after="0" w:line="163" w:lineRule="exact"/>
        <w:rPr>
          <w:sz w:val="20"/>
          <w:szCs w:val="20"/>
          <w:color w:val="auto"/>
        </w:rPr>
      </w:pPr>
    </w:p>
    <w:p>
      <w:pPr>
        <w:ind w:right="40" w:firstLine="648"/>
        <w:spacing w:after="0" w:line="223" w:lineRule="auto"/>
        <w:rPr>
          <w:sz w:val="20"/>
          <w:szCs w:val="20"/>
          <w:color w:val="auto"/>
        </w:rPr>
      </w:pPr>
      <w:r>
        <w:rPr>
          <w:rFonts w:ascii="Arial" w:cs="Arial" w:eastAsia="Arial" w:hAnsi="Arial"/>
          <w:sz w:val="17"/>
          <w:szCs w:val="17"/>
          <w:color w:val="auto"/>
        </w:rPr>
        <w:t>We received Breakthrough Therapy designation for AXS-05 for the treatment of MDD. A breakthrough therapy is defined as a product candidate that is intended, alone or in combination with one or more other drugs, to treat a serious or life-threatening disease or condition, and preliminary clinical evidence indicates that the product candidate may demonstrate substantial improvement over existing therapies on one or more clinically significant endpoints, such as substantial treatment effects observed early in clinical development. For product candidates that have been designated as breakthrough therapies, interaction and communication between the FDA and the sponsor of the trial can help to identify the most efficient path for clinical development while minimizing the number of patients placed in ineffective control regimens. Product candidates designated as breakthrough therapies by the FDA are also eligible for priority review if supported by clinical data at the time of the submission of the NDA.</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Designation as a breakthrough therapy is within the discretion of the FDA. The receipt of a Breakthrough Therapy designation for a product candidate may not ultimately result in a faster development process or review, and it does not in any way assure approval of product candidates by the FDA. In addition, the FDA may later decide to rescind the Breakthrough Therapy designation if our product candidate no longer meets the conditions for qualification of this program.</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165"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Recent court decisions have impacted the FDA’s enforcement activity regarding off-label promotion in light of First Amendment considerations; however, there are still significant risks in this area in part due to the potential False Claims Act exposure. The False Claims Act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166" w:lineRule="exact"/>
        <w:rPr>
          <w:sz w:val="20"/>
          <w:szCs w:val="20"/>
          <w:color w:val="auto"/>
        </w:rPr>
      </w:pPr>
    </w:p>
    <w:p>
      <w:pPr>
        <w:ind w:right="80" w:firstLine="648"/>
        <w:spacing w:after="0" w:line="239" w:lineRule="auto"/>
        <w:rPr>
          <w:sz w:val="20"/>
          <w:szCs w:val="20"/>
          <w:color w:val="auto"/>
        </w:rPr>
      </w:pPr>
      <w:r>
        <w:rPr>
          <w:rFonts w:ascii="Arial" w:cs="Arial" w:eastAsia="Arial" w:hAnsi="Arial"/>
          <w:sz w:val="16"/>
          <w:szCs w:val="16"/>
          <w:color w:val="auto"/>
        </w:rPr>
        <w:t>In the United States, the distribution of product samples to physicians must further comply with the requirements of the U.S. Prescription Drug Marketing Act. If the FDA determines that our promotional materials or activities violate its regulations and policies pertaining to product promotion, it could request that we modify our promotional materials or activities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requirements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clinical holds or termination of clinical trials;</w:t>
      </w:r>
    </w:p>
    <w:p>
      <w:pPr>
        <w:spacing w:after="0" w:line="196" w:lineRule="exact"/>
        <w:rPr>
          <w:rFonts w:ascii="Arial" w:cs="Arial" w:eastAsia="Arial" w:hAnsi="Arial"/>
          <w:sz w:val="17"/>
          <w:szCs w:val="17"/>
          <w:color w:val="auto"/>
        </w:rPr>
      </w:pPr>
    </w:p>
    <w:p>
      <w:pPr>
        <w:ind w:left="660" w:right="240" w:hanging="333"/>
        <w:spacing w:after="0" w:line="232"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2" w:lineRule="exact"/>
        <w:rPr>
          <w:rFonts w:ascii="Arial" w:cs="Arial" w:eastAsia="Arial" w:hAnsi="Arial"/>
          <w:sz w:val="17"/>
          <w:szCs w:val="17"/>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warning; or untitled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660" w:right="1080" w:hanging="333"/>
        <w:spacing w:after="0" w:line="25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660" w:right="540" w:hanging="333"/>
        <w:spacing w:after="0" w:line="28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jc w:val="both"/>
        <w:ind w:left="660" w:right="80" w:hanging="333"/>
        <w:spacing w:after="0" w:line="194" w:lineRule="exact"/>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potential for so</w:t>
      </w:r>
      <w:r>
        <w:rPr>
          <w:rFonts w:ascii="MS PGothic" w:cs="MS PGothic" w:eastAsia="MS PGothic" w:hAnsi="MS PGothic"/>
          <w:sz w:val="17"/>
          <w:szCs w:val="17"/>
          <w:color w:val="auto"/>
        </w:rPr>
        <w:t>‑</w:t>
      </w:r>
      <w:r>
        <w:rPr>
          <w:rFonts w:ascii="Arial" w:cs="Arial" w:eastAsia="Arial" w:hAnsi="Arial"/>
          <w:sz w:val="17"/>
          <w:szCs w:val="17"/>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340" w:hanging="333"/>
        <w:spacing w:after="0" w:line="22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Jazz Pharmaceuticals plc; Levolta Pharmaceuticals, Inc.; Otsuka Pharmaceutical Co. Ltd.; and OPKO Health, Inc.</w:t>
      </w:r>
    </w:p>
    <w:p>
      <w:pPr>
        <w:spacing w:after="0" w:line="16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40" w:firstLine="648"/>
        <w:spacing w:after="0" w:line="184" w:lineRule="exact"/>
        <w:rPr>
          <w:sz w:val="20"/>
          <w:szCs w:val="20"/>
          <w:color w:val="auto"/>
        </w:rPr>
      </w:pPr>
      <w:r>
        <w:rPr>
          <w:rFonts w:ascii="Arial" w:cs="Arial" w:eastAsia="Arial" w:hAnsi="Arial"/>
          <w:sz w:val="16"/>
          <w:szCs w:val="16"/>
          <w:color w:val="auto"/>
        </w:rPr>
        <w:t>Generic forms of the active ingredients of our product candidates, including zoledronic acid, DM, bupropion, meloxicam, rizatripan, reboxetine, and esomeprazole,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6"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60"/>
        <w:spacing w:after="0" w:line="284" w:lineRule="auto"/>
        <w:rPr>
          <w:sz w:val="20"/>
          <w:szCs w:val="20"/>
          <w:color w:val="auto"/>
        </w:rPr>
      </w:pPr>
      <w:r>
        <w:rPr>
          <w:rFonts w:ascii="Arial" w:cs="Arial" w:eastAsia="Arial" w:hAnsi="Arial"/>
          <w:sz w:val="15"/>
          <w:szCs w:val="15"/>
          <w:b w:val="1"/>
          <w:bCs w:val="1"/>
          <w:i w:val="1"/>
          <w:iCs w:val="1"/>
          <w:color w:val="auto"/>
        </w:rPr>
        <w:t>AXS-12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30" w:lineRule="exact"/>
        <w:rPr>
          <w:sz w:val="20"/>
          <w:szCs w:val="20"/>
          <w:color w:val="auto"/>
        </w:rPr>
      </w:pPr>
    </w:p>
    <w:p>
      <w:pPr>
        <w:ind w:right="220" w:firstLine="648"/>
        <w:spacing w:after="0" w:line="235" w:lineRule="auto"/>
        <w:rPr>
          <w:sz w:val="20"/>
          <w:szCs w:val="20"/>
          <w:color w:val="auto"/>
        </w:rPr>
      </w:pPr>
      <w:r>
        <w:rPr>
          <w:rFonts w:ascii="Arial" w:cs="Arial" w:eastAsia="Arial" w:hAnsi="Arial"/>
          <w:sz w:val="18"/>
          <w:szCs w:val="18"/>
          <w:color w:val="auto"/>
        </w:rPr>
        <w:t>AXS-12 received Orphan Drug Designation from FDA for the treatment of narcolepsy. We may also seek Orphan Drug Designation for our other product candidates, as appropriate.</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 for this indication for a period of at least 10 to 12 years.</w:t>
      </w:r>
    </w:p>
    <w:p>
      <w:pPr>
        <w:spacing w:after="0" w:line="163" w:lineRule="exact"/>
        <w:rPr>
          <w:sz w:val="20"/>
          <w:szCs w:val="20"/>
          <w:color w:val="auto"/>
        </w:rPr>
      </w:pPr>
    </w:p>
    <w:p>
      <w:pPr>
        <w:jc w:val="both"/>
        <w:ind w:right="59"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recruit, train, manage, and retain adequate numbers of effective sales and marketing personnel;</w:t>
      </w:r>
    </w:p>
    <w:p>
      <w:pPr>
        <w:spacing w:after="0" w:line="196" w:lineRule="exact"/>
        <w:rPr>
          <w:rFonts w:ascii="Arial" w:cs="Arial" w:eastAsia="Arial" w:hAnsi="Arial"/>
          <w:sz w:val="17"/>
          <w:szCs w:val="17"/>
          <w:color w:val="auto"/>
        </w:rPr>
      </w:pPr>
    </w:p>
    <w:p>
      <w:pPr>
        <w:ind w:left="660" w:right="5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96" w:lineRule="exact"/>
        <w:rPr>
          <w:rFonts w:ascii="Arial" w:cs="Arial" w:eastAsia="Arial" w:hAnsi="Arial"/>
          <w:sz w:val="17"/>
          <w:szCs w:val="17"/>
          <w:color w:val="auto"/>
        </w:rPr>
      </w:pPr>
    </w:p>
    <w:p>
      <w:pPr>
        <w:ind w:left="660" w:right="36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07" w:lineRule="exact"/>
        <w:rPr>
          <w:rFonts w:ascii="Arial" w:cs="Arial" w:eastAsia="Arial" w:hAnsi="Arial"/>
          <w:sz w:val="16"/>
          <w:szCs w:val="16"/>
          <w:color w:val="auto"/>
        </w:rPr>
      </w:pPr>
    </w:p>
    <w:p>
      <w:pPr>
        <w:ind w:left="660" w:right="94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660" w:right="68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660" w:right="599" w:hanging="333"/>
        <w:spacing w:after="0" w:line="23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660" w:right="599" w:hanging="333"/>
        <w:spacing w:after="0" w:line="203" w:lineRule="exact"/>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660" w:right="459" w:hanging="333"/>
        <w:spacing w:after="0" w:line="23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184" w:lineRule="exact"/>
        <w:rPr>
          <w:rFonts w:ascii="Arial" w:cs="Arial" w:eastAsia="Arial" w:hAnsi="Arial"/>
          <w:sz w:val="18"/>
          <w:szCs w:val="18"/>
          <w:color w:val="auto"/>
        </w:rPr>
      </w:pPr>
    </w:p>
    <w:p>
      <w:pPr>
        <w:ind w:left="660" w:right="399" w:hanging="333"/>
        <w:spacing w:after="0" w:line="25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660" w:right="499" w:hanging="333"/>
        <w:spacing w:after="0" w:line="23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184" w:lineRule="exact"/>
        <w:rPr>
          <w:rFonts w:ascii="Arial" w:cs="Arial" w:eastAsia="Arial" w:hAnsi="Arial"/>
          <w:sz w:val="18"/>
          <w:szCs w:val="18"/>
          <w:color w:val="auto"/>
        </w:rPr>
      </w:pPr>
    </w:p>
    <w:p>
      <w:pPr>
        <w:ind w:left="660" w:right="219" w:hanging="333"/>
        <w:spacing w:after="0" w:line="235"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660" w:right="19" w:hanging="333"/>
        <w:spacing w:after="0" w:line="258"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4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5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5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which was completed in April 2019.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660" w:right="40" w:hanging="333"/>
        <w:spacing w:after="0" w:line="219"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8"/>
          <w:szCs w:val="18"/>
          <w:color w:val="auto"/>
        </w:rPr>
      </w:pPr>
    </w:p>
    <w:p>
      <w:pPr>
        <w:ind w:left="660" w:right="20" w:hanging="333"/>
        <w:spacing w:after="0" w:line="22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660" w:right="60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660" w:hanging="333"/>
        <w:spacing w:after="0" w:line="25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47" w:lineRule="exact"/>
        <w:rPr>
          <w:rFonts w:ascii="Arial" w:cs="Arial" w:eastAsia="Arial" w:hAnsi="Arial"/>
          <w:sz w:val="16"/>
          <w:szCs w:val="16"/>
          <w:color w:val="auto"/>
        </w:rPr>
      </w:pPr>
    </w:p>
    <w:p>
      <w:pPr>
        <w:ind w:left="660" w:hanging="333"/>
        <w:spacing w:after="0" w:line="22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660" w:right="320" w:hanging="333"/>
        <w:spacing w:after="0" w:line="24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jc w:val="both"/>
        <w:ind w:left="660" w:right="500" w:hanging="333"/>
        <w:spacing w:after="0" w:line="22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660" w:right="220" w:hanging="333"/>
        <w:spacing w:after="0" w:line="23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660" w:right="240" w:hanging="333"/>
        <w:spacing w:after="0" w:line="23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1" w:lineRule="exact"/>
        <w:rPr>
          <w:rFonts w:ascii="Arial" w:cs="Arial" w:eastAsia="Arial" w:hAnsi="Arial"/>
          <w:sz w:val="17"/>
          <w:szCs w:val="17"/>
          <w:color w:val="auto"/>
        </w:rPr>
      </w:pPr>
    </w:p>
    <w:p>
      <w:pPr>
        <w:ind w:left="660" w:right="100" w:hanging="333"/>
        <w:spacing w:after="0" w:line="22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17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 petition for post-grant review of U.S. Patent No. 9,408,862, which we refer to as the ‘862 patent, was filed at the USPTO by Grunenthal; in October 2017, a petition for post-grant review of U.S. Patent No. 9,539,268, which we refer to as the ‘268 patent, was filed at the USPTO by Grunenthal; in April 2018, a petition for post-grant review of U.S. Patent No. 9,707,245, which we refer to as the ‘245 patent, was filed at the USPTO by Grunenthal; in August 2018, a petition for post-grant review of U.S. Patent No. 9,820,999, which we refer to as the ‘999 patent, was filed at the USPTO by Grunenthal; in October 2018, a petition for post-grant review of U.S. Patent No. 9,867,839, which we refer to as the ‘839 patent, and on January 3, 2018, petitions for post-grant reviews of U.S. Patents No. 9,931,352, which we refer to as the ‘352 patent, 10,039,774, which refer to as the ‘774 patent, and 10,052,338, which we refer to as the ‘338 patent, were filed at the USPTO by Grunenthal.</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‘999, ‘352, ‘774, and ‘338 patents contain claims directed to the use of neridronic acid for the treatment of CRPS, and are some of several issued patents containing claims covering the use of neridronic acid for the treatment of CRPS. The ‘839 patent contains claims directed to the use of neridronic acid and oral zoledronic acid for the treatment of joint pain. The petitions request that the Patent Trial and Appeal Board, or PTAB, institute proceedings to review the validity of the ‘239, the ‘862, the ‘268, the ‘245, the ‘999, the ‘839, the ‘352, the ‘774, and the ‘338 patents.</w:t>
      </w:r>
    </w:p>
    <w:p>
      <w:pPr>
        <w:spacing w:after="0" w:line="16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168" w:lineRule="exact"/>
        <w:rPr>
          <w:sz w:val="20"/>
          <w:szCs w:val="20"/>
          <w:color w:val="auto"/>
        </w:rPr>
      </w:pPr>
    </w:p>
    <w:p>
      <w:pPr>
        <w:ind w:right="160" w:firstLine="648"/>
        <w:spacing w:after="0" w:line="226" w:lineRule="auto"/>
        <w:rPr>
          <w:sz w:val="20"/>
          <w:szCs w:val="20"/>
          <w:color w:val="auto"/>
        </w:rPr>
      </w:pPr>
      <w:r>
        <w:rPr>
          <w:rFonts w:ascii="Arial" w:cs="Arial" w:eastAsia="Arial" w:hAnsi="Arial"/>
          <w:sz w:val="17"/>
          <w:szCs w:val="17"/>
          <w:color w:val="auto"/>
        </w:rPr>
        <w:t>In August 2017, we responded to and opposed the petition for the ‘862 patent. In November 2017, the PTAB rendered a decision to institute a post-grant review for that patent. In February 2018, we responded to the PTAB decision to institute a post-grant review. On November 14, 2018, the Patent Trial and Appeal Board, or PTAB, entered a final written decision holding that the claims were invalid for lack of enablement, and for some claims, lack of novelty and/or obviousness. On January 16, 2019, we appealed the decision of the PTAB to the United States Court of Appeals for the Federal Circuit, or Federal Circuit, but recently decided not to further pursue the appeal.</w:t>
      </w:r>
    </w:p>
    <w:p>
      <w:pPr>
        <w:spacing w:after="0" w:line="165"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In February 2018, we responded to and opposed the petition for the ‘268 patent. In May 2018, the PTAB rendered a decision to institute a post-grant review for the patent. In August 2018, we responded to the PTAB decision to institute a post-grant review. In April 2019, the PTAB entered a final written decision holding that the claims were invalid for lack of enablement, but left several of the grounds raised in the Petition unaddressed. In June, we filed a request for rehearing with the PTAB.</w:t>
      </w:r>
    </w:p>
    <w:p>
      <w:pPr>
        <w:spacing w:after="0" w:line="162" w:lineRule="exact"/>
        <w:rPr>
          <w:sz w:val="20"/>
          <w:szCs w:val="20"/>
          <w:color w:val="auto"/>
        </w:rPr>
      </w:pPr>
    </w:p>
    <w:p>
      <w:pPr>
        <w:ind w:right="80" w:firstLine="648"/>
        <w:spacing w:after="0" w:line="249" w:lineRule="auto"/>
        <w:rPr>
          <w:sz w:val="20"/>
          <w:szCs w:val="20"/>
          <w:color w:val="auto"/>
        </w:rPr>
      </w:pPr>
      <w:r>
        <w:rPr>
          <w:rFonts w:ascii="Arial" w:cs="Arial" w:eastAsia="Arial" w:hAnsi="Arial"/>
          <w:sz w:val="16"/>
          <w:szCs w:val="16"/>
          <w:color w:val="auto"/>
        </w:rPr>
        <w:t>In October 2018, the PTAB rendered a decision to institute a post grant review for the ‘245 patent. In January 2019, we responded to the petition to institute a post-grant review. In October 2019, the PTAB entered a final written decision holding that the claims were invalid for lacking novelty and for obviousness. We are currently exploring whether we should request a rehearing or appeal the decision to the United States Court of Appeals for the Federal Circuit.</w:t>
      </w:r>
    </w:p>
    <w:p>
      <w:pPr>
        <w:spacing w:after="0" w:line="155" w:lineRule="exact"/>
        <w:rPr>
          <w:sz w:val="20"/>
          <w:szCs w:val="20"/>
          <w:color w:val="auto"/>
        </w:rPr>
      </w:pPr>
    </w:p>
    <w:p>
      <w:pPr>
        <w:ind w:right="180" w:firstLine="648"/>
        <w:spacing w:after="0" w:line="235" w:lineRule="auto"/>
        <w:rPr>
          <w:sz w:val="20"/>
          <w:szCs w:val="20"/>
          <w:color w:val="auto"/>
        </w:rPr>
      </w:pPr>
      <w:r>
        <w:rPr>
          <w:rFonts w:ascii="Arial" w:cs="Arial" w:eastAsia="Arial" w:hAnsi="Arial"/>
          <w:sz w:val="18"/>
          <w:szCs w:val="18"/>
          <w:color w:val="auto"/>
        </w:rPr>
        <w:t>In February 2019, the PTAB rendered a decision to institute a post-grant review for the ‘999 patent. In May 2019, we responded to the petition to institute a post-grant review.</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In May 2019, the PTAB rendered a decision to institute a post-grant review for the ‘839 patent. In October 2019, we responded to the petition to institute a post-grant review.</w:t>
      </w:r>
    </w:p>
    <w:p>
      <w:pPr>
        <w:spacing w:after="0" w:line="162"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July 2019, the PTAB rendered a decision to institute a post-grant review for the ‘352 patent. In October 2019, we responded to the petition to institute a post-grant review.</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In July 2019, the PTAB rendered a decision to institute a post-grant review for the ‘774 patent. In October 2019, we responded to the petition to institute a post-grant review.</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In August 2019, the PTAB rendered a decision to institute a post-grant review for the ‘338 patent. In October 2019, we responded to the petition to institute a post-grant review.</w:t>
      </w:r>
    </w:p>
    <w:p>
      <w:pPr>
        <w:spacing w:after="0" w:line="162"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61"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660" w:right="260" w:hanging="333"/>
        <w:spacing w:after="0" w:line="258"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660" w:right="4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1"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61"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w:t>
      </w:r>
    </w:p>
    <w:p>
      <w:pPr>
        <w:spacing w:after="0"/>
        <w:rPr>
          <w:sz w:val="20"/>
          <w:szCs w:val="20"/>
          <w:color w:val="auto"/>
        </w:rPr>
      </w:pPr>
      <w:r>
        <w:rPr>
          <w:rFonts w:ascii="Arial" w:cs="Arial" w:eastAsia="Arial" w:hAnsi="Arial"/>
          <w:sz w:val="16"/>
          <w:szCs w:val="16"/>
          <w:color w:val="auto"/>
        </w:rPr>
        <w:t>the “Business—Government Regulation and Product Approval” section of our Annual Report on Form 10-K, filed with the</w:t>
      </w:r>
    </w:p>
    <w:p>
      <w:pPr>
        <w:spacing w:after="0" w:line="176" w:lineRule="exact"/>
        <w:rPr>
          <w:sz w:val="20"/>
          <w:szCs w:val="20"/>
          <w:color w:val="auto"/>
        </w:rPr>
      </w:pPr>
      <w:r>
        <w:rPr>
          <w:rFonts w:ascii="Arial" w:cs="Arial" w:eastAsia="Arial" w:hAnsi="Arial"/>
          <w:sz w:val="16"/>
          <w:szCs w:val="16"/>
          <w:color w:val="auto"/>
        </w:rPr>
        <w:t>Securities and Exchange Commission, or SEC, on March 15, 2019,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w:t>
      </w:r>
    </w:p>
    <w:p>
      <w:pPr>
        <w:spacing w:after="0" w:line="229" w:lineRule="auto"/>
        <w:rPr>
          <w:sz w:val="20"/>
          <w:szCs w:val="20"/>
          <w:color w:val="auto"/>
        </w:rPr>
      </w:pPr>
      <w:r>
        <w:rPr>
          <w:rFonts w:ascii="Arial" w:cs="Arial" w:eastAsia="Arial" w:hAnsi="Arial"/>
          <w:sz w:val="16"/>
          <w:szCs w:val="16"/>
          <w:color w:val="auto"/>
        </w:rPr>
        <w:t>civil and criminal False Claims Act, the civil monetary penalties statute, the Medicaid Drug Rebate statute and other price</w:t>
      </w:r>
    </w:p>
    <w:p>
      <w:pPr>
        <w:spacing w:after="0" w:line="229" w:lineRule="auto"/>
        <w:rPr>
          <w:sz w:val="20"/>
          <w:szCs w:val="20"/>
          <w:color w:val="auto"/>
        </w:rPr>
      </w:pPr>
      <w:r>
        <w:rPr>
          <w:rFonts w:ascii="Arial" w:cs="Arial" w:eastAsia="Arial" w:hAnsi="Arial"/>
          <w:sz w:val="16"/>
          <w:szCs w:val="16"/>
          <w:color w:val="auto"/>
        </w:rPr>
        <w:t>reporting requirements, the Veterans Health Care Act of 1992, the federal Health Insurance Portability and Accountability</w:t>
      </w:r>
    </w:p>
    <w:p>
      <w:pPr>
        <w:spacing w:after="0" w:line="229" w:lineRule="auto"/>
        <w:rPr>
          <w:sz w:val="20"/>
          <w:szCs w:val="20"/>
          <w:color w:val="auto"/>
        </w:rPr>
      </w:pPr>
      <w:r>
        <w:rPr>
          <w:rFonts w:ascii="Arial" w:cs="Arial" w:eastAsia="Arial" w:hAnsi="Arial"/>
          <w:sz w:val="16"/>
          <w:szCs w:val="16"/>
          <w:color w:val="auto"/>
        </w:rPr>
        <w:t>Act of 1996 (as amended by the Health Information Technology for Economics and Clinical Health Act), the Foreign Corrupt</w:t>
      </w:r>
    </w:p>
    <w:p>
      <w:pPr>
        <w:spacing w:after="0" w:line="215" w:lineRule="auto"/>
        <w:rPr>
          <w:sz w:val="20"/>
          <w:szCs w:val="20"/>
          <w:color w:val="auto"/>
        </w:rPr>
      </w:pPr>
      <w:r>
        <w:rPr>
          <w:rFonts w:ascii="Arial" w:cs="Arial" w:eastAsia="Arial" w:hAnsi="Arial"/>
          <w:sz w:val="17"/>
          <w:szCs w:val="17"/>
          <w:color w:val="auto"/>
        </w:rPr>
        <w:t>Practices Act of 1977, the Patient Protection and Affordable Care Act of 2010, and similar state and foreign laws. Even</w:t>
      </w:r>
    </w:p>
    <w:p>
      <w:pPr>
        <w:spacing w:after="0" w:line="216" w:lineRule="auto"/>
        <w:rPr>
          <w:sz w:val="20"/>
          <w:szCs w:val="20"/>
          <w:color w:val="auto"/>
        </w:rPr>
      </w:pPr>
      <w:r>
        <w:rPr>
          <w:rFonts w:ascii="Arial" w:cs="Arial" w:eastAsia="Arial" w:hAnsi="Arial"/>
          <w:sz w:val="17"/>
          <w:szCs w:val="17"/>
          <w:color w:val="auto"/>
        </w:rPr>
        <w:t>though we do not and will not control referrals of healthcare services or bill directly to Medicare, Medicaid, or other</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w:t>
      </w:r>
    </w:p>
    <w:p>
      <w:pPr>
        <w:spacing w:after="0" w:line="229" w:lineRule="auto"/>
        <w:rPr>
          <w:sz w:val="20"/>
          <w:szCs w:val="20"/>
          <w:color w:val="auto"/>
        </w:rPr>
      </w:pPr>
      <w:r>
        <w:rPr>
          <w:rFonts w:ascii="Arial" w:cs="Arial" w:eastAsia="Arial" w:hAnsi="Arial"/>
          <w:sz w:val="16"/>
          <w:szCs w:val="16"/>
          <w:color w:val="auto"/>
        </w:rPr>
        <w:t>are and will be applicable to our business. We would be subject to healthcare fraud and abuse by both the federal government</w:t>
      </w:r>
    </w:p>
    <w:p>
      <w:pPr>
        <w:spacing w:after="0"/>
        <w:rPr>
          <w:sz w:val="20"/>
          <w:szCs w:val="20"/>
          <w:color w:val="auto"/>
        </w:rPr>
      </w:pPr>
      <w:r>
        <w:rPr>
          <w:rFonts w:ascii="Arial" w:cs="Arial" w:eastAsia="Arial" w:hAnsi="Arial"/>
          <w:sz w:val="18"/>
          <w:szCs w:val="18"/>
          <w:color w:val="auto"/>
        </w:rPr>
        <w:t>and the states in which we conduct our business.</w:t>
      </w:r>
    </w:p>
    <w:p>
      <w:pPr>
        <w:spacing w:after="0" w:line="16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 The United States District Court for the Northern District of Texas struck down the ACA, deeming it unconstitutional given that Congress repealed the individual mandate in 2017. While this decision has been stayed pending outcome of an appeal to the Fifth Circuit Court of Appeals, so the ruling does not have immediate effect, it is unclear how this decision, subsequent appeals, and other efforts to repeal and replace the ACA will impact the ACA. It is also unclear how regulatory and subregulatory policy, which fluctuate continually, may affect interpretation and implementation of the ACA and its practical effects on our business.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200" w:firstLine="648"/>
        <w:spacing w:after="0" w:line="235" w:lineRule="auto"/>
        <w:rPr>
          <w:sz w:val="20"/>
          <w:szCs w:val="20"/>
          <w:color w:val="auto"/>
        </w:rPr>
      </w:pPr>
      <w:r>
        <w:rPr>
          <w:rFonts w:ascii="Arial" w:cs="Arial" w:eastAsia="Arial" w:hAnsi="Arial"/>
          <w:sz w:val="16"/>
          <w:szCs w:val="16"/>
          <w:color w:val="auto"/>
        </w:rPr>
        <w:t>In addition, there have been a number of other legislative and regulatory proposals aimed at changing the pharmaceutical industry. For instance, the enacted Drug Supply Chain Security Act, or DSCSA imposes obligations on manufacturers of prescription drug products for commercial distribution, regulating the distribution of the products at the federal level, and sets certain standards for federal or state registration and compliance of entities in the supply chain (manufacturers and repackagers, wholesale distributors, third-party logistics providers, and dispensers). The DSCSA preempts previously enacted state pedigree laws and the pedigree requirements of the Prescription Drug Marketing Act, or PDMA. Trading partners within the drug supply chain must now ensure certain product tracing requirements are met that they are doing business with other authorized trading partners; and they are required to exchange transaction information, transaction history, and transaction statements. Further, the DSCSA limits the distribution of prescription pharmaceutical products and imposes requirements to ensure overall accountability and security in the drug supply chain. As of November 27, 2018 product identifier information (an aspect of the product tracing scheme) is required.</w:t>
      </w:r>
    </w:p>
    <w:p>
      <w:pPr>
        <w:spacing w:after="0" w:line="166"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20" w:firstLine="648"/>
        <w:spacing w:after="0" w:line="184" w:lineRule="exact"/>
        <w:rPr>
          <w:sz w:val="20"/>
          <w:szCs w:val="20"/>
          <w:color w:val="auto"/>
        </w:rPr>
      </w:pPr>
      <w:r>
        <w:rPr>
          <w:rFonts w:ascii="Arial" w:cs="Arial" w:eastAsia="Arial" w:hAnsi="Arial"/>
          <w:sz w:val="16"/>
          <w:szCs w:val="16"/>
          <w:color w:val="auto"/>
        </w:rPr>
        <w:t>As of November 1, 2019, we had only 41 full</w:t>
      </w:r>
      <w:r>
        <w:rPr>
          <w:rFonts w:ascii="MS PGothic" w:cs="MS PGothic" w:eastAsia="MS PGothic" w:hAnsi="MS PGothic"/>
          <w:sz w:val="16"/>
          <w:szCs w:val="16"/>
          <w:color w:val="auto"/>
        </w:rPr>
        <w:t>‑</w:t>
      </w:r>
      <w:r>
        <w:rPr>
          <w:rFonts w:ascii="Arial" w:cs="Arial" w:eastAsia="Arial" w:hAnsi="Arial"/>
          <w:sz w:val="16"/>
          <w:szCs w:val="16"/>
          <w:color w:val="auto"/>
        </w:rPr>
        <w:t>time employees.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3" w:lineRule="exact"/>
        <w:rPr>
          <w:sz w:val="20"/>
          <w:szCs w:val="20"/>
          <w:color w:val="auto"/>
        </w:rPr>
      </w:pPr>
    </w:p>
    <w:p>
      <w:pPr>
        <w:ind w:left="660" w:hanging="333"/>
        <w:spacing w:after="0" w:line="22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96"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62"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25" w:lineRule="exact"/>
        <w:rPr>
          <w:sz w:val="20"/>
          <w:szCs w:val="20"/>
          <w:color w:val="auto"/>
        </w:rPr>
      </w:pPr>
    </w:p>
    <w:p>
      <w:pPr>
        <w:ind w:right="20" w:firstLine="648"/>
        <w:spacing w:after="0" w:line="222"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35" w:lineRule="auto"/>
        <w:rPr>
          <w:sz w:val="20"/>
          <w:szCs w:val="20"/>
          <w:color w:val="auto"/>
        </w:rPr>
      </w:pPr>
      <w:r>
        <w:rPr>
          <w:rFonts w:ascii="Arial" w:cs="Arial" w:eastAsia="Arial" w:hAnsi="Arial"/>
          <w:sz w:val="18"/>
          <w:szCs w:val="18"/>
          <w:b w:val="1"/>
          <w:bCs w:val="1"/>
          <w:i w:val="1"/>
          <w:iCs w:val="1"/>
          <w:color w:val="auto"/>
        </w:rPr>
        <w:t>Our failure to comply with international data protection laws and regulations could lead to government enforcement actions and significant penalties against us, and adversely impact our operating results.</w:t>
      </w:r>
    </w:p>
    <w:p>
      <w:pPr>
        <w:spacing w:after="0" w:line="162" w:lineRule="exact"/>
        <w:rPr>
          <w:sz w:val="20"/>
          <w:szCs w:val="20"/>
          <w:color w:val="auto"/>
        </w:rPr>
      </w:pPr>
    </w:p>
    <w:p>
      <w:pPr>
        <w:ind w:right="20" w:firstLine="501"/>
        <w:spacing w:after="0"/>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141" w:lineRule="exact"/>
        <w:rPr>
          <w:sz w:val="20"/>
          <w:szCs w:val="20"/>
          <w:color w:val="auto"/>
        </w:rPr>
      </w:pPr>
    </w:p>
    <w:p>
      <w:pPr>
        <w:spacing w:after="0" w:line="308" w:lineRule="auto"/>
        <w:rPr>
          <w:sz w:val="20"/>
          <w:szCs w:val="20"/>
          <w:color w:val="auto"/>
        </w:rPr>
      </w:pPr>
      <w:r>
        <w:rPr>
          <w:rFonts w:ascii="Arial" w:cs="Arial" w:eastAsia="Arial" w:hAnsi="Arial"/>
          <w:sz w:val="17"/>
          <w:szCs w:val="17"/>
          <w:b w:val="1"/>
          <w:bCs w:val="1"/>
          <w:i w:val="1"/>
          <w:iCs w:val="1"/>
          <w:color w:val="auto"/>
        </w:rPr>
        <w:t>Our failure to comply with state and/or national data protection laws and regulations could lead to government enforcement actions and significant penalties against us, and adversely impact our operating results.</w:t>
      </w:r>
    </w:p>
    <w:p>
      <w:pPr>
        <w:spacing w:after="0" w:line="133" w:lineRule="exact"/>
        <w:rPr>
          <w:sz w:val="20"/>
          <w:szCs w:val="20"/>
          <w:color w:val="auto"/>
        </w:rPr>
      </w:pPr>
    </w:p>
    <w:p>
      <w:pPr>
        <w:ind w:right="40" w:firstLine="501"/>
        <w:spacing w:after="0" w:line="235" w:lineRule="auto"/>
        <w:rPr>
          <w:sz w:val="20"/>
          <w:szCs w:val="20"/>
          <w:color w:val="auto"/>
        </w:rPr>
      </w:pPr>
      <w:r>
        <w:rPr>
          <w:rFonts w:ascii="Arial" w:cs="Arial" w:eastAsia="Arial" w:hAnsi="Arial"/>
          <w:sz w:val="16"/>
          <w:szCs w:val="16"/>
          <w:color w:val="auto"/>
        </w:rPr>
        <w:t>There are numerous other laws and legislative and regulatory initiatives at the federal and state levels addressing privacy and security concerns, and some state privacy laws apply more broadly than the Health Insurance Portability and Accountability Act (HIPAA) and associated regulations. For example, California recently enacted legislation – the California Consumer Privacy Act, or CCPA – which goes into effect January 1, 2020. The CCPA, among other things, creates new data privacy obligations for covered companies and provides new privacy rights to California residents, including the right to opt out of certain disclosures of their information. The CCPA also creates a private right of action with statutory damages for certain data breaches, thereby potentially increasing risks associated with a data breach. Legislators have stated that they intend to propose amendments to the CCPA before it goes into effect, and the California Attorney General will issue clarifying regulations. Although the law includes limited exceptions, including for certain information collected as part of clinical trials as specified in the law, it may regulate or impact our processing of personal information depending on the context. It remains unclear what, if any, modifications will be made to this legislation or how it will be interpreted.</w:t>
      </w:r>
    </w:p>
    <w:p>
      <w:pPr>
        <w:spacing w:after="0" w:line="162" w:lineRule="exact"/>
        <w:rPr>
          <w:sz w:val="20"/>
          <w:szCs w:val="20"/>
          <w:color w:val="auto"/>
        </w:rPr>
      </w:pPr>
    </w:p>
    <w:p>
      <w:pPr>
        <w:ind w:right="382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660" w:right="34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660" w:right="70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147"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660" w:right="280" w:hanging="333"/>
        <w:spacing w:after="0" w:line="289"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4" w:lineRule="exact"/>
        <w:rPr>
          <w:rFonts w:ascii="Arial" w:cs="Arial" w:eastAsia="Arial" w:hAnsi="Arial"/>
          <w:sz w:val="16"/>
          <w:szCs w:val="16"/>
          <w:color w:val="auto"/>
        </w:rPr>
      </w:pPr>
    </w:p>
    <w:p>
      <w:pPr>
        <w:ind w:left="660" w:right="180" w:hanging="333"/>
        <w:spacing w:after="0" w:line="219"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660" w:right="220" w:hanging="333"/>
        <w:spacing w:after="0" w:line="203" w:lineRule="exact"/>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540" w:hanging="333"/>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660" w:right="280" w:hanging="333"/>
        <w:spacing w:after="0" w:line="235"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right="20"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155"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As of November 1, 2019, our executive officers, directors, and 5% stockholders and their affiliates beneficially owned an aggregate of approximately 24%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4" w:name="page95"/>
    <w:bookmarkEnd w:id="9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As of November 1, 2019, we have outstanding 34,508,626 shares of common stock and 3,517,227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26,331,915 are freely tradable. The remainder of the outstanding shares of common stock are held by our affiliates and may be considered “control securities” for purposes of Rule 144 under the Securities Act.</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an aggregate of 7,481,050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ind w:right="600"/>
        <w:spacing w:after="0" w:line="259"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our December 2017 registered direct offering, our October 2018 registered direct offering, and the proceeds from sales pursuant to our previous and current Sales Agreements, and may not use them effectively.</w:t>
      </w:r>
    </w:p>
    <w:p>
      <w:pPr>
        <w:spacing w:after="0" w:line="147"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which we refer to as our Capital Raises, including our December 2017 registered direct offering, our October 2018 registered direct offering, and the proceeds from sales pursuant to our October 2017 (which was fully utilized in January 2019), and May 2019 “at-the-market” sales agreements with SVB Leerink (formerly Leerink Partners LLC), which provided and currently provide for the sale of up to $30.0 and $50.0 million, respectively, of our common stock from time to time, and our stockholders will not have the opportunity as part of their investment decision to assess whether the net proceeds from our Capital Raises are being used appropriately. You may not agree with our decisions, and our use of the proceeds may not yield any return on your investment. Because of the number and variability of factors that will determine our use of the net proceeds from our Capital Raises, their ultimate use may vary substantially from their currently intended use. Our failure to apply the net proceeds of our Capital Raises effectively could compromise our ability to pursue our growth strategy and we might not be able to yield a significant return, if any, on our investment of those net proceeds. You will not have the opportunity to influence our decisions on how to use our net proceeds from our Capital Raises. Pending their use, we may invest the net proceeds from our Capital Raises in short-term, investment-grade, interest-bearing instruments and U.S. government securities. These temporary investments are not likely to yield a significant return.</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8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95" w:name="page96"/>
    <w:bookmarkEnd w:id="9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June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during the prior three</w:t>
      </w:r>
      <w:r>
        <w:rPr>
          <w:rFonts w:ascii="MS PGothic" w:cs="MS PGothic" w:eastAsia="MS PGothic" w:hAnsi="MS PGothic"/>
          <w:sz w:val="17"/>
          <w:szCs w:val="17"/>
          <w:color w:val="auto"/>
        </w:rPr>
        <w:t>‑</w:t>
      </w:r>
      <w:r>
        <w:rPr>
          <w:rFonts w:ascii="Arial" w:cs="Arial" w:eastAsia="Arial" w:hAnsi="Arial"/>
          <w:sz w:val="17"/>
          <w:szCs w:val="17"/>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Net operating loss carry forwards amounting to $60 million generated before the 2018 tax year will start expiring beginning 2033, if we have not used them prior to that time, and the net operating losses of approximately $27 million generated in 2018 have an indefinite carryforward period. Net operating loss carry forwards arising in taxable years ending after December 31, 2018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7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6" w:name="page97"/>
    <w:bookmarkEnd w:id="9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6" w:lineRule="exact"/>
        <w:rPr>
          <w:sz w:val="20"/>
          <w:szCs w:val="20"/>
          <w:color w:val="auto"/>
        </w:rPr>
      </w:pPr>
    </w:p>
    <w:p>
      <w:pPr>
        <w:ind w:right="15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59" w:firstLine="648"/>
        <w:spacing w:after="0" w:line="241" w:lineRule="auto"/>
        <w:rPr>
          <w:sz w:val="20"/>
          <w:szCs w:val="20"/>
          <w:color w:val="auto"/>
        </w:rPr>
      </w:pPr>
      <w:r>
        <w:rPr>
          <w:rFonts w:ascii="Arial" w:cs="Arial" w:eastAsia="Arial" w:hAnsi="Arial"/>
          <w:sz w:val="16"/>
          <w:szCs w:val="16"/>
          <w:color w:val="auto"/>
        </w:rPr>
        <w:t>Our amended and restated certificate of incorporation provides that, unless we consent in writing to the selection of an alternate form, the Court of Chancery of the State of Delaware will be the sole and exclusive forum for (1) any derivative action or proceeding brought on our behalf, (2) any action asserting a claim of breach of a fiduciary duty owed by any of our directors, officers, employees or agents to us or our stockholders, (3) any action asserting a claim arising pursuant to the DGCL, or (4) any other action asserting a claim against us that is governed by the internal affairs doctrine, in each such case subject to such Court of Chancery having personal jurisdiction over the indispensable parties named as defendants therein.</w:t>
      </w:r>
    </w:p>
    <w:p>
      <w:pPr>
        <w:spacing w:after="0" w:line="161" w:lineRule="exact"/>
        <w:rPr>
          <w:sz w:val="20"/>
          <w:szCs w:val="20"/>
          <w:color w:val="auto"/>
        </w:rPr>
      </w:pPr>
    </w:p>
    <w:p>
      <w:pPr>
        <w:ind w:right="19" w:firstLine="648"/>
        <w:spacing w:after="0"/>
        <w:rPr>
          <w:sz w:val="20"/>
          <w:szCs w:val="20"/>
          <w:color w:val="auto"/>
        </w:rPr>
      </w:pPr>
      <w:r>
        <w:rPr>
          <w:rFonts w:ascii="Arial" w:cs="Arial" w:eastAsia="Arial" w:hAnsi="Arial"/>
          <w:sz w:val="16"/>
          <w:szCs w:val="16"/>
          <w:color w:val="auto"/>
        </w:rPr>
        <w:t>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or agents, which may discourage such lawsuits against us and our directors, officers, employees, and agents. Further, this choice of forum provision does not preclude or contract the scope of exclusive federal or concurrent jurisdiction for any actions brought under the Securities Act or the Exchange Act. Section 27 of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In addition, Section 22 of the Securities Act creates concurrent jurisdiction for federal and state courts over all suits brought to enforce any duty or liability created by the Securities Act or the rules and regulations thereunder. As a result, the exclusive forum provision will not apply to suits brought to enforce any duty or liability created by the Securities Act or any other claim for which the federal and state courts have concurrent jurisdiction. Accordingly, our exclusive forum provision will not relieve us of our duties to comply with the federal securities laws and the rules and regulations thereunder, and our stockholders will not be deemed to have waived our compliance with these laws, rules and regulations.</w:t>
      </w:r>
    </w:p>
    <w:p>
      <w:pPr>
        <w:spacing w:after="0" w:line="265" w:lineRule="exact"/>
        <w:rPr>
          <w:sz w:val="20"/>
          <w:szCs w:val="20"/>
          <w:color w:val="auto"/>
        </w:rPr>
      </w:pPr>
    </w:p>
    <w:p>
      <w:pPr>
        <w:ind w:right="139" w:firstLine="648"/>
        <w:spacing w:after="0" w:line="229" w:lineRule="auto"/>
        <w:rPr>
          <w:sz w:val="20"/>
          <w:szCs w:val="20"/>
          <w:color w:val="auto"/>
        </w:rPr>
      </w:pPr>
      <w:r>
        <w:rPr>
          <w:rFonts w:ascii="Arial" w:cs="Arial" w:eastAsia="Arial" w:hAnsi="Arial"/>
          <w:sz w:val="17"/>
          <w:szCs w:val="17"/>
          <w:color w:val="auto"/>
        </w:rPr>
        <w:t>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Even if we are successful in defending against these claims, litigation could result in substantial costs and be a distraction to management and other employees.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7" w:name="page98"/>
    <w:bookmarkEnd w:id="9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60" w:type="dxa"/>
            <w:vAlign w:val="bottom"/>
            <w:gridSpan w:val="7"/>
          </w:tcPr>
          <w:p>
            <w:pPr>
              <w:ind w:left="274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486"/>
        </w:trPr>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4400" w:type="dxa"/>
            <w:vAlign w:val="bottom"/>
            <w:gridSpan w:val="6"/>
            <w:vMerge w:val="restart"/>
          </w:tcPr>
          <w:p>
            <w:pPr>
              <w:ind w:left="1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62"/>
        </w:trPr>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4"/>
                <w:szCs w:val="14"/>
                <w:color w:val="auto"/>
              </w:rPr>
            </w:pPr>
          </w:p>
        </w:tc>
        <w:tc>
          <w:tcPr>
            <w:tcW w:w="3460" w:type="dxa"/>
            <w:vAlign w:val="bottom"/>
            <w:tcBorders>
              <w:bottom w:val="single" w:sz="8" w:color="auto"/>
            </w:tcBorders>
          </w:tcPr>
          <w:p>
            <w:pPr>
              <w:spacing w:after="0"/>
              <w:rPr>
                <w:sz w:val="14"/>
                <w:szCs w:val="14"/>
                <w:color w:val="auto"/>
              </w:rPr>
            </w:pPr>
          </w:p>
        </w:tc>
        <w:tc>
          <w:tcPr>
            <w:tcW w:w="4400" w:type="dxa"/>
            <w:vAlign w:val="bottom"/>
            <w:tcBorders>
              <w:bottom w:val="single" w:sz="8" w:color="auto"/>
            </w:tcBorders>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31.1</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4"/>
              </w:rPr>
            </w:pPr>
            <w:hyperlink w:anchor="page100">
              <w:r>
                <w:rPr>
                  <w:rFonts w:ascii="Arial" w:cs="Arial" w:eastAsia="Arial" w:hAnsi="Arial"/>
                  <w:sz w:val="18"/>
                  <w:szCs w:val="18"/>
                  <w:color w:val="0000EE"/>
                  <w:w w:val="94"/>
                </w:rPr>
                <w:t>Certification of Principal Executive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90"/>
              </w:rPr>
            </w:pPr>
            <w:hyperlink w:anchor="page100">
              <w:r>
                <w:rPr>
                  <w:rFonts w:ascii="Arial" w:cs="Arial" w:eastAsia="Arial" w:hAnsi="Arial"/>
                  <w:sz w:val="18"/>
                  <w:szCs w:val="18"/>
                  <w:color w:val="0000EE"/>
                  <w:w w:val="90"/>
                </w:rPr>
                <w:t>Section 302 of the Sarbanes-Oxley Act of 2002.</w:t>
              </w:r>
            </w:hyperlink>
          </w:p>
        </w:tc>
        <w:tc>
          <w:tcPr>
            <w:tcW w:w="4100" w:type="dxa"/>
            <w:vAlign w:val="bottom"/>
            <w:tcBorders>
              <w:top w:val="single" w:sz="8" w:color="0000EE"/>
            </w:tcBorders>
            <w:gridSpan w:val="3"/>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31.2</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5"/>
              </w:rPr>
            </w:pPr>
            <w:hyperlink w:anchor="page101">
              <w:r>
                <w:rPr>
                  <w:rFonts w:ascii="Arial" w:cs="Arial" w:eastAsia="Arial" w:hAnsi="Arial"/>
                  <w:sz w:val="18"/>
                  <w:szCs w:val="18"/>
                  <w:color w:val="0000EE"/>
                  <w:w w:val="95"/>
                </w:rPr>
                <w:t>Certification of Principal Financial Officer pursuant to Rule 13a-14(a)/15d-14(a), as adopted pursuant to</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60" w:type="dxa"/>
            <w:vAlign w:val="bottom"/>
            <w:tcBorders>
              <w:top w:val="single" w:sz="8" w:color="0000EE"/>
              <w:bottom w:val="single" w:sz="8" w:color="0000EE"/>
            </w:tcBorders>
          </w:tcPr>
          <w:p>
            <w:pPr>
              <w:spacing w:after="0" w:line="156" w:lineRule="exact"/>
              <w:rPr>
                <w:rFonts w:ascii="Arial" w:cs="Arial" w:eastAsia="Arial" w:hAnsi="Arial"/>
                <w:sz w:val="18"/>
                <w:szCs w:val="18"/>
                <w:color w:val="0000EE"/>
                <w:w w:val="90"/>
              </w:rPr>
            </w:pPr>
            <w:hyperlink w:anchor="page101">
              <w:r>
                <w:rPr>
                  <w:rFonts w:ascii="Arial" w:cs="Arial" w:eastAsia="Arial" w:hAnsi="Arial"/>
                  <w:sz w:val="18"/>
                  <w:szCs w:val="18"/>
                  <w:color w:val="0000EE"/>
                  <w:w w:val="90"/>
                </w:rPr>
                <w:t>Section 302 of the Sarbanes-Oxley Act of 2002.</w:t>
              </w:r>
            </w:hyperlink>
          </w:p>
        </w:tc>
        <w:tc>
          <w:tcPr>
            <w:tcW w:w="4060" w:type="dxa"/>
            <w:vAlign w:val="bottom"/>
            <w:tcBorders>
              <w:top w:val="single" w:sz="8" w:color="0000EE"/>
            </w:tcBorders>
            <w:gridSpan w:val="2"/>
          </w:tcPr>
          <w:p>
            <w:pPr>
              <w:spacing w:after="0"/>
              <w:rPr>
                <w:sz w:val="13"/>
                <w:szCs w:val="13"/>
                <w:color w:val="auto"/>
              </w:rPr>
            </w:pPr>
          </w:p>
        </w:tc>
        <w:tc>
          <w:tcPr>
            <w:tcW w:w="2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32.1</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1"/>
              </w:rPr>
            </w:pPr>
            <w:hyperlink w:anchor="page102">
              <w:r>
                <w:rPr>
                  <w:rFonts w:ascii="Arial" w:cs="Arial" w:eastAsia="Arial" w:hAnsi="Arial"/>
                  <w:sz w:val="18"/>
                  <w:szCs w:val="18"/>
                  <w:color w:val="0000EE"/>
                  <w:w w:val="91"/>
                </w:rPr>
                <w:t>Certification of Principal Executive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1"/>
              </w:rPr>
            </w:pPr>
            <w:hyperlink w:anchor="page102">
              <w:r>
                <w:rPr>
                  <w:rFonts w:ascii="Arial" w:cs="Arial" w:eastAsia="Arial" w:hAnsi="Arial"/>
                  <w:sz w:val="18"/>
                  <w:szCs w:val="18"/>
                  <w:color w:val="0000EE"/>
                  <w:w w:val="91"/>
                </w:rPr>
                <w:t>of the Sarbanes-Oxley Act of 2002 (furnished herewith).</w:t>
              </w:r>
            </w:hyperlink>
          </w:p>
        </w:tc>
        <w:tc>
          <w:tcPr>
            <w:tcW w:w="3740" w:type="dxa"/>
            <w:vAlign w:val="bottom"/>
            <w:tcBorders>
              <w:top w:val="single" w:sz="8" w:color="0000EE"/>
            </w:tcBorders>
            <w:gridSpan w:val="4"/>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1"/>
        </w:trPr>
        <w:tc>
          <w:tcPr>
            <w:tcW w:w="740" w:type="dxa"/>
            <w:vAlign w:val="bottom"/>
          </w:tcPr>
          <w:p>
            <w:pPr>
              <w:jc w:val="center"/>
              <w:spacing w:after="0"/>
              <w:rPr>
                <w:sz w:val="20"/>
                <w:szCs w:val="20"/>
                <w:color w:val="auto"/>
              </w:rPr>
            </w:pPr>
            <w:r>
              <w:rPr>
                <w:rFonts w:ascii="Arial" w:cs="Arial" w:eastAsia="Arial" w:hAnsi="Arial"/>
                <w:sz w:val="18"/>
                <w:szCs w:val="18"/>
                <w:color w:val="auto"/>
                <w:w w:val="85"/>
              </w:rPr>
              <w:t>32.2</w:t>
            </w:r>
          </w:p>
        </w:tc>
        <w:tc>
          <w:tcPr>
            <w:tcW w:w="1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2"/>
              </w:rPr>
            </w:pPr>
            <w:hyperlink w:anchor="page103">
              <w:r>
                <w:rPr>
                  <w:rFonts w:ascii="Arial" w:cs="Arial" w:eastAsia="Arial" w:hAnsi="Arial"/>
                  <w:sz w:val="18"/>
                  <w:szCs w:val="18"/>
                  <w:color w:val="0000EE"/>
                  <w:w w:val="92"/>
                </w:rPr>
                <w:t>Certification of Principal Financial Officer pursuant to 18 U.S.C. §1350, as adopted pursuant to Section 906</w:t>
              </w:r>
            </w:hyperlink>
          </w:p>
        </w:tc>
        <w:tc>
          <w:tcPr>
            <w:tcW w:w="0" w:type="dxa"/>
            <w:vAlign w:val="bottom"/>
          </w:tcPr>
          <w:p>
            <w:pPr>
              <w:spacing w:after="0"/>
              <w:rPr>
                <w:sz w:val="1"/>
                <w:szCs w:val="1"/>
                <w:color w:val="auto"/>
              </w:rPr>
            </w:pPr>
          </w:p>
        </w:tc>
      </w:tr>
      <w:tr>
        <w:trPr>
          <w:trHeight w:val="156"/>
        </w:trPr>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80" w:type="dxa"/>
            <w:vAlign w:val="bottom"/>
            <w:tcBorders>
              <w:top w:val="single" w:sz="8" w:color="0000EE"/>
              <w:bottom w:val="single" w:sz="8" w:color="0000EE"/>
            </w:tcBorders>
            <w:gridSpan w:val="2"/>
          </w:tcPr>
          <w:p>
            <w:pPr>
              <w:spacing w:after="0" w:line="156" w:lineRule="exact"/>
              <w:rPr>
                <w:rFonts w:ascii="Arial" w:cs="Arial" w:eastAsia="Arial" w:hAnsi="Arial"/>
                <w:sz w:val="18"/>
                <w:szCs w:val="18"/>
                <w:color w:val="0000EE"/>
                <w:w w:val="91"/>
              </w:rPr>
            </w:pPr>
            <w:hyperlink w:anchor="page103">
              <w:r>
                <w:rPr>
                  <w:rFonts w:ascii="Arial" w:cs="Arial" w:eastAsia="Arial" w:hAnsi="Arial"/>
                  <w:sz w:val="18"/>
                  <w:szCs w:val="18"/>
                  <w:color w:val="0000EE"/>
                  <w:w w:val="91"/>
                </w:rPr>
                <w:t>of the Sarbanes-Oxley Act of 2002 (furnished herewith).</w:t>
              </w:r>
            </w:hyperlink>
          </w:p>
        </w:tc>
        <w:tc>
          <w:tcPr>
            <w:tcW w:w="3700" w:type="dxa"/>
            <w:vAlign w:val="bottom"/>
            <w:tcBorders>
              <w:top w:val="single" w:sz="8" w:color="0000EE"/>
            </w:tcBorders>
            <w:gridSpan w:val="3"/>
          </w:tcPr>
          <w:p>
            <w:pPr>
              <w:spacing w:after="0"/>
              <w:rPr>
                <w:sz w:val="13"/>
                <w:szCs w:val="13"/>
                <w:color w:val="auto"/>
              </w:rPr>
            </w:pPr>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900" w:right="479" w:hanging="668"/>
        <w:spacing w:after="0" w:line="224"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8" w:name="page99"/>
    <w:bookmarkEnd w:id="9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AXSOME THERAPEUTICS, INC.</w:t>
      </w:r>
    </w:p>
    <w:p>
      <w:pPr>
        <w:spacing w:after="0" w:line="142" w:lineRule="exact"/>
        <w:rPr>
          <w:sz w:val="20"/>
          <w:szCs w:val="20"/>
          <w:color w:val="auto"/>
        </w:rPr>
      </w:pPr>
    </w:p>
    <w:p>
      <w:pPr>
        <w:spacing w:after="0"/>
        <w:tabs>
          <w:tab w:leader="none" w:pos="4560" w:val="left"/>
          <w:tab w:leader="none" w:pos="50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-635</wp:posOffset>
            </wp:positionV>
            <wp:extent cx="25558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Herriot Tabuteau, M.D.</w:t>
      </w:r>
    </w:p>
    <w:p>
      <w:pPr>
        <w:ind w:left="5040"/>
        <w:spacing w:after="0" w:line="204" w:lineRule="auto"/>
        <w:rPr>
          <w:sz w:val="20"/>
          <w:szCs w:val="20"/>
          <w:color w:val="auto"/>
        </w:rPr>
      </w:pPr>
      <w:r>
        <w:rPr>
          <w:rFonts w:ascii="Arial" w:cs="Arial" w:eastAsia="Arial" w:hAnsi="Arial"/>
          <w:sz w:val="18"/>
          <w:szCs w:val="18"/>
          <w:color w:val="auto"/>
        </w:rPr>
        <w:t>President and Chief Executive Officer</w:t>
      </w:r>
    </w:p>
    <w:p>
      <w:pPr>
        <w:ind w:left="5040"/>
        <w:spacing w:after="0"/>
        <w:rPr>
          <w:sz w:val="20"/>
          <w:szCs w:val="20"/>
          <w:color w:val="auto"/>
        </w:rPr>
      </w:pPr>
      <w:r>
        <w:rPr>
          <w:rFonts w:ascii="Arial" w:cs="Arial" w:eastAsia="Arial" w:hAnsi="Arial"/>
          <w:sz w:val="18"/>
          <w:szCs w:val="18"/>
          <w:color w:val="auto"/>
        </w:rPr>
        <w:t>(Principal Executive Officer)</w:t>
      </w:r>
    </w:p>
    <w:p>
      <w:pPr>
        <w:spacing w:after="0" w:line="302" w:lineRule="exact"/>
        <w:rPr>
          <w:sz w:val="20"/>
          <w:szCs w:val="20"/>
          <w:color w:val="auto"/>
        </w:rPr>
      </w:pPr>
    </w:p>
    <w:p>
      <w:pPr>
        <w:spacing w:after="0"/>
        <w:tabs>
          <w:tab w:leader="none" w:pos="4560" w:val="left"/>
          <w:tab w:leader="none" w:pos="50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3200400</wp:posOffset>
            </wp:positionH>
            <wp:positionV relativeFrom="paragraph">
              <wp:posOffset>-635</wp:posOffset>
            </wp:positionV>
            <wp:extent cx="25558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5040"/>
        <w:spacing w:after="0" w:line="203" w:lineRule="auto"/>
        <w:rPr>
          <w:sz w:val="20"/>
          <w:szCs w:val="20"/>
          <w:color w:val="auto"/>
        </w:rPr>
      </w:pPr>
      <w:r>
        <w:rPr>
          <w:rFonts w:ascii="Arial" w:cs="Arial" w:eastAsia="Arial" w:hAnsi="Arial"/>
          <w:sz w:val="18"/>
          <w:szCs w:val="18"/>
          <w:color w:val="auto"/>
        </w:rPr>
        <w:t>Nick Pizzie</w:t>
      </w:r>
    </w:p>
    <w:p>
      <w:pPr>
        <w:ind w:left="5040"/>
        <w:spacing w:after="0" w:line="204" w:lineRule="auto"/>
        <w:rPr>
          <w:sz w:val="20"/>
          <w:szCs w:val="20"/>
          <w:color w:val="auto"/>
        </w:rPr>
      </w:pPr>
      <w:r>
        <w:rPr>
          <w:rFonts w:ascii="Arial" w:cs="Arial" w:eastAsia="Arial" w:hAnsi="Arial"/>
          <w:sz w:val="18"/>
          <w:szCs w:val="18"/>
          <w:color w:val="auto"/>
        </w:rPr>
        <w:t>Chief Financial Officer</w:t>
      </w:r>
    </w:p>
    <w:p>
      <w:pPr>
        <w:ind w:left="504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553720</wp:posOffset>
            </wp:positionV>
            <wp:extent cx="575437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20" w:hanging="317"/>
        <w:spacing w:after="0"/>
        <w:tabs>
          <w:tab w:leader="none" w:pos="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12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September 30, 2019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18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September 30, 2019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7, 2019</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441960</wp:posOffset>
            </wp:positionV>
            <wp:extent cx="575437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2"/>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
      <w:numFmt w:val="bullet"/>
      <w:start w:val="1"/>
    </w:lvl>
  </w:abstractNum>
  <w:abstractNum w:abstractNumId="32">
    <w:nsid w:val="2463B9EA"/>
    <w:multiLevelType w:val="hybridMultilevel"/>
    <w:lvl w:ilvl="0">
      <w:lvlJc w:val="left"/>
      <w:lvlText w:val="·"/>
      <w:numFmt w:val="bullet"/>
      <w:start w:val="1"/>
    </w:lvl>
  </w:abstractNum>
  <w:abstractNum w:abstractNumId="33">
    <w:nsid w:val="5E884ADC"/>
    <w:multiLevelType w:val="hybridMultilevel"/>
    <w:lvl w:ilvl="0">
      <w:lvlJc w:val="left"/>
      <w:lvlText w:val="(%1)"/>
      <w:numFmt w:val="decimal"/>
      <w:start w:val="2"/>
    </w:lvl>
  </w:abstractNum>
  <w:abstractNum w:abstractNumId="34">
    <w:nsid w:val="51EAD36B"/>
    <w:multiLevelType w:val="hybridMultilevel"/>
    <w:lvl w:ilvl="0">
      <w:lvlJc w:val="left"/>
      <w:lvlText w:val="·"/>
      <w:numFmt w:val="bullet"/>
      <w:start w:val="1"/>
    </w:lvl>
  </w:abstractNum>
  <w:abstractNum w:abstractNumId="35">
    <w:nsid w:val="2D517796"/>
    <w:multiLevelType w:val="hybridMultilevel"/>
    <w:lvl w:ilvl="0">
      <w:lvlJc w:val="left"/>
      <w:lvlText w:val="·"/>
      <w:numFmt w:val="bullet"/>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
      <w:numFmt w:val="bullet"/>
      <w:start w:val="1"/>
    </w:lvl>
  </w:abstractNum>
  <w:abstractNum w:abstractNumId="39">
    <w:nsid w:val="70A64E2A"/>
    <w:multiLevelType w:val="hybridMultilevel"/>
    <w:lvl w:ilvl="0">
      <w:lvlJc w:val="left"/>
      <w:lvlText w:val="%1"/>
      <w:numFmt w:val="decimal"/>
      <w:start w:val="101"/>
    </w:lvl>
  </w:abstractNum>
  <w:abstractNum w:abstractNumId="40">
    <w:nsid w:val="6A2342EC"/>
    <w:multiLevelType w:val="hybridMultilevel"/>
    <w:lvl w:ilvl="0">
      <w:lvlJc w:val="left"/>
      <w:lvlText w:val="%1."/>
      <w:numFmt w:val="decimal"/>
      <w:start w:val="1"/>
    </w:lvl>
    <w:lvl w:ilvl="1">
      <w:lvlJc w:val="left"/>
      <w:lvlText w:val="%2)"/>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2019-12-28T02:19:06Z</dcterms:created>
  <dcterms:modified xsi:type="dcterms:W3CDTF">2019-12-28T02:19:06Z</dcterms:modified>
</cp:coreProperties>
</file>