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May 8, 2025 (the “Closing Date”), Axsome Therapeutics, Inc. (the “Company”) entered into a Loan Agreement (the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as Agent and the lenders from time to time party thereto (collectively, the “Lenders”). Capitalized terms used but not otherwise defined in this Item 1.01 have the respective meanings ascribed to such terms in the Loan Agreement.</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Loan Agreement provides for loans in an aggregate principal amount of up to $570.0 million, consisting of (i) a first lien senior secured term loan in an aggregate principal amount of $120.0 million funded to the Company on the Closing Date, (ii) a $180.0 million senior secured term loan which is available to the Company at the Company’s option, of which $90.0 million is available to the Company until May 31, 2026, and of which the remaining $90.0 million is available until May 31, 2027 (the “Term Loans”) and (iii) a super senior revolving credit facility in an aggregate principal amount of up to $70.0 million available at the Company’s option (the “Revolver” and collectively with the Term Loans, the “Loans”). The Loan Agreement also allows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the Company’s existing term loan under its existing Credit Agreement with Hercules Capital, Inc., as agent (the “Existing Hercules Credit Agreement”).</w:t>
      </w:r>
    </w:p>
    <w:p>
      <w:pPr>
        <w:spacing w:after="0" w:line="18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Term Loans bear interest at a rate equal to the Term SOFR adjusted secured overnight financing rate plus a margin of 4.75%. The Revolver bears interest at SOFR plus a margin of 4.00%. If an Event of Default occurs and is continuing, all amounts outstanding under the Loan Agreement will bear 2.00% additional interest. The Loans mature and the principal amount (including any interest and fees) must be repaid on the date that is five years from the Closing Date.</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Loans are subject to mandatory prepayment provisions that may require prepayment upon a change of control, the incurrence of certain additional indebtedness, certain asset sales, or an event of loss, subject to certain conditions set forth in the Loan Agreement. The Company may prepay the Loans in whole at its option at any time. Any prepayment of the Term Loan is subject to certain yield protection premiums.</w:t>
      </w:r>
    </w:p>
    <w:p>
      <w:pPr>
        <w:spacing w:after="0" w:line="17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obligations under the Loan Agreement are guaranteed by the Guarantors and secured by a first lien security interest in certain assets of the Company and Guarantors.</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Loan Agreement contains certain customary representations and warranties, affirmative and negative covenants and events of default applicable to the Company and the Guarantors. The Loan Agreement also contains a minimum liquidity covenant of $30 million, tested quarterly. If an event of default occurs and is continuing, the Lenders may declare all amounts outstanding under the Loan Agreement to be immediately due and payable.</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is not complete and is qualified in its entirety by reference to the full text of the Loan Agreement, which will be filed as an exhibit to the Company’s next periodic report filed with the U.S. Securities and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May 8, 2025, the Company entered into a securities purchase agreement (the “Purchase Agreement”) with the purchasers set forth on Schedule A attached thereto (the “Purchasers”), which are all funds or accounts that are managed, advised or sub-advised by Blackstone or its affiliates, for the private placement (the “Private Placement”) of an aggregate of 140,000 shares of the Company’s common stock, at a purchase price of $107.14 per share (the “Common Stock”). Gross proceeds from the Private Placement were approximately $15,000,000. The closing of the Private Placement occurred contemporaneously with the Closing Date of the Loan Agreement.</w:t>
      </w:r>
    </w:p>
    <w:p>
      <w:pPr>
        <w:spacing w:after="0" w:line="183" w:lineRule="exact"/>
        <w:rPr>
          <w:sz w:val="20"/>
          <w:szCs w:val="20"/>
          <w:color w:val="auto"/>
        </w:rPr>
      </w:pPr>
    </w:p>
    <w:p>
      <w:pPr>
        <w:jc w:val="both"/>
        <w:ind w:right="20" w:firstLine="749"/>
        <w:spacing w:after="0" w:line="289"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covenants made by the Company. In addition, pursuant to the terms of the Purchase Agreement, each Purchaser has agreed to a “lock-up” period that generally prohibits, without the prior written consent of the Company, the sale, transfer, pledge or other disposition of securities of the Company through the period ending one hundred twenty (120) days from the Closing Date.</w:t>
      </w:r>
    </w:p>
    <w:p>
      <w:pPr>
        <w:spacing w:after="0" w:line="158"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copy of the Purchase Agreement, which will be filed as an exhibit to the Company’s next periodic report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firstLine="749"/>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Loan Agreement and Purchase Agreement were made only for purposes of such agreements and as of specific dates, were solely for the benefit of the parties to the Loan Agreement and Purchase Agreement, and may be subject to limitations agreed upon by the contracting parties. Accordingly, the Loan Agreement and Purchase Agreement are incorporated herein by reference only to provide investors with information regarding the terms of the Loan Agreement and Purchase Agreement, and not to provide investors with any other factual information regarding the Company or its business, and should be read in conjunction with the disclosures in the Company’s periodic reports and other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termination of the Existing Hercules Credit Agreement in connection with the payoff of this agreement is incorporated by reference into this Item 1.02.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the Loan Agreement is incorporated by reference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2.03.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the Private Placement of the Common Stock is incorporated by reference into this Item 3.02. The Private Placement was made pursuant to Section 4(a)(2) of the U.S.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On May 13, 2025, the Company issued a press release announcing the execution of the Loan Agreement.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7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May 13, 2025.</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600" w:type="dxa"/>
            <w:vAlign w:val="bottom"/>
          </w:tcPr>
          <w:p>
            <w:pPr>
              <w:spacing w:after="0"/>
              <w:rPr>
                <w:sz w:val="16"/>
                <w:szCs w:val="16"/>
                <w:color w:val="auto"/>
              </w:rPr>
            </w:pPr>
          </w:p>
        </w:tc>
        <w:tc>
          <w:tcPr>
            <w:tcW w:w="282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00" w:type="dxa"/>
            <w:vAlign w:val="bottom"/>
          </w:tcPr>
          <w:p>
            <w:pPr>
              <w:spacing w:after="0"/>
              <w:rPr>
                <w:sz w:val="21"/>
                <w:szCs w:val="21"/>
                <w:color w:val="auto"/>
              </w:rPr>
            </w:pP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1407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14070" cy="4629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Enters $570 Million Term Loan and Revolving Credit Facility with Blackstone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Previous term loan facility retired</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NEW YORK, May 13, 2025 (Globe Newswire) – Axsome Therapeutics, Inc. (NASDAQ: AXSM), a biopharmaceutical company leading a new era in the treatment of central nervous system (CNS) disorders, today announced that it has entered into a $570 million term loan and revolving credit facility with funds managed by Blackstone Life Sciences and Blackstone Credit &amp; Insurance (“Blackstone”). Concurrent with this new facility, Axsome has retired its previous term loan with Hercules Capital. The improved financial terms and expected use of the new facility are expected to result in a significant reduction in interest expense.</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new agreement with Blackstone simultaneously expands our total available credit facility by more than $200 million, and significantly reduces our cost of capital,” said Herriot Tabuteau, MD, Chief Executive Officer of Axsome Therapeutics. “We are pleased to partner with the Blackstone team given their differentiated expertise in the life sciences industry. The improved terms of the new facility underscore our commitment to accelerating time to profitability and enhancing shareholder value, while advancing our mission to improve the lives of patients living with serious CNS disorders.”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“Blackstone is proud to partner with Axsome at a time of growth and expanding commercial opportunity,” said Craig Shepherd and Kiran Reddy, MD, Senior Managing Directors with Blackstone Life Sciences. “This investment is designed to reinforce the company’s operational and financial agility to support its next phase of growth, and it is a testament to Blackstone’s ability to deliver customized and flexible financing solutions to help leading biopharma companies achieve their strategic objectives.”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Brad Colman, Global Head of Healthcare with Blackstone Credit &amp; Insurance, added, “Axsome’s proven commercial success, innovative pipeline, and strong leadership team make it an ideal partner as we continue to invest in transformative therapies to help patients. This transaction exemplifies how we can provide scaled credit solutions to world-class life sciences companies.”</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new $570 million facility consists of a $500 million term loan facility and a $70 million revolving credit facility. Upon closing of the agreement, the Company drew down a total of $120 million from the term loan facility which was used to retire the previous term loan with Hercules Capital. Under the terms of the new term loan facility, an additional $250 million may be drawn at the Company’s option, with an additional $200 million available subject to the approval of Blackstone. The facility bears interest at a calculated SOFR variable rate plus 4.75% for the term loan, and SOFR variable rate plus 4.0% for the revolving credit facility. The facility matures in May 2030 and has an interest-only payment period of 60 months. Concurrent with the closing of the agreement, Blackstone purchased $15 million of Axsome common stock at the 30-day volume weighted average price per share equal to $107.14.</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details regarding the financing agreement are available in the Company’s Form 8-K to be filed with the Securities and Exchange Commission.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Blackstone Life Sciences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Blackstone Life Sciences (BXLS) is an industry-leading private investment platform with capabilities to invest across the life cycle of companies and products within the key life science sectors. By combining scale investments and hands-on operational leadership, BXLS helps bring to market promising new medicines and medical technologies that improve patients’ lives and currently has $12 billion in assets under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Blackstone Credit &amp; Insurance</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Blackstone Credit &amp; Insurance (“BXCI”) is one of the world’s leading credit investors. Our investments span the credit markets, including private investment grade, asset-based lending, public investment grade and high yield, sustainable resources, infrastructure debt, collateralized loan obligations, direct lending and opportunistic credit. We seek to generate attractive risk-adjusted returns for institutional and individual investors by offering companies capital needed to strengthen and grow their businesses. BXCI is also a leading provider of investment management services for insurers, helping those companies better deliver for policyholders through our world-class capabilities in investment grade private credit.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Axsome Contacts: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8059"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332-3243 mjacobson@axsome.com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8279"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Vitek</w:t>
      </w:r>
    </w:p>
    <w:p>
      <w:pPr>
        <w:ind w:right="7779" w:firstLine="8"/>
        <w:spacing w:after="0" w:line="250"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583-5291 David.Vitek@blackstone.com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929"/>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2025-05-13T06:11:08Z</dcterms:created>
  <dcterms:modified xsi:type="dcterms:W3CDTF">2025-05-13T06:11:08Z</dcterms:modified>
</cp:coreProperties>
</file>