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Coleman Mark</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Axsome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13"/>
                <w:szCs w:val="13"/>
                <w:color w:val="auto"/>
              </w:rPr>
            </w:pPr>
          </w:p>
        </w:tc>
        <w:tc>
          <w:tcPr>
            <w:tcW w:w="1560" w:type="dxa"/>
            <w:vAlign w:val="bottom"/>
            <w:gridSpan w:val="6"/>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60" w:type="dxa"/>
            <w:vAlign w:val="bottom"/>
            <w:gridSpan w:val="6"/>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AXSOME THERAPEUTICS, INC.</w:t>
            </w:r>
          </w:p>
        </w:tc>
        <w:tc>
          <w:tcPr>
            <w:tcW w:w="1540" w:type="dxa"/>
            <w:vAlign w:val="bottom"/>
            <w:gridSpan w:val="5"/>
          </w:tcPr>
          <w:p>
            <w:pPr>
              <w:ind w:left="160"/>
              <w:spacing w:after="0"/>
              <w:rPr>
                <w:sz w:val="20"/>
                <w:szCs w:val="20"/>
                <w:color w:val="auto"/>
              </w:rPr>
            </w:pPr>
            <w:r>
              <w:rPr>
                <w:rFonts w:ascii="Arial" w:cs="Arial" w:eastAsia="Arial" w:hAnsi="Arial"/>
                <w:sz w:val="17"/>
                <w:szCs w:val="17"/>
                <w:color w:val="0000FF"/>
              </w:rPr>
              <w:t>06/29/2020</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w w:val="95"/>
              </w:rPr>
              <w:t>200 BROADWAY, 3RD FLOOR</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9"/>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24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06/29/2020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650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78.5</w:t>
            </w:r>
          </w:p>
        </w:tc>
        <w:tc>
          <w:tcPr>
            <w:tcW w:w="1280" w:type="dxa"/>
            <w:vAlign w:val="bottom"/>
            <w:tcBorders>
              <w:bottom w:val="single" w:sz="8" w:color="2C2C2C"/>
            </w:tcBorders>
            <w:gridSpan w:val="3"/>
          </w:tcPr>
          <w:p>
            <w:pPr>
              <w:jc w:val="center"/>
              <w:ind w:right="200"/>
              <w:spacing w:after="0"/>
              <w:rPr>
                <w:sz w:val="20"/>
                <w:szCs w:val="20"/>
                <w:color w:val="auto"/>
              </w:rPr>
            </w:pPr>
            <w:r>
              <w:rPr>
                <w:rFonts w:ascii="Arial" w:cs="Arial" w:eastAsia="Arial" w:hAnsi="Arial"/>
                <w:sz w:val="17"/>
                <w:szCs w:val="17"/>
                <w:color w:val="0000FF"/>
              </w:rPr>
              <w:t>403,698</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gridSpan w:val="3"/>
            <w:vMerge w:val="restart"/>
          </w:tcPr>
          <w:p>
            <w:pPr>
              <w:jc w:val="center"/>
              <w:ind w:right="300"/>
              <w:spacing w:after="0"/>
              <w:rPr>
                <w:sz w:val="20"/>
                <w:szCs w:val="20"/>
                <w:color w:val="auto"/>
              </w:rPr>
            </w:pPr>
            <w:r>
              <w:rPr>
                <w:rFonts w:ascii="Arial" w:cs="Arial" w:eastAsia="Arial" w:hAnsi="Arial"/>
                <w:sz w:val="17"/>
                <w:szCs w:val="17"/>
                <w:color w:val="0000FF"/>
              </w:rPr>
              <w:t>5,100</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8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250,000 shares were previously transferred to the reporting person's former spouse for no consideration pursuant to a property settlement agreement entered into in connection with a divorce proceeding. The reporting person no longer reports as beneficially owned any securities owned by his former spouse.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additional shares held indirectly by the reporting person prior to June 29, 2020. See Footnote 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Such shares were purchased by an entity, of which the reporting person has voting and dispositive power, and therefore, the reporting person is deemed to be the indirect beneficial owner of such shares.</w:t>
      </w:r>
    </w:p>
    <w:p>
      <w:pPr>
        <w:spacing w:after="0" w:line="7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Mark Coleman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06/30/2020</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2020-06-30T07:49:34Z</dcterms:created>
  <dcterms:modified xsi:type="dcterms:W3CDTF">2020-06-30T07:49:34Z</dcterms:modified>
</cp:coreProperties>
</file>