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146050</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66" w:lineRule="exact"/>
        <w:rPr>
          <w:sz w:val="24"/>
          <w:szCs w:val="24"/>
          <w:color w:val="auto"/>
        </w:rPr>
      </w:pPr>
    </w:p>
    <w:p>
      <w:pPr>
        <w:ind w:left="1600" w:hanging="187"/>
        <w:spacing w:after="0"/>
        <w:tabs>
          <w:tab w:leader="none" w:pos="16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345" w:lineRule="exact"/>
        <w:rPr>
          <w:sz w:val="24"/>
          <w:szCs w:val="24"/>
          <w:color w:val="auto"/>
        </w:rPr>
      </w:pPr>
    </w:p>
    <w:p>
      <w:pPr>
        <w:jc w:val="center"/>
        <w:ind w:left="3800" w:right="1400" w:hanging="2393"/>
        <w:spacing w:after="0" w:line="308" w:lineRule="auto"/>
        <w:tabs>
          <w:tab w:leader="none" w:pos="159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 to ________</w:t>
      </w:r>
    </w:p>
    <w:p>
      <w:pPr>
        <w:ind w:left="43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167640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AXSOME THERAPEUTICS,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4" w:lineRule="exact"/>
        <w:rPr>
          <w:sz w:val="24"/>
          <w:szCs w:val="24"/>
          <w:color w:val="auto"/>
        </w:rPr>
      </w:pPr>
    </w:p>
    <w:tbl>
      <w:tblPr>
        <w:tblLayout w:type="fixed"/>
        <w:tblInd w:w="1100" w:type="dxa"/>
        <w:tblCellMar>
          <w:top w:w="0" w:type="dxa"/>
          <w:left w:w="0" w:type="dxa"/>
          <w:bottom w:w="0" w:type="dxa"/>
          <w:right w:w="0" w:type="dxa"/>
        </w:tblCellMar>
      </w:tblPr>
      <w:tr>
        <w:trPr>
          <w:trHeight w:val="209"/>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2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45-4241907</w:t>
            </w:r>
          </w:p>
        </w:tc>
        <w:tc>
          <w:tcPr>
            <w:tcW w:w="0" w:type="dxa"/>
            <w:vAlign w:val="bottom"/>
          </w:tcPr>
          <w:p>
            <w:pPr>
              <w:spacing w:after="0"/>
              <w:rPr>
                <w:sz w:val="1"/>
                <w:szCs w:val="1"/>
                <w:color w:val="auto"/>
              </w:rPr>
            </w:pPr>
          </w:p>
        </w:tc>
      </w:tr>
      <w:tr>
        <w:trPr>
          <w:trHeight w:val="18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59"/>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22 Cortlandt Street</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60" w:type="dxa"/>
            <w:vAlign w:val="bottom"/>
          </w:tcPr>
          <w:p>
            <w:pPr>
              <w:jc w:val="center"/>
              <w:ind w:right="1342"/>
              <w:spacing w:after="0" w:line="175" w:lineRule="exact"/>
              <w:rPr>
                <w:sz w:val="20"/>
                <w:szCs w:val="20"/>
                <w:color w:val="auto"/>
              </w:rPr>
            </w:pPr>
            <w:r>
              <w:rPr>
                <w:rFonts w:ascii="Times New Roman" w:cs="Times New Roman" w:eastAsia="Times New Roman" w:hAnsi="Times New Roman"/>
                <w:sz w:val="16"/>
                <w:szCs w:val="16"/>
                <w:b w:val="1"/>
                <w:bCs w:val="1"/>
                <w:color w:val="auto"/>
              </w:rPr>
              <w:t>16th Floor</w:t>
            </w:r>
          </w:p>
        </w:tc>
        <w:tc>
          <w:tcPr>
            <w:tcW w:w="3520" w:type="dxa"/>
            <w:vAlign w:val="bottom"/>
            <w:vMerge w:val="restart"/>
          </w:tcPr>
          <w:p>
            <w:pPr>
              <w:jc w:val="right"/>
              <w:ind w:right="764"/>
              <w:spacing w:after="0"/>
              <w:rPr>
                <w:sz w:val="20"/>
                <w:szCs w:val="20"/>
                <w:color w:val="auto"/>
              </w:rPr>
            </w:pPr>
            <w:r>
              <w:rPr>
                <w:rFonts w:ascii="Times New Roman" w:cs="Times New Roman" w:eastAsia="Times New Roman" w:hAnsi="Times New Roman"/>
                <w:sz w:val="16"/>
                <w:szCs w:val="16"/>
                <w:b w:val="1"/>
                <w:bCs w:val="1"/>
                <w:color w:val="auto"/>
              </w:rPr>
              <w:t>10007</w:t>
            </w:r>
          </w:p>
        </w:tc>
        <w:tc>
          <w:tcPr>
            <w:tcW w:w="0" w:type="dxa"/>
            <w:vAlign w:val="bottom"/>
          </w:tcPr>
          <w:p>
            <w:pPr>
              <w:spacing w:after="0"/>
              <w:rPr>
                <w:sz w:val="1"/>
                <w:szCs w:val="1"/>
                <w:color w:val="auto"/>
              </w:rPr>
            </w:pPr>
          </w:p>
        </w:tc>
      </w:tr>
      <w:tr>
        <w:trPr>
          <w:trHeight w:val="196"/>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3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52" w:lineRule="exact"/>
        <w:rPr>
          <w:sz w:val="24"/>
          <w:szCs w:val="24"/>
          <w:color w:val="auto"/>
        </w:rPr>
      </w:pPr>
    </w:p>
    <w:p>
      <w:pPr>
        <w:ind w:right="18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6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2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2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5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76"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2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2"/>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AXSM</w:t>
            </w:r>
          </w:p>
        </w:tc>
        <w:tc>
          <w:tcPr>
            <w:tcW w:w="2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43,426,162 shares of the registrant’s common stock, $0.0001 par value, outstanding as of October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379730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QUARTERLY REPORT ON FORM 10-Q</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 ENDED SEPTEMBER 30, 2022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61"/>
        </w:trPr>
        <w:tc>
          <w:tcPr>
            <w:tcW w:w="5200" w:type="dxa"/>
            <w:vAlign w:val="bottom"/>
            <w:tcBorders>
              <w:bottom w:val="single" w:sz="8" w:color="0563C1"/>
            </w:tcBorders>
            <w:gridSpan w:val="11"/>
          </w:tcPr>
          <w:p>
            <w:pPr>
              <w:spacing w:after="0" w:line="161" w:lineRule="exact"/>
              <w:rPr>
                <w:sz w:val="20"/>
                <w:szCs w:val="20"/>
                <w:color w:val="auto"/>
              </w:rPr>
            </w:pPr>
            <w:r>
              <w:rPr>
                <w:rFonts w:ascii="Times New Roman" w:cs="Times New Roman" w:eastAsia="Times New Roman" w:hAnsi="Times New Roman"/>
                <w:sz w:val="16"/>
                <w:szCs w:val="16"/>
                <w:color w:val="0563C1"/>
                <w:w w:val="99"/>
              </w:rPr>
              <w:t>CAUTIONARY NOTE REGARDING FORWARD LOOKING STATEMENTS</w:t>
            </w:r>
          </w:p>
        </w:tc>
        <w:tc>
          <w:tcPr>
            <w:tcW w:w="5280" w:type="dxa"/>
            <w:vAlign w:val="bottom"/>
            <w:gridSpan w:val="2"/>
          </w:tcPr>
          <w:p>
            <w:pPr>
              <w:spacing w:after="0"/>
              <w:rPr>
                <w:sz w:val="14"/>
                <w:szCs w:val="14"/>
                <w:color w:val="auto"/>
              </w:rPr>
            </w:pPr>
          </w:p>
        </w:tc>
        <w:tc>
          <w:tcPr>
            <w:tcW w:w="7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3</w:t>
            </w:r>
          </w:p>
        </w:tc>
      </w:tr>
      <w:tr>
        <w:trPr>
          <w:trHeight w:val="183"/>
        </w:trPr>
        <w:tc>
          <w:tcPr>
            <w:tcW w:w="1048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b w:val="1"/>
                <w:bCs w:val="1"/>
                <w:color w:val="0563C1"/>
              </w:rPr>
              <w:t>PART I — FINANCIAL INFORMATION</w:t>
            </w:r>
          </w:p>
        </w:tc>
        <w:tc>
          <w:tcPr>
            <w:tcW w:w="740" w:type="dxa"/>
            <w:vAlign w:val="bottom"/>
          </w:tcPr>
          <w:p>
            <w:pPr>
              <w:spacing w:after="0"/>
              <w:rPr>
                <w:sz w:val="15"/>
                <w:szCs w:val="15"/>
                <w:color w:val="auto"/>
              </w:rPr>
            </w:pPr>
          </w:p>
        </w:tc>
      </w:tr>
      <w:tr>
        <w:trPr>
          <w:trHeight w:val="183"/>
        </w:trPr>
        <w:tc>
          <w:tcPr>
            <w:tcW w:w="920" w:type="dxa"/>
            <w:vAlign w:val="bottom"/>
            <w:tcBorders>
              <w:top w:val="single" w:sz="8" w:color="0563C1"/>
            </w:tcBorders>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w:t>
            </w:r>
          </w:p>
        </w:tc>
        <w:tc>
          <w:tcPr>
            <w:tcW w:w="1360" w:type="dxa"/>
            <w:vAlign w:val="bottom"/>
            <w:tcBorders>
              <w:top w:val="single" w:sz="8" w:color="0563C1"/>
              <w:bottom w:val="single" w:sz="8" w:color="0563C1"/>
            </w:tcBorders>
            <w:gridSpan w:val="4"/>
          </w:tcPr>
          <w:p>
            <w:pPr>
              <w:spacing w:after="0" w:line="183" w:lineRule="exact"/>
              <w:rPr>
                <w:sz w:val="20"/>
                <w:szCs w:val="20"/>
                <w:color w:val="auto"/>
              </w:rPr>
            </w:pPr>
            <w:r>
              <w:rPr>
                <w:rFonts w:ascii="Times New Roman" w:cs="Times New Roman" w:eastAsia="Times New Roman" w:hAnsi="Times New Roman"/>
                <w:sz w:val="16"/>
                <w:szCs w:val="16"/>
                <w:color w:val="0563C1"/>
              </w:rPr>
              <w:t>Financial Statements</w:t>
            </w:r>
          </w:p>
        </w:tc>
        <w:tc>
          <w:tcPr>
            <w:tcW w:w="640" w:type="dxa"/>
            <w:vAlign w:val="bottom"/>
            <w:tcBorders>
              <w:top w:val="single" w:sz="8" w:color="0563C1"/>
            </w:tcBorders>
            <w:gridSpan w:val="3"/>
          </w:tcPr>
          <w:p>
            <w:pPr>
              <w:spacing w:after="0"/>
              <w:rPr>
                <w:sz w:val="15"/>
                <w:szCs w:val="15"/>
                <w:color w:val="auto"/>
              </w:rPr>
            </w:pPr>
          </w:p>
        </w:tc>
        <w:tc>
          <w:tcPr>
            <w:tcW w:w="7560" w:type="dxa"/>
            <w:vAlign w:val="bottom"/>
            <w:gridSpan w:val="4"/>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w:t>
            </w:r>
          </w:p>
        </w:tc>
      </w:tr>
      <w:tr>
        <w:trPr>
          <w:trHeight w:val="183"/>
        </w:trPr>
        <w:tc>
          <w:tcPr>
            <w:tcW w:w="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5820" w:type="dxa"/>
            <w:vAlign w:val="bottom"/>
            <w:tcBorders>
              <w:bottom w:val="single" w:sz="8" w:color="0563C1"/>
            </w:tcBorders>
            <w:gridSpan w:val="10"/>
          </w:tcPr>
          <w:p>
            <w:pPr>
              <w:spacing w:after="0" w:line="183" w:lineRule="exact"/>
              <w:rPr>
                <w:sz w:val="20"/>
                <w:szCs w:val="20"/>
                <w:color w:val="auto"/>
              </w:rPr>
            </w:pPr>
            <w:r>
              <w:rPr>
                <w:rFonts w:ascii="Times New Roman" w:cs="Times New Roman" w:eastAsia="Times New Roman" w:hAnsi="Times New Roman"/>
                <w:sz w:val="16"/>
                <w:szCs w:val="16"/>
                <w:color w:val="0563C1"/>
              </w:rPr>
              <w:t>Management’s Discussion and Analysis of Financial Condition and Results of Operations</w:t>
            </w:r>
          </w:p>
        </w:tc>
        <w:tc>
          <w:tcPr>
            <w:tcW w:w="37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31</w:t>
            </w:r>
          </w:p>
        </w:tc>
      </w:tr>
      <w:tr>
        <w:trPr>
          <w:trHeight w:val="183"/>
        </w:trPr>
        <w:tc>
          <w:tcPr>
            <w:tcW w:w="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956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563C1"/>
              </w:rPr>
              <w:t>Quantitative and Qualitative Disclosure About Market Risk</w:t>
            </w:r>
          </w:p>
        </w:tc>
        <w:tc>
          <w:tcPr>
            <w:tcW w:w="7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43</w:t>
            </w:r>
          </w:p>
        </w:tc>
      </w:tr>
      <w:tr>
        <w:trPr>
          <w:trHeight w:val="183"/>
        </w:trPr>
        <w:tc>
          <w:tcPr>
            <w:tcW w:w="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top w:val="single" w:sz="8" w:color="0563C1"/>
              <w:bottom w:val="single" w:sz="8" w:color="0563C1"/>
            </w:tcBorders>
            <w:gridSpan w:val="5"/>
          </w:tcPr>
          <w:p>
            <w:pPr>
              <w:spacing w:after="0" w:line="183" w:lineRule="exact"/>
              <w:rPr>
                <w:sz w:val="20"/>
                <w:szCs w:val="20"/>
                <w:color w:val="auto"/>
              </w:rPr>
            </w:pPr>
            <w:r>
              <w:rPr>
                <w:rFonts w:ascii="Times New Roman" w:cs="Times New Roman" w:eastAsia="Times New Roman" w:hAnsi="Times New Roman"/>
                <w:sz w:val="16"/>
                <w:szCs w:val="16"/>
                <w:color w:val="0563C1"/>
              </w:rPr>
              <w:t>Controls and Procedures</w:t>
            </w:r>
          </w:p>
        </w:tc>
        <w:tc>
          <w:tcPr>
            <w:tcW w:w="2260" w:type="dxa"/>
            <w:vAlign w:val="bottom"/>
            <w:tcBorders>
              <w:top w:val="single" w:sz="8" w:color="0563C1"/>
            </w:tcBorders>
            <w:gridSpan w:val="3"/>
          </w:tcPr>
          <w:p>
            <w:pPr>
              <w:spacing w:after="0"/>
              <w:rPr>
                <w:sz w:val="15"/>
                <w:szCs w:val="15"/>
                <w:color w:val="auto"/>
              </w:rPr>
            </w:pPr>
          </w:p>
        </w:tc>
        <w:tc>
          <w:tcPr>
            <w:tcW w:w="5700" w:type="dxa"/>
            <w:vAlign w:val="bottom"/>
            <w:gridSpan w:val="3"/>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43</w:t>
            </w:r>
          </w:p>
        </w:tc>
      </w:tr>
      <w:tr>
        <w:trPr>
          <w:trHeight w:val="183"/>
        </w:trPr>
        <w:tc>
          <w:tcPr>
            <w:tcW w:w="2660" w:type="dxa"/>
            <w:vAlign w:val="bottom"/>
            <w:tcBorders>
              <w:bottom w:val="single" w:sz="8" w:color="0563C1"/>
            </w:tcBorders>
            <w:gridSpan w:val="8"/>
          </w:tcPr>
          <w:p>
            <w:pPr>
              <w:spacing w:after="0" w:line="183" w:lineRule="exact"/>
              <w:rPr>
                <w:sz w:val="20"/>
                <w:szCs w:val="20"/>
                <w:color w:val="auto"/>
              </w:rPr>
            </w:pPr>
            <w:r>
              <w:rPr>
                <w:rFonts w:ascii="Times New Roman" w:cs="Times New Roman" w:eastAsia="Times New Roman" w:hAnsi="Times New Roman"/>
                <w:sz w:val="16"/>
                <w:szCs w:val="16"/>
                <w:b w:val="1"/>
                <w:bCs w:val="1"/>
                <w:color w:val="0563C1"/>
                <w:w w:val="99"/>
              </w:rPr>
              <w:t>PART II — OTHER INFORMATION</w:t>
            </w:r>
          </w:p>
        </w:tc>
        <w:tc>
          <w:tcPr>
            <w:tcW w:w="7820" w:type="dxa"/>
            <w:vAlign w:val="bottom"/>
            <w:gridSpan w:val="5"/>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w:t>
            </w:r>
          </w:p>
        </w:tc>
        <w:tc>
          <w:tcPr>
            <w:tcW w:w="956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563C1"/>
              </w:rPr>
              <w:t>Legal Proceedings</w:t>
            </w:r>
          </w:p>
        </w:tc>
        <w:tc>
          <w:tcPr>
            <w:tcW w:w="7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44</w:t>
            </w:r>
          </w:p>
        </w:tc>
      </w:tr>
      <w:tr>
        <w:trPr>
          <w:trHeight w:val="183"/>
        </w:trPr>
        <w:tc>
          <w:tcPr>
            <w:tcW w:w="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top w:val="single" w:sz="8" w:color="0563C1"/>
              <w:bottom w:val="single" w:sz="8" w:color="0563C1"/>
            </w:tcBorders>
            <w:gridSpan w:val="2"/>
          </w:tcPr>
          <w:p>
            <w:pPr>
              <w:spacing w:after="0" w:line="183" w:lineRule="exact"/>
              <w:rPr>
                <w:sz w:val="20"/>
                <w:szCs w:val="20"/>
                <w:color w:val="auto"/>
              </w:rPr>
            </w:pPr>
            <w:r>
              <w:rPr>
                <w:rFonts w:ascii="Times New Roman" w:cs="Times New Roman" w:eastAsia="Times New Roman" w:hAnsi="Times New Roman"/>
                <w:sz w:val="16"/>
                <w:szCs w:val="16"/>
                <w:color w:val="0563C1"/>
                <w:w w:val="99"/>
              </w:rPr>
              <w:t>Risk Factors</w:t>
            </w:r>
          </w:p>
        </w:tc>
        <w:tc>
          <w:tcPr>
            <w:tcW w:w="380" w:type="dxa"/>
            <w:vAlign w:val="bottom"/>
            <w:tcBorders>
              <w:top w:val="single" w:sz="8" w:color="0563C1"/>
            </w:tcBorders>
          </w:tcPr>
          <w:p>
            <w:pPr>
              <w:spacing w:after="0"/>
              <w:rPr>
                <w:sz w:val="15"/>
                <w:szCs w:val="15"/>
                <w:color w:val="auto"/>
              </w:rPr>
            </w:pPr>
          </w:p>
        </w:tc>
        <w:tc>
          <w:tcPr>
            <w:tcW w:w="8360" w:type="dxa"/>
            <w:vAlign w:val="bottom"/>
            <w:gridSpan w:val="8"/>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44</w:t>
            </w:r>
          </w:p>
        </w:tc>
      </w:tr>
      <w:tr>
        <w:trPr>
          <w:trHeight w:val="183"/>
        </w:trPr>
        <w:tc>
          <w:tcPr>
            <w:tcW w:w="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6</w:t>
            </w:r>
          </w:p>
        </w:tc>
        <w:tc>
          <w:tcPr>
            <w:tcW w:w="956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563C1"/>
              </w:rPr>
              <w:t>Exhibits</w:t>
            </w:r>
          </w:p>
        </w:tc>
        <w:tc>
          <w:tcPr>
            <w:tcW w:w="7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98</w:t>
            </w:r>
          </w:p>
        </w:tc>
      </w:tr>
      <w:tr>
        <w:trPr>
          <w:trHeight w:val="183"/>
        </w:trPr>
        <w:tc>
          <w:tcPr>
            <w:tcW w:w="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563C1"/>
              </w:rPr>
              <w:t>Signatures</w:t>
            </w:r>
          </w:p>
        </w:tc>
        <w:tc>
          <w:tcPr>
            <w:tcW w:w="540" w:type="dxa"/>
            <w:vAlign w:val="bottom"/>
            <w:tcBorders>
              <w:top w:val="single" w:sz="8" w:color="0563C1"/>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99</w:t>
            </w:r>
          </w:p>
        </w:tc>
      </w:tr>
      <w:tr>
        <w:trPr>
          <w:trHeight w:val="20"/>
        </w:trPr>
        <w:tc>
          <w:tcPr>
            <w:tcW w:w="68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23"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8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increases or decreases in expenses;</w:t>
      </w:r>
    </w:p>
    <w:p>
      <w:pPr>
        <w:spacing w:after="0" w:line="113" w:lineRule="exact"/>
        <w:rPr>
          <w:rFonts w:ascii="Times New Roman" w:cs="Times New Roman" w:eastAsia="Times New Roman" w:hAnsi="Times New Roman"/>
          <w:sz w:val="16"/>
          <w:szCs w:val="16"/>
          <w:color w:val="auto"/>
        </w:rPr>
      </w:pPr>
    </w:p>
    <w:p>
      <w:pPr>
        <w:ind w:left="760" w:right="620" w:hanging="378"/>
        <w:spacing w:after="0" w:line="263" w:lineRule="auto"/>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the clinical and preclinical development, manufacturing, regulatory approval, and commercialization of our pharmaceutical product candidates or any other products that we may acquire or in-license;</w:t>
      </w:r>
    </w:p>
    <w:p>
      <w:pPr>
        <w:spacing w:after="0" w:line="6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of the sufficiency of our existing capital resources combined with future anticipated cash flows to finance our operating requirements;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incurring capital expenditures to expand our research and development and manufacturing capabilities;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circumstances or other disruptions to normal business operations arising from or related to COVID-19;</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revenue projections, sales forecasts, and potential peak market data;</w:t>
      </w:r>
    </w:p>
    <w:p>
      <w:pPr>
        <w:spacing w:after="0" w:line="9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becoming profitable on a sustained basis;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or ability to enter into marketing and other partnership agreements;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or ability to enter into product acquisition and in-licensing transactions;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or ability to expand our own commercial infrastructure to manufacture, market and sell our products;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expected losses;</w:t>
      </w:r>
    </w:p>
    <w:p>
      <w:pPr>
        <w:spacing w:after="0" w:line="9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maintain intellectual property protection for our products;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acceptance of our products by doctors, patients, or payors;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stock price and its volatility;</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key personnel;</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of our third-party manufacturers;</w:t>
      </w:r>
    </w:p>
    <w:p>
      <w:pPr>
        <w:spacing w:after="0" w:line="9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future capital requirements; and</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implement our strategy.</w:t>
      </w:r>
    </w:p>
    <w:p>
      <w:pPr>
        <w:spacing w:after="0" w:line="221" w:lineRule="exact"/>
        <w:rPr>
          <w:sz w:val="20"/>
          <w:szCs w:val="20"/>
          <w:color w:val="auto"/>
        </w:rPr>
      </w:pPr>
    </w:p>
    <w:p>
      <w:pPr>
        <w:ind w:firstLine="749"/>
        <w:spacing w:after="0" w:line="280" w:lineRule="auto"/>
        <w:rPr>
          <w:sz w:val="20"/>
          <w:szCs w:val="20"/>
          <w:color w:val="auto"/>
        </w:rPr>
      </w:pPr>
      <w:r>
        <w:rPr>
          <w:rFonts w:ascii="Times New Roman" w:cs="Times New Roman" w:eastAsia="Times New Roman" w:hAnsi="Times New Roman"/>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65" w:lineRule="exact"/>
        <w:rPr>
          <w:sz w:val="20"/>
          <w:szCs w:val="20"/>
          <w:color w:val="auto"/>
        </w:rPr>
      </w:pPr>
    </w:p>
    <w:p>
      <w:pPr>
        <w:ind w:right="100" w:firstLine="749"/>
        <w:spacing w:after="0" w:line="263" w:lineRule="auto"/>
        <w:rPr>
          <w:sz w:val="20"/>
          <w:szCs w:val="20"/>
          <w:color w:val="auto"/>
        </w:rPr>
      </w:pPr>
      <w:r>
        <w:rPr>
          <w:rFonts w:ascii="Times New Roman" w:cs="Times New Roman" w:eastAsia="Times New Roman" w:hAnsi="Times New Roman"/>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227,520,218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86,472,854</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receivables, net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20,302,222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2,103,477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2,457,513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45,286</w:t>
            </w:r>
          </w:p>
        </w:tc>
        <w:tc>
          <w:tcPr>
            <w:tcW w:w="100" w:type="dxa"/>
            <w:vAlign w:val="bottom"/>
          </w:tcPr>
          <w:p>
            <w:pPr>
              <w:spacing w:after="0"/>
              <w:rPr>
                <w:sz w:val="18"/>
                <w:szCs w:val="18"/>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252,383,430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86,518,140</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626,990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283,846</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384,568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660,162</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61,267,561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12,398,220</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322,910</w:t>
            </w:r>
          </w:p>
        </w:tc>
        <w:tc>
          <w:tcPr>
            <w:tcW w:w="100" w:type="dxa"/>
            <w:vAlign w:val="bottom"/>
          </w:tcPr>
          <w:p>
            <w:pPr>
              <w:spacing w:after="0"/>
              <w:rPr>
                <w:sz w:val="18"/>
                <w:szCs w:val="18"/>
                <w:color w:val="auto"/>
              </w:rPr>
            </w:pPr>
          </w:p>
        </w:tc>
      </w:tr>
      <w:tr>
        <w:trPr>
          <w:trHeight w:val="250"/>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338,957,769</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87,785,058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5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12,844,629</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13,149,329</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40,021,759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9,295,180</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620,675</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60,283,264</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23,065,184</w:t>
            </w:r>
          </w:p>
        </w:tc>
        <w:tc>
          <w:tcPr>
            <w:tcW w:w="100" w:type="dxa"/>
            <w:vAlign w:val="bottom"/>
            <w:tcBorders>
              <w:top w:val="single" w:sz="8" w:color="CFF0FC"/>
            </w:tcBorders>
          </w:tcPr>
          <w:p>
            <w:pPr>
              <w:spacing w:after="0"/>
              <w:rPr>
                <w:sz w:val="18"/>
                <w:szCs w:val="18"/>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27,400,000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93,913,159</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49,089,522</w:t>
            </w: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181,596,423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72,154,706</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1"/>
        </w:trPr>
        <w:tc>
          <w:tcPr>
            <w:tcW w:w="756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2022 and December 31, 2021, respectively)</w:t>
            </w:r>
          </w:p>
        </w:tc>
        <w:tc>
          <w:tcPr>
            <w:tcW w:w="2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5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Common stock, $0.0001 par value per share (150,000,000 shares authorized, 43,425,707 and</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37,816,794 shares issued and outstanding at September 30, 2022 and December 31, 2021,</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Pr>
          <w:p>
            <w:pPr>
              <w:spacing w:after="0"/>
              <w:rPr>
                <w:sz w:val="20"/>
                <w:szCs w:val="20"/>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692,450,128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424,825,655</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(535,093,124 )</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(409,199,085 )</w:t>
            </w:r>
          </w:p>
        </w:tc>
      </w:tr>
      <w:tr>
        <w:trPr>
          <w:trHeight w:val="210"/>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157,361,346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15,630,352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338,957,769</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87,785,058</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-2776855</wp:posOffset>
            </wp:positionV>
            <wp:extent cx="123444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1625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-1928495</wp:posOffset>
            </wp:positionV>
            <wp:extent cx="6858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-1928495</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5"/>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700" w:type="dxa"/>
            <w:vAlign w:val="bottom"/>
            <w:gridSpan w:val="5"/>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16,845,792</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25,665,578</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 sales (excluding amortization and depreciation)</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1,923,831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2,906,667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14,877,021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13,180,258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43,254,364</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44,279,272</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40,892,443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20,226,884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97,756,314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47,819,618</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(42,120 )</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(902,120 )</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1,606,789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2,532,439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59,257,964</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33,407,142</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145,547,664</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92,098,890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(42,412,172 )</w:t>
            </w:r>
          </w:p>
        </w:tc>
        <w:tc>
          <w:tcPr>
            <w:tcW w:w="36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8"/>
              </w:rPr>
              <w:t>(33,407,142 )</w:t>
            </w:r>
          </w:p>
        </w:tc>
        <w:tc>
          <w:tcPr>
            <w:tcW w:w="24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(119,882,086 )</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(92,098,890 )</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(2,411,040 )</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(1,475,535 )</w:t>
            </w: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(6,011,953 )</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(4,327,966 )</w:t>
            </w:r>
          </w:p>
        </w:tc>
      </w:tr>
      <w:tr>
        <w:trPr>
          <w:trHeight w:val="20"/>
        </w:trPr>
        <w:tc>
          <w:tcPr>
            <w:tcW w:w="5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(44,823,212 )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8"/>
              </w:rPr>
              <w:t>(34,882,677 )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(125,894,039 )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(96,426,856 )</w:t>
            </w:r>
          </w:p>
        </w:tc>
      </w:tr>
      <w:tr>
        <w:trPr>
          <w:trHeight w:val="20"/>
        </w:trPr>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3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(0.93</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(3.17</w:t>
            </w:r>
          </w:p>
        </w:tc>
        <w:tc>
          <w:tcPr>
            <w:tcW w:w="200" w:type="dxa"/>
            <w:vAlign w:val="bottom"/>
            <w:tcBorders>
              <w:bottom w:val="single" w:sz="8" w:color="CFF0FC"/>
            </w:tcBorders>
            <w:shd w:val="clear" w:color="auto" w:fill="CFF0FC"/>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3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41,704,362</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37,680,966</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39,715,261</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37,569,416</w:t>
            </w:r>
          </w:p>
        </w:tc>
        <w:tc>
          <w:tcPr>
            <w:tcW w:w="10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-779145</wp:posOffset>
            </wp:positionV>
            <wp:extent cx="7747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-779145</wp:posOffset>
            </wp:positionV>
            <wp:extent cx="6858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-779145</wp:posOffset>
            </wp:positionV>
            <wp:extent cx="6858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-496570</wp:posOffset>
            </wp:positionV>
            <wp:extent cx="7747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-496570</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-496570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-187960</wp:posOffset>
            </wp:positionV>
            <wp:extent cx="294894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48940" cy="188595"/>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160" w:type="dxa"/>
            <w:vAlign w:val="bottom"/>
            <w:gridSpan w:val="4"/>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30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740" w:type="dxa"/>
            <w:vAlign w:val="bottom"/>
          </w:tcPr>
          <w:p>
            <w:pPr>
              <w:spacing w:after="0"/>
              <w:rPr>
                <w:sz w:val="15"/>
                <w:szCs w:val="15"/>
                <w:color w:val="auto"/>
              </w:rPr>
            </w:pPr>
          </w:p>
        </w:tc>
        <w:tc>
          <w:tcPr>
            <w:tcW w:w="216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4"/>
                <w:szCs w:val="14"/>
                <w:color w:val="auto"/>
              </w:rPr>
            </w:pPr>
          </w:p>
        </w:tc>
        <w:tc>
          <w:tcPr>
            <w:tcW w:w="130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37,374,088</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392,585,265</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(278,796,093</w:t>
            </w:r>
          </w:p>
        </w:tc>
        <w:tc>
          <w:tcPr>
            <w:tcW w:w="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113,792,909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3,731,097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3,731,097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94,000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1,913,289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1,913,299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vesting of RSUs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financing</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93,877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6,115,855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6,115,864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(29,259,970 )</w:t>
            </w:r>
          </w:p>
        </w:tc>
        <w:tc>
          <w:tcPr>
            <w:tcW w:w="1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(29,259,970 )</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37,563,882</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404,345,506</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(308,056,063</w:t>
            </w:r>
          </w:p>
        </w:tc>
        <w:tc>
          <w:tcPr>
            <w:tcW w:w="20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96,293,199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5,456,242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5,456,242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68,503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958,888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958,895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vesting of RSUs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warrants upon debt financing</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financing</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1,096,501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tendered for withholding taxes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(84,010 )</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(84,010 )</w:t>
            </w: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(32,284,209 )</w:t>
            </w:r>
          </w:p>
        </w:tc>
        <w:tc>
          <w:tcPr>
            <w:tcW w:w="1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(32,284,209 )</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37,648,948</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3,765</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411,773,127</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(340,340,272</w:t>
            </w:r>
          </w:p>
        </w:tc>
        <w:tc>
          <w:tcPr>
            <w:tcW w:w="20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71,436,620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5,725,217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5,725,217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35,618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438,680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438,683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vesting of RSUs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(34,882,677 )</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(34,882,677 )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37,687,883</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3,769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417,937,024</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(375,222,949 )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42,717,844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37,816,794</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424,825,655</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(409,199,085</w:t>
            </w:r>
          </w:p>
        </w:tc>
        <w:tc>
          <w:tcPr>
            <w:tcW w:w="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15,630,352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7,598,329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7,598,329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18,015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181,635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181,637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vesting of RSUs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financing</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1,044,081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31,008,497</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31,008,601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tendered for withholding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(88,594 )</w:t>
            </w: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(88,594 )</w:t>
            </w: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(39,632,311 )</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(39,632,311 )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38,883,445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463,525,522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(448,831,396 )</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14,698,014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10,161,678</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10,161,678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176,412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vesting of RSUs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financing</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1,023,153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30,794,544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30,794,647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warrants upon debt financing</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826,153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826,153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tendered for withholding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(18,926 )</w:t>
            </w: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(18,926 )</w:t>
            </w: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(41,438,516 )</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(41,438,516 )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39,914,411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505,465,383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(490,269,912 )</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15,199,462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9,197,661</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9,197,661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246,665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3,064,236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3,064,261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vesting of RSUs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11,405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financing</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3,253,226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174,984,483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174,984,808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tendered for withholding taxes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(261,635 )</w:t>
            </w: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(261,635 )</w:t>
            </w: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(44,823,212 )</w:t>
            </w:r>
          </w:p>
        </w:tc>
        <w:tc>
          <w:tcPr>
            <w:tcW w:w="1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(44,823,212 )</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43,425,707</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4,342</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692,450,128</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(535,093,124</w:t>
            </w:r>
          </w:p>
        </w:tc>
        <w:tc>
          <w:tcPr>
            <w:tcW w:w="20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157,361,346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-4825365</wp:posOffset>
            </wp:positionV>
            <wp:extent cx="354901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49015" cy="1543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-3762375</wp:posOffset>
            </wp:positionV>
            <wp:extent cx="354901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49015" cy="1543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-3222625</wp:posOffset>
            </wp:positionV>
            <wp:extent cx="7747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-3222625</wp:posOffset>
            </wp:positionV>
            <wp:extent cx="7747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-3222625</wp:posOffset>
            </wp:positionV>
            <wp:extent cx="6858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-3222625</wp:posOffset>
            </wp:positionV>
            <wp:extent cx="6858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-2159635</wp:posOffset>
            </wp:positionV>
            <wp:extent cx="7747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-2159635</wp:posOffset>
            </wp:positionV>
            <wp:extent cx="7747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-2159635</wp:posOffset>
            </wp:positionV>
            <wp:extent cx="6858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-2159635</wp:posOffset>
            </wp:positionV>
            <wp:extent cx="6858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-1096645</wp:posOffset>
            </wp:positionV>
            <wp:extent cx="7747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-1096645</wp:posOffset>
            </wp:positionV>
            <wp:extent cx="7747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-1096645</wp:posOffset>
            </wp:positionV>
            <wp:extent cx="6858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-1096645</wp:posOffset>
            </wp:positionV>
            <wp:extent cx="6858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7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(125,894,039 )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(96,426,856 )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26,957,668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14,912,556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2,532,439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1,136,951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851,862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178,107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45,305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(902,120 )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836,974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802,949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operating lease liability</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(765,179 )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(922,179 )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(20,302,222 )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(8,600 )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(2,412,227 )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(252,929 )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(727,187 )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(304,700 )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(122,341 )</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30,726,579</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1,731,923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(88,947,556 )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(79,385,245 )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equipment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(521,251 )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(307,549 )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business combination</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(53,000,000 )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(53,521,251 )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(307,549 )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draw down of debt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(487,160 )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upon financing,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236,788,056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7,212,367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options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3,422,310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3,310,877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(837,880 )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of tax withholdings on stock award</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(369,155 )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(84,010 )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283,516,171</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10,439,234</w:t>
            </w:r>
          </w:p>
        </w:tc>
        <w:tc>
          <w:tcPr>
            <w:tcW w:w="100" w:type="dxa"/>
            <w:vAlign w:val="bottom"/>
            <w:tcBorders>
              <w:top w:val="single" w:sz="8" w:color="CFF0FC"/>
            </w:tcBorders>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141,047,364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(69,253,560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86,472,854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183,876,453</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227,520,218</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114,622,893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5,116,806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3,482,083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operating lease liability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561,380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 in a business combination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34,400,000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-2976880</wp:posOffset>
            </wp:positionV>
            <wp:extent cx="6858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-2976880</wp:posOffset>
            </wp:positionV>
            <wp:extent cx="6858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-2411095</wp:posOffset>
            </wp:positionV>
            <wp:extent cx="6858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-2411095</wp:posOffset>
            </wp:positionV>
            <wp:extent cx="6858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-1296670</wp:posOffset>
            </wp:positionV>
            <wp:extent cx="6858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-1296670</wp:posOffset>
            </wp:positionV>
            <wp:extent cx="6858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-722630</wp:posOffset>
            </wp:positionV>
            <wp:extent cx="124333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43330" cy="16319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Business and Basis of Presentation</w:t>
      </w:r>
    </w:p>
    <w:p>
      <w:pPr>
        <w:spacing w:after="0" w:line="183"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Axsome Therapeutics, Inc. (“Axsome” or the “Company”) is a biopharmaceutical company developing and delivering novel therapies for central nervous system (“CNS”) conditions that have limited treatment options. By focusing on this therapeutic area, the Company is addressing significant and growing markets where current treatment options are limited or inadequate. The Company was incorporated on January 12, 2012 in the State of Delaware. The Company’s CNS portfolio includes three not yet approved product candidates, AXS-07, AXS-12, and AXS-14, which are being developed for multiple indications, and two approved products - Auvelity™ (also referred to as "AXS-05") and Sunosi® - both of which are also being developed for further indications. In May 2022, the Company acquired the U.S. rights to Sunosi from Jazz Pharmaceuticals ("Jazz"). Sunosi is a product approved by FDA and marketed in the U.S. to improve wakefulness in adult patients with EDS ("excessive daytime sleepiness") associated with narcolepsy or obstructive sleep apnea, and also approved in Europe in January 2020 by the European Commission. In August 2022, the Company announced the FDA approval of Auvelity and in October 2022, the U.S. commercial availability of Auvelity. Auvelity is indicated for the treatment of major depressive disorder in adults. The Company aims to become a fully integrated biopharmaceutical company that develops and commercializes differentiated therapies that expand the treatment options available to caregivers and improve the lives of patients living with CNS disorders. The Company refers herein to Sunosi, Auveity, AXS-05, AXS-07, AXS-12, AXS-14, solriamfetol, and its programs to develop additional indications for Sunosi and Auvelity, as the Company’s products.</w:t>
      </w:r>
    </w:p>
    <w:p>
      <w:pPr>
        <w:spacing w:after="0" w:line="153" w:lineRule="exact"/>
        <w:rPr>
          <w:sz w:val="20"/>
          <w:szCs w:val="20"/>
          <w:color w:val="auto"/>
        </w:rPr>
      </w:pPr>
    </w:p>
    <w:p>
      <w:pPr>
        <w:jc w:val="both"/>
        <w:ind w:right="60" w:firstLine="749"/>
        <w:spacing w:after="0" w:line="250" w:lineRule="auto"/>
        <w:rPr>
          <w:sz w:val="20"/>
          <w:szCs w:val="20"/>
          <w:color w:val="auto"/>
        </w:rPr>
      </w:pPr>
      <w:r>
        <w:rPr>
          <w:rFonts w:ascii="Times New Roman" w:cs="Times New Roman" w:eastAsia="Times New Roman" w:hAnsi="Times New Roman"/>
          <w:sz w:val="16"/>
          <w:szCs w:val="16"/>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2021 filed with the SEC on March 1, 2022.</w:t>
      </w:r>
    </w:p>
    <w:p>
      <w:pPr>
        <w:spacing w:after="0" w:line="16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6"/>
          <w:szCs w:val="16"/>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nine months ended September 30, 2022 are not necessarily indicative of the operating results for the full fiscal year or any future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83" w:lineRule="exact"/>
        <w:rPr>
          <w:sz w:val="20"/>
          <w:szCs w:val="20"/>
          <w:color w:val="auto"/>
        </w:rPr>
      </w:pPr>
    </w:p>
    <w:p>
      <w:pPr>
        <w:ind w:right="40" w:firstLine="749"/>
        <w:spacing w:after="0" w:line="280" w:lineRule="auto"/>
        <w:rPr>
          <w:sz w:val="20"/>
          <w:szCs w:val="20"/>
          <w:color w:val="auto"/>
        </w:rPr>
      </w:pPr>
      <w:r>
        <w:rPr>
          <w:rFonts w:ascii="Times New Roman" w:cs="Times New Roman" w:eastAsia="Times New Roman" w:hAnsi="Times New Roman"/>
          <w:sz w:val="16"/>
          <w:szCs w:val="16"/>
          <w:color w:val="auto"/>
        </w:rPr>
        <w:t>The Company has incurred operating losses since its inception and expects to continue to incur operating losses for the foreseeable future and may never become profitable. As of September 30, 2022, the Company had an accumulated deficit of $535.1 million.</w:t>
      </w:r>
    </w:p>
    <w:p>
      <w:pPr>
        <w:spacing w:after="0" w:line="124"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6"/>
          <w:szCs w:val="16"/>
          <w:color w:val="auto"/>
        </w:rPr>
        <w:t>The Company’s primary sources of cash have been proceeds from the issuance and sale of its common stock in public offerings and the issuance of debt. Sales for Sunosi were recently initiated and as of September 30, 2022, the Company has not yet commercialized any of its other product candidates.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additional revenues from its products.</w:t>
      </w:r>
    </w:p>
    <w:p>
      <w:pPr>
        <w:spacing w:after="0" w:line="143"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6"/>
          <w:szCs w:val="16"/>
          <w:color w:val="auto"/>
        </w:rPr>
        <w:t>The Company believes its existing cash will be sufficient to fund its anticipated operating cash requirements for at least twelve months following the date of this filing. During that time, the Company expects that its expenses will increase due primarily to the commercialization of Sunosi and Auvelity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Company’s common stock is listed on the Nasdaq Global Market and trades under the symbol “AXSM”.</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COVID-19</w:t>
      </w:r>
    </w:p>
    <w:p>
      <w:pPr>
        <w:spacing w:after="0" w:line="183"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16"/>
          <w:szCs w:val="16"/>
          <w:color w:val="auto"/>
        </w:rPr>
        <w:t>In December 2019, a novel (new)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global pandemic. The full impact of the ongoing COVID-19 pandemic is still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the Company does not believe the COVID-19 pandemic has had or will have a material impact on the Company’s current investment liquidity.</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Risks and Uncertainties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Company’s operations are subject to a number of factors that can affect its operating results and financial condition. Such factors include, but are not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results of clinical testing and trial activities of the Company’s product candidates; the Company’s ability to obtain regulatory approval to market its products, if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approved; competition from products manufactured and sold or being developed by other companies; the price of, and demand for, the Company’s products, if approved;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Company’s ability to negotiate favorable licensing or other manufacturing and marketing agreements for its products, if approved; and the Company’s ability to raise</w:t>
      </w:r>
    </w:p>
    <w:p>
      <w:pPr>
        <w:spacing w:after="0" w:line="235" w:lineRule="auto"/>
        <w:rPr>
          <w:sz w:val="20"/>
          <w:szCs w:val="20"/>
          <w:color w:val="auto"/>
        </w:rPr>
      </w:pPr>
      <w:r>
        <w:rPr>
          <w:rFonts w:ascii="Times New Roman" w:cs="Times New Roman" w:eastAsia="Times New Roman" w:hAnsi="Times New Roman"/>
          <w:sz w:val="16"/>
          <w:szCs w:val="16"/>
          <w:color w:val="auto"/>
        </w:rPr>
        <w:t>additional financing. If the Company's commercialization of its products is not financially successful, it will be unable to generate sufficient recurring product revenue to</w:t>
      </w:r>
    </w:p>
    <w:p>
      <w:pPr>
        <w:spacing w:after="0"/>
        <w:rPr>
          <w:sz w:val="20"/>
          <w:szCs w:val="20"/>
          <w:color w:val="auto"/>
        </w:rPr>
      </w:pPr>
      <w:r>
        <w:rPr>
          <w:rFonts w:ascii="Times New Roman" w:cs="Times New Roman" w:eastAsia="Times New Roman" w:hAnsi="Times New Roman"/>
          <w:sz w:val="16"/>
          <w:szCs w:val="16"/>
          <w:color w:val="auto"/>
        </w:rPr>
        <w:t>achieve and maintain profitability.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223" w:lineRule="exact"/>
        <w:rPr>
          <w:sz w:val="20"/>
          <w:szCs w:val="20"/>
          <w:color w:val="auto"/>
        </w:rPr>
      </w:pPr>
    </w:p>
    <w:p>
      <w:pPr>
        <w:ind w:right="20" w:firstLine="749"/>
        <w:spacing w:after="0" w:line="188" w:lineRule="exact"/>
        <w:rPr>
          <w:sz w:val="20"/>
          <w:szCs w:val="20"/>
          <w:color w:val="auto"/>
        </w:rPr>
      </w:pPr>
      <w:r>
        <w:rPr>
          <w:rFonts w:ascii="Times New Roman" w:cs="Times New Roman" w:eastAsia="Times New Roman" w:hAnsi="Times New Roman"/>
          <w:sz w:val="16"/>
          <w:szCs w:val="16"/>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expense; the determination of the fair value of the warrants; the accounting for research and development costs; accounting for acquisitions; impairments goodwill and intangible assets; contingent consideration; chargebacks, cash discounts, sales rebates, returns and other adjustments; and the recoverability of the Company’s net deferred tax assets and related valuation allowance.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223" w:lineRule="exact"/>
        <w:rPr>
          <w:sz w:val="20"/>
          <w:szCs w:val="20"/>
          <w:color w:val="auto"/>
        </w:rPr>
      </w:pPr>
    </w:p>
    <w:p>
      <w:pPr>
        <w:ind w:right="200" w:firstLine="749"/>
        <w:spacing w:after="0" w:line="249" w:lineRule="auto"/>
        <w:rPr>
          <w:sz w:val="20"/>
          <w:szCs w:val="20"/>
          <w:color w:val="auto"/>
        </w:rPr>
      </w:pPr>
      <w:r>
        <w:rPr>
          <w:rFonts w:ascii="Times New Roman" w:cs="Times New Roman" w:eastAsia="Times New Roman" w:hAnsi="Times New Roman"/>
          <w:sz w:val="16"/>
          <w:szCs w:val="16"/>
          <w:color w:val="auto"/>
        </w:rPr>
        <w:t>Effective January 1, 2018, the Company adopted FASB ASC Topic 606, Revenue from Contracts with Customers (“ASC Topic 606”). The Company did not generate any product related revenue until the Sunosi acquisition, and therefore the adoption of ASC Topic 606 did not have an impact to the Company’s financial statements for any prior periods or upon adoption. In accordance with ASC Topic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this occurs upon transfer of the title along with the physical transfer of the Company's goods to the Company's third-party logistics provider ("3PL") as that is when the customer has obtained control of significantly all of the economic benefits. The reported results for the three and nine months ended September 30, 2022 reflect the application of ASC Topic 606.</w:t>
      </w:r>
    </w:p>
    <w:p>
      <w:pPr>
        <w:spacing w:after="0" w:line="189"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16"/>
          <w:szCs w:val="16"/>
          <w:color w:val="auto"/>
        </w:rPr>
        <w:t>To determine revenue recognition for arrangements that the Company determines are within the scope of ASC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Topic 606, including when it is probable that the Company will collect the consideration it is entitled to in exchange for the goods or services it transfers to the customer. At contract inception, once the contract is determined to be within the scope of ASC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Product Sales, net</w:t>
      </w:r>
    </w:p>
    <w:p>
      <w:pPr>
        <w:spacing w:after="0" w:line="399" w:lineRule="exact"/>
        <w:rPr>
          <w:sz w:val="20"/>
          <w:szCs w:val="20"/>
          <w:color w:val="auto"/>
        </w:rPr>
      </w:pPr>
    </w:p>
    <w:p>
      <w:pPr>
        <w:ind w:firstLine="749"/>
        <w:spacing w:after="0" w:line="263" w:lineRule="auto"/>
        <w:rPr>
          <w:sz w:val="20"/>
          <w:szCs w:val="20"/>
          <w:color w:val="auto"/>
        </w:rPr>
      </w:pPr>
      <w:r>
        <w:rPr>
          <w:rFonts w:ascii="Times New Roman" w:cs="Times New Roman" w:eastAsia="Times New Roman" w:hAnsi="Times New Roman"/>
          <w:sz w:val="16"/>
          <w:szCs w:val="16"/>
          <w:color w:val="auto"/>
        </w:rPr>
        <w:t>The Company sells Sunosi in the United States through a single 3PL, which takes title and control of the goods. The 3PL distributes the product to wholesale distributors (collectively the "Distributors") with whom the Company has entered into formal agreements for delivery to retail pharmacies. The Company did not record any product sales with respect to Auvelity for the period covered by this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Reserves for Variable Consideration</w:t>
      </w:r>
    </w:p>
    <w:p>
      <w:pPr>
        <w:spacing w:after="0" w:line="223" w:lineRule="exact"/>
        <w:rPr>
          <w:sz w:val="20"/>
          <w:szCs w:val="20"/>
          <w:color w:val="auto"/>
        </w:rPr>
      </w:pPr>
    </w:p>
    <w:p>
      <w:pPr>
        <w:ind w:right="80" w:firstLine="749"/>
        <w:spacing w:after="0" w:line="249" w:lineRule="auto"/>
        <w:rPr>
          <w:sz w:val="20"/>
          <w:szCs w:val="20"/>
          <w:color w:val="auto"/>
        </w:rPr>
      </w:pPr>
      <w:r>
        <w:rPr>
          <w:rFonts w:ascii="Times New Roman" w:cs="Times New Roman" w:eastAsia="Times New Roman" w:hAnsi="Times New Roman"/>
          <w:sz w:val="16"/>
          <w:szCs w:val="16"/>
          <w:color w:val="auto"/>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our best estimate of the amount of consideration to which the Company is entitled based on the terms of the contracts.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spacing w:after="0" w:line="18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Trade Discounts and Allowances - </w:t>
      </w:r>
      <w:r>
        <w:rPr>
          <w:rFonts w:ascii="Times New Roman" w:cs="Times New Roman" w:eastAsia="Times New Roman" w:hAnsi="Times New Roman"/>
          <w:sz w:val="16"/>
          <w:szCs w:val="16"/>
          <w:color w:val="auto"/>
        </w:rPr>
        <w:t>The Company generally provides discounts which include incentive fees that are explicitly stated in the Company’s contracts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receivables, net on the consolidated balance sheets.</w:t>
      </w:r>
    </w:p>
    <w:p>
      <w:pPr>
        <w:spacing w:after="0" w:line="183" w:lineRule="exact"/>
        <w:rPr>
          <w:sz w:val="20"/>
          <w:szCs w:val="20"/>
          <w:color w:val="auto"/>
        </w:rPr>
      </w:pPr>
    </w:p>
    <w:p>
      <w:pPr>
        <w:ind w:right="240" w:firstLine="749"/>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Product Returns - </w:t>
      </w:r>
      <w:r>
        <w:rPr>
          <w:rFonts w:ascii="Times New Roman" w:cs="Times New Roman" w:eastAsia="Times New Roman" w:hAnsi="Times New Roman"/>
          <w:sz w:val="16"/>
          <w:szCs w:val="16"/>
          <w:color w:val="auto"/>
        </w:rPr>
        <w:t>Consistent with industry practice, the Company generally offers a limited right of return for product that has been purchased from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based on the product’s expiration date. The Company estimates the amount of its product sales that may be returned and records this estimate as a reduction of revenue in the period the related product sales is recognized, as well as a component of accrued expense and other current liabilities. The Company currently estimates product return liabilities using available industry data and its own sales information.</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Chargebacks and Discounts - </w:t>
      </w:r>
      <w:r>
        <w:rPr>
          <w:rFonts w:ascii="Times New Roman" w:cs="Times New Roman" w:eastAsia="Times New Roman" w:hAnsi="Times New Roman"/>
          <w:sz w:val="16"/>
          <w:szCs w:val="16"/>
          <w:color w:val="auto"/>
        </w:rPr>
        <w:t>Chargebacks for fees and discounts to providers represent the estimated obligations resulting from contractual commitments to sell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receivables, net.</w:t>
      </w:r>
    </w:p>
    <w:p>
      <w:pPr>
        <w:spacing w:after="0" w:line="167"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Rebates - </w:t>
      </w:r>
      <w:r>
        <w:rPr>
          <w:rFonts w:ascii="Times New Roman" w:cs="Times New Roman" w:eastAsia="Times New Roman" w:hAnsi="Times New Roman"/>
          <w:sz w:val="16"/>
          <w:szCs w:val="16"/>
          <w:color w:val="auto"/>
        </w:rPr>
        <w:t>Rebates apply to: Medicaid, managed care, and supplemental rebates to all applicable states as defined by the statutory government pricing calculation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requirements under the Medicaid Drug Rebate Program. Tricare rebates to the TRICARE third party administrator based on the statutory calculation defined in the Agreement with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The Company estimates these rebates and records such estimates in the same period the related product sales is recognized, resulting in a reduction to product sales as well as a component of accrued expense and other current liabilities.</w:t>
      </w:r>
    </w:p>
    <w:p>
      <w:pPr>
        <w:spacing w:after="0" w:line="18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Coverage Gap - </w:t>
      </w:r>
      <w:r>
        <w:rPr>
          <w:rFonts w:ascii="Times New Roman" w:cs="Times New Roman" w:eastAsia="Times New Roman" w:hAnsi="Times New Roman"/>
          <w:sz w:val="16"/>
          <w:szCs w:val="16"/>
          <w:color w:val="auto"/>
        </w:rPr>
        <w:t>The Medicare Part D coverage gap is a period of consumer payment for prescription medication costs which lies between the initial coverage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 and the catastrophic-coverage threshold, when the patient is a member of a Medicare Part D prescription-drug program administered by the Centers for Medicare &amp; Medicaid Services. The Company estimates the percentage of goods sold under Coverage Gap and adjusts the transaction price for such discount at the time of sale resulting in a reduction to product sales as well as a component of accrued expense and other current liabilities.</w:t>
      </w:r>
    </w:p>
    <w:p>
      <w:pPr>
        <w:spacing w:after="0" w:line="167" w:lineRule="exact"/>
        <w:rPr>
          <w:sz w:val="20"/>
          <w:szCs w:val="20"/>
          <w:color w:val="auto"/>
        </w:rPr>
      </w:pPr>
    </w:p>
    <w:p>
      <w:pPr>
        <w:ind w:right="20" w:firstLine="74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Other Incentives - </w:t>
      </w:r>
      <w:r>
        <w:rPr>
          <w:rFonts w:ascii="Times New Roman" w:cs="Times New Roman" w:eastAsia="Times New Roman" w:hAnsi="Times New Roman"/>
          <w:sz w:val="16"/>
          <w:szCs w:val="16"/>
          <w:color w:val="auto"/>
        </w:rPr>
        <w:t>Other incentives which the Company offers include voluntary patient assistance programs, such as the co-pay assistance program, which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adjustments are recorded in the same period the related revenue is recognized, resulting in a reduction of product sales as well as a component of accrued expense and other current liabilities.</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jc w:val="both"/>
        <w:ind w:right="160" w:firstLine="749"/>
        <w:spacing w:after="0" w:line="252" w:lineRule="auto"/>
        <w:rPr>
          <w:sz w:val="20"/>
          <w:szCs w:val="20"/>
          <w:color w:val="auto"/>
        </w:rPr>
      </w:pPr>
      <w:r>
        <w:rPr>
          <w:rFonts w:ascii="Times New Roman" w:cs="Times New Roman" w:eastAsia="Times New Roman" w:hAnsi="Times New Roman"/>
          <w:sz w:val="16"/>
          <w:szCs w:val="16"/>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p>
      <w:pPr>
        <w:spacing w:after="0" w:line="223" w:lineRule="exact"/>
        <w:rPr>
          <w:sz w:val="20"/>
          <w:szCs w:val="20"/>
          <w:color w:val="auto"/>
        </w:rPr>
      </w:pPr>
    </w:p>
    <w:p>
      <w:pPr>
        <w:ind w:right="280" w:firstLine="749"/>
        <w:spacing w:after="0" w:line="254" w:lineRule="auto"/>
        <w:rPr>
          <w:sz w:val="20"/>
          <w:szCs w:val="20"/>
          <w:color w:val="auto"/>
        </w:rPr>
      </w:pPr>
      <w:r>
        <w:rPr>
          <w:rFonts w:ascii="Times New Roman" w:cs="Times New Roman" w:eastAsia="Times New Roman" w:hAnsi="Times New Roman"/>
          <w:sz w:val="16"/>
          <w:szCs w:val="16"/>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and Geographic Information</w:t>
      </w:r>
    </w:p>
    <w:p>
      <w:pPr>
        <w:spacing w:after="0" w:line="223" w:lineRule="exact"/>
        <w:rPr>
          <w:sz w:val="20"/>
          <w:szCs w:val="20"/>
          <w:color w:val="auto"/>
        </w:rPr>
      </w:pPr>
    </w:p>
    <w:p>
      <w:pPr>
        <w:ind w:right="40" w:firstLine="749"/>
        <w:spacing w:after="0" w:line="263" w:lineRule="auto"/>
        <w:rPr>
          <w:sz w:val="20"/>
          <w:szCs w:val="20"/>
          <w:color w:val="auto"/>
        </w:rPr>
      </w:pPr>
      <w:r>
        <w:rPr>
          <w:rFonts w:ascii="Times New Roman" w:cs="Times New Roman" w:eastAsia="Times New Roman" w:hAnsi="Times New Roman"/>
          <w:sz w:val="16"/>
          <w:szCs w:val="16"/>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which is the business of developing and delivering novel therapies for the management of CNS disorders.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Equivalents</w:t>
      </w:r>
    </w:p>
    <w:p>
      <w:pPr>
        <w:spacing w:after="0" w:line="223"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6"/>
          <w:szCs w:val="16"/>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September 30, 2022, the balance of cash and cash equivalents was $227.5 million, which approximates fair value and was determined based upon Level 1 inputs. The sweep account is valued using quoted market prices with no valuation adjustments applied. Accordingly, these securities are categorized as Level 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 of Credit Risk</w:t>
      </w:r>
    </w:p>
    <w:p>
      <w:pPr>
        <w:spacing w:after="0" w:line="223"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a concentration of credit risk consist of cash. The Company maintains its cash at financial institutions, which at times, exceed federally insured limits. At September 30, 2022,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 At the time of contract inception or customer account set-up, the Company performs a collectability assessment on the creditworthiness of such customer. In 2022, all of the Company’s accounts receivable arose from product sales in the U.S. and all customers have standard payment terms. The Company’s accounts receivable balance as of September 30, 2022 is compromised solely from transactions with the Company’s 3PL.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Combination</w:t>
      </w:r>
    </w:p>
    <w:p>
      <w:pPr>
        <w:spacing w:after="0" w:line="223" w:lineRule="exact"/>
        <w:rPr>
          <w:sz w:val="20"/>
          <w:szCs w:val="20"/>
          <w:color w:val="auto"/>
        </w:rPr>
      </w:pPr>
    </w:p>
    <w:p>
      <w:pPr>
        <w:ind w:right="200" w:firstLine="749"/>
        <w:spacing w:after="0" w:line="249" w:lineRule="auto"/>
        <w:rPr>
          <w:sz w:val="20"/>
          <w:szCs w:val="20"/>
          <w:color w:val="auto"/>
        </w:rPr>
      </w:pPr>
      <w:r>
        <w:rPr>
          <w:rFonts w:ascii="Times New Roman" w:cs="Times New Roman" w:eastAsia="Times New Roman" w:hAnsi="Times New Roman"/>
          <w:sz w:val="16"/>
          <w:szCs w:val="16"/>
          <w:color w:val="auto"/>
        </w:rPr>
        <w:t>The Company accounted for the Sunosi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certain intangible assets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As a result of the acquisition of Sunosi from Jazz, the Company recorded goodwill and an intangible asset.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w:t>
      </w:r>
    </w:p>
    <w:p>
      <w:pPr>
        <w:spacing w:after="0" w:line="200" w:lineRule="exact"/>
        <w:rPr>
          <w:sz w:val="20"/>
          <w:szCs w:val="20"/>
          <w:color w:val="auto"/>
        </w:rPr>
      </w:pPr>
    </w:p>
    <w:p>
      <w:pPr>
        <w:spacing w:after="0" w:line="212" w:lineRule="exact"/>
        <w:rPr>
          <w:sz w:val="20"/>
          <w:szCs w:val="20"/>
          <w:color w:val="auto"/>
        </w:rPr>
      </w:pPr>
    </w:p>
    <w:p>
      <w:pPr>
        <w:ind w:right="140" w:firstLine="749"/>
        <w:spacing w:after="0" w:line="252" w:lineRule="auto"/>
        <w:rPr>
          <w:sz w:val="20"/>
          <w:szCs w:val="20"/>
          <w:color w:val="auto"/>
        </w:rPr>
      </w:pPr>
      <w:r>
        <w:rPr>
          <w:rFonts w:ascii="Times New Roman" w:cs="Times New Roman" w:eastAsia="Times New Roman" w:hAnsi="Times New Roman"/>
          <w:sz w:val="16"/>
          <w:szCs w:val="16"/>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The Company performs a one-step test in its evaluation of the carrying value of goodwill if qualitative factors determine it is necessary to complete a goodwill impairment test. In the evaluation, the fair value of the relevant reporting unit is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6"/>
          <w:szCs w:val="16"/>
          <w:color w:val="auto"/>
        </w:rPr>
        <w:t>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As of September 30, 2022, the Company has determined that it has one reporting unit. The Company has not identified any events or changes in circumstances that indicate the existence of potential impairment of goodwill during the nine months ended September 30,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Intangible Assets</w:t>
      </w:r>
    </w:p>
    <w:p>
      <w:pPr>
        <w:spacing w:after="0" w:line="223"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6"/>
          <w:szCs w:val="16"/>
          <w:color w:val="auto"/>
        </w:rPr>
        <w:t>Intangible assets are amortized using the straight-line method over their estimated period of benefit of ten years. The Company evaluates the recoverability of intangible assets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intangible assets during the nine months ended September 30,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Contingent Consideration</w:t>
      </w:r>
    </w:p>
    <w:p>
      <w:pPr>
        <w:spacing w:after="0" w:line="223"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16"/>
          <w:szCs w:val="16"/>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 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using the estimated future cash outflows based on future sales.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223" w:lineRule="exact"/>
        <w:rPr>
          <w:sz w:val="20"/>
          <w:szCs w:val="20"/>
          <w:color w:val="auto"/>
        </w:rPr>
      </w:pPr>
    </w:p>
    <w:p>
      <w:pPr>
        <w:ind w:right="140" w:firstLine="749"/>
        <w:spacing w:after="0" w:line="194" w:lineRule="exact"/>
        <w:rPr>
          <w:sz w:val="20"/>
          <w:szCs w:val="20"/>
          <w:color w:val="auto"/>
        </w:rPr>
      </w:pPr>
      <w:r>
        <w:rPr>
          <w:rFonts w:ascii="Times New Roman" w:cs="Times New Roman" w:eastAsia="Times New Roman" w:hAnsi="Times New Roman"/>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Level 1—Quoted prices in active markets for identical assets or liabilities that the Company has the ability to access at the measurement date.</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Level 2—Inputs other than quoted prices in active markets that are observable for the asset or liability, either directly or indirectly.</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Level 3—Unobservable inputs for which there is little or no market data, which require the reporting entity to develop its own assumptions.</w:t>
      </w:r>
    </w:p>
    <w:p>
      <w:pPr>
        <w:spacing w:after="0" w:line="2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85"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16"/>
          <w:szCs w:val="16"/>
          <w:color w:val="auto"/>
        </w:rPr>
        <w:t>The Company’s financial instruments are cash, accounts receivable, accounts payable, accrued liabilities, current and long-term debt, current and non-current contingent consideration. The carrying values for cash, accounts payable and accrued liabilities reported in the accompanying consolidated financial statements approximate their respective fair values due to their short-term maturities. The carrying value of debt on the Company’s balance sheet (see Note 6 – Loan and Security Agreement), is estimated to approximate its fair value as the interest rate approximates the market rate for loans with similar terms and risk characteristics. The key assumptions used to determine the fair value of acquisition-related assets and liabilities are estimated by management, not observable in the market and, therefore considered Level 3 inputs within the fair value hierarchy.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Receivable, net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20" w:firstLine="749"/>
        <w:spacing w:after="0" w:line="280" w:lineRule="auto"/>
        <w:rPr>
          <w:sz w:val="20"/>
          <w:szCs w:val="20"/>
          <w:color w:val="auto"/>
        </w:rPr>
      </w:pPr>
      <w:r>
        <w:rPr>
          <w:rFonts w:ascii="Times New Roman" w:cs="Times New Roman" w:eastAsia="Times New Roman" w:hAnsi="Times New Roman"/>
          <w:sz w:val="16"/>
          <w:szCs w:val="16"/>
          <w:color w:val="auto"/>
        </w:rPr>
        <w:t>The Company’s accounts receivable, net, arise from product sales. They are generally stated at the invoiced amount and do not bear interest. Accounts receivable allowances result from chargebacks, prompt pay discounts, and distribution fees.</w:t>
      </w:r>
    </w:p>
    <w:p>
      <w:pPr>
        <w:spacing w:after="0" w:line="151" w:lineRule="exact"/>
        <w:rPr>
          <w:sz w:val="20"/>
          <w:szCs w:val="20"/>
          <w:color w:val="auto"/>
        </w:rPr>
      </w:pPr>
    </w:p>
    <w:p>
      <w:pPr>
        <w:ind w:right="120" w:firstLine="749"/>
        <w:spacing w:after="0" w:line="249" w:lineRule="auto"/>
        <w:rPr>
          <w:sz w:val="20"/>
          <w:szCs w:val="20"/>
          <w:color w:val="auto"/>
        </w:rPr>
      </w:pPr>
      <w:r>
        <w:rPr>
          <w:rFonts w:ascii="Times New Roman" w:cs="Times New Roman" w:eastAsia="Times New Roman" w:hAnsi="Times New Roman"/>
          <w:sz w:val="16"/>
          <w:szCs w:val="16"/>
          <w:color w:val="auto"/>
        </w:rPr>
        <w:t>The Company monitors the financial performance and creditworthiness of its customers so that it can properly assess and respond to changes in the customers’ credit profiles. In 2022, 100% of the Company's accounts receivables, net, was generated from the Company's 3PL. The Company estimated the current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Based on its assessment, as of September 30, 2022, the Company has not recorded any allowances on receivables.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Debt Issuance Costs</w:t>
      </w:r>
    </w:p>
    <w:p>
      <w:pPr>
        <w:spacing w:after="0" w:line="223" w:lineRule="exact"/>
        <w:rPr>
          <w:sz w:val="20"/>
          <w:szCs w:val="20"/>
          <w:color w:val="auto"/>
        </w:rPr>
      </w:pPr>
    </w:p>
    <w:p>
      <w:pPr>
        <w:ind w:firstLine="749"/>
        <w:spacing w:after="0" w:line="263" w:lineRule="auto"/>
        <w:rPr>
          <w:sz w:val="20"/>
          <w:szCs w:val="20"/>
          <w:color w:val="auto"/>
        </w:rPr>
      </w:pPr>
      <w:r>
        <w:rPr>
          <w:rFonts w:ascii="Times New Roman" w:cs="Times New Roman" w:eastAsia="Times New Roman" w:hAnsi="Times New Roman"/>
          <w:sz w:val="16"/>
          <w:szCs w:val="16"/>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Inventory</w:t>
      </w:r>
    </w:p>
    <w:p>
      <w:pPr>
        <w:spacing w:after="0" w:line="200" w:lineRule="exact"/>
        <w:rPr>
          <w:sz w:val="20"/>
          <w:szCs w:val="20"/>
          <w:color w:val="auto"/>
        </w:rPr>
      </w:pPr>
    </w:p>
    <w:p>
      <w:pPr>
        <w:spacing w:after="0" w:line="212"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6"/>
          <w:szCs w:val="16"/>
          <w:color w:val="auto"/>
        </w:rPr>
        <w:t>The Company values its inventories at the lower of cost or estimated net realizable value. The remaining inventory associated with the Sunosi acquisition is stated at fair value due to purchase accounting. The Company determines the cost of its inventories, which includes amounts related to materials, labor, manufacturing overhead, and shipping and handling costs on a first-in, first-out (“FIFO”) basis.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cost of product sales.</w:t>
      </w:r>
    </w:p>
    <w:p>
      <w:pPr>
        <w:spacing w:after="0" w:line="189" w:lineRule="exact"/>
        <w:rPr>
          <w:sz w:val="20"/>
          <w:szCs w:val="20"/>
          <w:color w:val="auto"/>
        </w:rPr>
      </w:pPr>
    </w:p>
    <w:p>
      <w:pPr>
        <w:ind w:right="120" w:firstLine="749"/>
        <w:spacing w:after="0" w:line="252" w:lineRule="auto"/>
        <w:rPr>
          <w:sz w:val="20"/>
          <w:szCs w:val="20"/>
          <w:color w:val="auto"/>
        </w:rPr>
      </w:pPr>
      <w:r>
        <w:rPr>
          <w:rFonts w:ascii="Times New Roman" w:cs="Times New Roman" w:eastAsia="Times New Roman" w:hAnsi="Times New Roman"/>
          <w:sz w:val="16"/>
          <w:szCs w:val="16"/>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186" w:lineRule="exact"/>
        <w:rPr>
          <w:sz w:val="20"/>
          <w:szCs w:val="20"/>
          <w:color w:val="auto"/>
        </w:rPr>
      </w:pPr>
    </w:p>
    <w:p>
      <w:pPr>
        <w:ind w:right="80" w:firstLine="749"/>
        <w:spacing w:after="0" w:line="280" w:lineRule="auto"/>
        <w:rPr>
          <w:sz w:val="20"/>
          <w:szCs w:val="20"/>
          <w:color w:val="auto"/>
        </w:rPr>
      </w:pPr>
      <w:r>
        <w:rPr>
          <w:rFonts w:ascii="Times New Roman" w:cs="Times New Roman" w:eastAsia="Times New Roman" w:hAnsi="Times New Roman"/>
          <w:sz w:val="16"/>
          <w:szCs w:val="16"/>
          <w:color w:val="auto"/>
        </w:rPr>
        <w:t>Inventory levels are evaluated for amounts that would be sold within one year. If the level of inventory exceeds the estimated amount that would be sold beyond the next 12 months, the Company classifies the estimate of such inventory as non-current.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Equipment, net</w:t>
      </w:r>
    </w:p>
    <w:p>
      <w:pPr>
        <w:spacing w:after="0" w:line="197" w:lineRule="exact"/>
        <w:rPr>
          <w:sz w:val="20"/>
          <w:szCs w:val="20"/>
          <w:color w:val="auto"/>
        </w:rPr>
      </w:pPr>
    </w:p>
    <w:p>
      <w:pPr>
        <w:jc w:val="both"/>
        <w:ind w:right="360" w:firstLine="749"/>
        <w:spacing w:after="0" w:line="201" w:lineRule="exact"/>
        <w:rPr>
          <w:sz w:val="20"/>
          <w:szCs w:val="20"/>
          <w:color w:val="auto"/>
        </w:rPr>
      </w:pPr>
      <w:r>
        <w:rPr>
          <w:rFonts w:ascii="Times New Roman" w:cs="Times New Roman" w:eastAsia="Times New Roman" w:hAnsi="Times New Roman"/>
          <w:sz w:val="16"/>
          <w:szCs w:val="16"/>
          <w:color w:val="auto"/>
        </w:rPr>
        <w:t>Equipment consists primarily of computer equipment and is recorded at cost. Equipment is depreciated on a straight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Product Sales</w:t>
      </w:r>
    </w:p>
    <w:p>
      <w:pPr>
        <w:spacing w:after="0" w:line="22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6"/>
          <w:szCs w:val="16"/>
          <w:color w:val="auto"/>
        </w:rPr>
        <w:t>The Company's cost of product sales relates to sales of Sunosi. Cost of product sales primarily includes product royalty fees, overhead, and direct costs (inclusive of material, shipping, handling, and manufacturing costs). Cost of product sales excludes depreciation and amortization. Cost of product sales were approximately $1.9 million and $2.9 million for the three and nine months ended September 30, 2022, respectively. There were no sales in 2021.</w:t>
      </w:r>
    </w:p>
    <w:p>
      <w:pPr>
        <w:spacing w:after="0" w:line="185"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6"/>
          <w:szCs w:val="16"/>
          <w:color w:val="auto"/>
        </w:rPr>
        <w:t>The Company assumed royalty and sales-based milestone commitments of Jazz to SK Biopharmaceuticals (“SK)” and Aerial Biopharma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$165 million based on revenue milestones and $1 million based on development milestones.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223" w:lineRule="exact"/>
        <w:rPr>
          <w:sz w:val="20"/>
          <w:szCs w:val="20"/>
          <w:color w:val="auto"/>
        </w:rPr>
      </w:pPr>
    </w:p>
    <w:p>
      <w:pPr>
        <w:ind w:right="40" w:firstLine="749"/>
        <w:spacing w:after="0" w:line="190" w:lineRule="exact"/>
        <w:rPr>
          <w:sz w:val="20"/>
          <w:szCs w:val="20"/>
          <w:color w:val="auto"/>
        </w:rPr>
      </w:pPr>
      <w:r>
        <w:rPr>
          <w:rFonts w:ascii="Times New Roman" w:cs="Times New Roman" w:eastAsia="Times New Roman" w:hAnsi="Times New Roman"/>
          <w:sz w:val="16"/>
          <w:szCs w:val="16"/>
          <w:color w:val="auto"/>
        </w:rPr>
        <w:t>Research and development costs are expensed as incurred. Research and development expenses consist primarily of employee-related expenses including salaries, benefits, travel, and 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expense, contract services,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 Payments made to third parties under these arrangements in advance of the performance of the related services by the third parties are recorded as prepaid expenses until the services are rendered.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223"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16"/>
          <w:szCs w:val="16"/>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91" w:lineRule="exact"/>
        <w:rPr>
          <w:sz w:val="20"/>
          <w:szCs w:val="20"/>
          <w:color w:val="auto"/>
        </w:rPr>
      </w:pPr>
    </w:p>
    <w:p>
      <w:pPr>
        <w:ind w:right="480" w:firstLine="749"/>
        <w:spacing w:after="0" w:line="280" w:lineRule="auto"/>
        <w:rPr>
          <w:sz w:val="20"/>
          <w:szCs w:val="20"/>
          <w:color w:val="auto"/>
        </w:rPr>
      </w:pPr>
      <w:r>
        <w:rPr>
          <w:rFonts w:ascii="Times New Roman" w:cs="Times New Roman" w:eastAsia="Times New Roman" w:hAnsi="Times New Roman"/>
          <w:sz w:val="16"/>
          <w:szCs w:val="16"/>
          <w:color w:val="auto"/>
        </w:rPr>
        <w:t>The Company estimates an annual effective tax rate of 0% for the year ending December 31, 2022 and has not recorded an income tax benefit for the nine months ended September 30, 2022 and 2021 since it determined that a full valuation allowance is required against the Company’s deferred tax assets.</w:t>
      </w:r>
    </w:p>
    <w:p>
      <w:pPr>
        <w:spacing w:after="0" w:line="165"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6"/>
          <w:szCs w:val="16"/>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September 30, 2022,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97" w:lineRule="exact"/>
        <w:rPr>
          <w:sz w:val="20"/>
          <w:szCs w:val="20"/>
          <w:color w:val="auto"/>
        </w:rPr>
      </w:pPr>
    </w:p>
    <w:p>
      <w:pPr>
        <w:ind w:firstLine="749"/>
        <w:spacing w:after="0" w:line="213" w:lineRule="exact"/>
        <w:rPr>
          <w:sz w:val="20"/>
          <w:szCs w:val="20"/>
          <w:color w:val="auto"/>
        </w:rPr>
      </w:pPr>
      <w:r>
        <w:rPr>
          <w:rFonts w:ascii="Times New Roman" w:cs="Times New Roman" w:eastAsia="Times New Roman" w:hAnsi="Times New Roman"/>
          <w:sz w:val="16"/>
          <w:szCs w:val="16"/>
          <w:color w:val="auto"/>
        </w:rPr>
        <w:t>For stock options issued, the Company estimates the grant date fair value of each option using the Black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Scholes option pricing model. The Black-Scholes model takes into account the expected volatility of the Company’s common stock, the risk-free</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 forfeitures as they occur.</w:t>
      </w:r>
    </w:p>
    <w:p>
      <w:pPr>
        <w:spacing w:after="0" w:line="185" w:lineRule="exact"/>
        <w:rPr>
          <w:sz w:val="20"/>
          <w:szCs w:val="20"/>
          <w:color w:val="auto"/>
        </w:rPr>
      </w:pPr>
    </w:p>
    <w:p>
      <w:pPr>
        <w:ind w:right="320" w:firstLine="749"/>
        <w:spacing w:after="0" w:line="280" w:lineRule="auto"/>
        <w:rPr>
          <w:sz w:val="20"/>
          <w:szCs w:val="20"/>
          <w:color w:val="auto"/>
        </w:rPr>
      </w:pPr>
      <w:r>
        <w:rPr>
          <w:rFonts w:ascii="Times New Roman" w:cs="Times New Roman" w:eastAsia="Times New Roman" w:hAnsi="Times New Roman"/>
          <w:sz w:val="16"/>
          <w:szCs w:val="16"/>
          <w:color w:val="auto"/>
        </w:rPr>
        <w:t>For restricted stock units (“RSUs”), the Company issues them in the form of Company common stock. The fair market value of these awards is based on the market closing price per share on the grant date.</w:t>
      </w:r>
    </w:p>
    <w:p>
      <w:pPr>
        <w:spacing w:after="0" w:line="165" w:lineRule="exact"/>
        <w:rPr>
          <w:sz w:val="20"/>
          <w:szCs w:val="20"/>
          <w:color w:val="auto"/>
        </w:rPr>
      </w:pPr>
    </w:p>
    <w:p>
      <w:pPr>
        <w:ind w:right="100" w:firstLine="749"/>
        <w:spacing w:after="0" w:line="252" w:lineRule="auto"/>
        <w:rPr>
          <w:sz w:val="20"/>
          <w:szCs w:val="20"/>
          <w:color w:val="auto"/>
        </w:rPr>
      </w:pPr>
      <w:r>
        <w:rPr>
          <w:rFonts w:ascii="Times New Roman" w:cs="Times New Roman" w:eastAsia="Times New Roman" w:hAnsi="Times New Roman"/>
          <w:sz w:val="16"/>
          <w:szCs w:val="16"/>
          <w:color w:val="auto"/>
        </w:rPr>
        <w:t>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86" w:lineRule="exact"/>
        <w:rPr>
          <w:sz w:val="20"/>
          <w:szCs w:val="20"/>
          <w:color w:val="auto"/>
        </w:rPr>
      </w:pPr>
    </w:p>
    <w:p>
      <w:pPr>
        <w:ind w:right="120" w:firstLine="749"/>
        <w:spacing w:after="0" w:line="280" w:lineRule="auto"/>
        <w:rPr>
          <w:sz w:val="20"/>
          <w:szCs w:val="20"/>
          <w:color w:val="auto"/>
        </w:rPr>
      </w:pPr>
      <w:r>
        <w:rPr>
          <w:rFonts w:ascii="Times New Roman" w:cs="Times New Roman" w:eastAsia="Times New Roman" w:hAnsi="Times New Roman"/>
          <w:sz w:val="16"/>
          <w:szCs w:val="16"/>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Basic and Diluted Net Loss per Common Share</w:t>
      </w:r>
    </w:p>
    <w:p>
      <w:pPr>
        <w:spacing w:after="0" w:line="210"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6"/>
          <w:szCs w:val="16"/>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and RSUs, which would result in the issuance of incremental shares of common stock. As the impact of these items is anti-dilutive during periods of net loss, there was no difference between basic and diluted net loss per share of common stock for the three and nine months ended September 30, 2022 and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6"/>
          <w:szCs w:val="16"/>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81"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6"/>
          <w:szCs w:val="16"/>
          <w:color w:val="auto"/>
        </w:rPr>
        <w:t>The Company’s lease agreement contains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 are primarily fixed, however variable payments, are expensed as incurred and not included in the operating lease asset and liability.</w:t>
      </w:r>
    </w:p>
    <w:p>
      <w:pPr>
        <w:spacing w:after="0" w:line="186" w:lineRule="exact"/>
        <w:rPr>
          <w:sz w:val="20"/>
          <w:szCs w:val="20"/>
          <w:color w:val="auto"/>
        </w:rPr>
      </w:pPr>
    </w:p>
    <w:p>
      <w:pPr>
        <w:ind w:right="160" w:firstLine="749"/>
        <w:spacing w:after="0" w:line="252" w:lineRule="auto"/>
        <w:rPr>
          <w:sz w:val="20"/>
          <w:szCs w:val="20"/>
          <w:color w:val="auto"/>
        </w:rPr>
      </w:pPr>
      <w:r>
        <w:rPr>
          <w:rFonts w:ascii="Times New Roman" w:cs="Times New Roman" w:eastAsia="Times New Roman" w:hAnsi="Times New Roman"/>
          <w:sz w:val="16"/>
          <w:szCs w:val="16"/>
          <w:color w:val="auto"/>
        </w:rPr>
        <w:t>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interest rate when readily determinable and uses the Company’s incremental borrowing rate when the implicit rate is not readily determinable based upon the information available at the commencement date in determining the present value of the lease payments.</w:t>
      </w:r>
    </w:p>
    <w:p>
      <w:pPr>
        <w:spacing w:after="0" w:line="186"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6"/>
          <w:szCs w:val="16"/>
          <w:color w:val="auto"/>
        </w:rPr>
        <w:t>The Company’s operating leases are reflected in the right-of-use operating asset; operating lease liability, current portion; and operating lease liability, long-term portion in the Company’s consolidated balance sheets. Lease expense for minimum lease payments is recognized on a straight-line basis over the lease term.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223"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16"/>
          <w:szCs w:val="16"/>
          <w:color w:val="auto"/>
        </w:rPr>
        <w:t>In October 2021, the Financial Accounting Standards Board (“FASB”) issued Accounting Standards Update (“ASU”) No. 2021-08, Business Combinations (Topic 805) . This update requires that an entity (acquirer) recognize and measure contract assets and contract liabilities acquired in a business combination in accordance with Accounting Standards Codification (“ASC”) 606. This differs from the current requirement to measure contract assets and contract liabilities acquired in a business combination at fair value. The amendments in this update should be applied prospectively, and are effective for fiscal years beginning after December 15, 2022, including interim periods within those fiscal years. Early adoption is permitted, including adoption in an interim period. The Company is currently evaluating the impact of this ASU on its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r>
        <w:rPr>
          <w:rFonts w:ascii="Times New Roman" w:cs="Times New Roman" w:eastAsia="Times New Roman" w:hAnsi="Times New Roman"/>
          <w:sz w:val="16"/>
          <w:szCs w:val="16"/>
          <w:b w:val="1"/>
          <w:bCs w:val="1"/>
          <w:color w:val="auto"/>
        </w:rPr>
        <w:t>. Business Combination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of Assets of Jazz Pharmaceuticals</w:t>
      </w:r>
    </w:p>
    <w:p>
      <w:pPr>
        <w:spacing w:after="0" w:line="183" w:lineRule="exact"/>
        <w:rPr>
          <w:sz w:val="20"/>
          <w:szCs w:val="20"/>
          <w:color w:val="auto"/>
        </w:rPr>
      </w:pPr>
    </w:p>
    <w:p>
      <w:pPr>
        <w:ind w:right="240" w:firstLine="749"/>
        <w:spacing w:after="0" w:line="249" w:lineRule="auto"/>
        <w:rPr>
          <w:sz w:val="20"/>
          <w:szCs w:val="20"/>
          <w:color w:val="auto"/>
        </w:rPr>
      </w:pPr>
      <w:r>
        <w:rPr>
          <w:rFonts w:ascii="Times New Roman" w:cs="Times New Roman" w:eastAsia="Times New Roman" w:hAnsi="Times New Roman"/>
          <w:sz w:val="16"/>
          <w:szCs w:val="16"/>
          <w:color w:val="auto"/>
        </w:rPr>
        <w:t>On March 25, 2022, the Company entered into an Asset Purchase Agreement (the “Purchase Agreement”) with Jazz, pursuant to which the Company was to acquire commercial and development rights with respect Sunosi from Jazz (the “Acquisition”) in certain U.S. and ex-U.S. markets. The Acquisition is to occur in two separate closings. The sale and purchase of Specified Initial Assets as defined and contemplated by the Purchase Agreement occurred on May 9, 2022 (“Initial Closing”), following the satisfaction or waiver of the closing conditions under the Purchase Agreement. The sale and purchase of Specified Ex-U.S. Assets contemplated by the Purchase Agreement is expected to occur during the fourth quarter of 2022 (“Final Closing” or “Ex-U.S. Closing”). The Company accounted for the Initial Closing as a business combination using the acquisition method of accounting.</w:t>
      </w:r>
    </w:p>
    <w:p>
      <w:pPr>
        <w:spacing w:after="0" w:line="151"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16"/>
          <w:szCs w:val="16"/>
          <w:color w:val="auto"/>
        </w:rPr>
        <w:t>Under the terms of the Purchase Agreement, the Company received from Jazz worldwide commercial, development, manufacturing, and intellectual property rights to Sunosi, except for certain Asian markets. Jazz received from the Company a total upfront payment of $53 million. In addition, Jazz will receive a high single-digit royalty on the Company's U.S. net sales of Sunosi in the current indication, and a mid single-digit royalty on the Company's U.S. net sales of Sunosi in future indications. The Company also assumed the commitments of Jazz to SK Biopharmaceuticals (“SK)” and Aerial Biopharma (“Aerial”). SK is the originator of Sunosi and retains rights in 12 Asian markets, including China, Korea, and Japan. In 2014, Jazz acquired from Aerial worldwide rights to Sunosi excluding those Asian markets as stated previously. The assumed commitments to SK and Aerial include single-digit tiered royalties based on the Company's sales of Sunosi, and additionally, the Company is committed to pay up to $165 million based on revenue milestones and $1 million based on development milestones. The Company financed the transaction via its existing $300 million term loan facility with Hercules Capital, Inc.</w:t>
      </w:r>
    </w:p>
    <w:p>
      <w:pPr>
        <w:spacing w:after="0" w:line="153" w:lineRule="exact"/>
        <w:rPr>
          <w:sz w:val="20"/>
          <w:szCs w:val="20"/>
          <w:color w:val="auto"/>
        </w:rPr>
      </w:pPr>
    </w:p>
    <w:p>
      <w:pPr>
        <w:ind w:right="560" w:firstLine="749"/>
        <w:spacing w:after="0" w:line="280" w:lineRule="auto"/>
        <w:rPr>
          <w:sz w:val="20"/>
          <w:szCs w:val="20"/>
          <w:color w:val="auto"/>
        </w:rPr>
      </w:pPr>
      <w:r>
        <w:rPr>
          <w:rFonts w:ascii="Times New Roman" w:cs="Times New Roman" w:eastAsia="Times New Roman" w:hAnsi="Times New Roman"/>
          <w:sz w:val="16"/>
          <w:szCs w:val="16"/>
          <w:color w:val="auto"/>
        </w:rPr>
        <w:t>In conjunction with the Acquisition, the Company incurred approximately $0.5 million in transaction costs, which were expensed as selling, general, and administrative expense in the consolidated statement of operations during the nine months ended September 30, 2022.</w:t>
      </w:r>
    </w:p>
    <w:p>
      <w:pPr>
        <w:spacing w:after="0" w:line="124" w:lineRule="exact"/>
        <w:rPr>
          <w:sz w:val="20"/>
          <w:szCs w:val="20"/>
          <w:color w:val="auto"/>
        </w:rPr>
      </w:pPr>
    </w:p>
    <w:p>
      <w:pPr>
        <w:ind w:right="280" w:firstLine="749"/>
        <w:spacing w:after="0" w:line="280" w:lineRule="auto"/>
        <w:rPr>
          <w:sz w:val="20"/>
          <w:szCs w:val="20"/>
          <w:color w:val="auto"/>
        </w:rPr>
      </w:pPr>
      <w:r>
        <w:rPr>
          <w:rFonts w:ascii="Times New Roman" w:cs="Times New Roman" w:eastAsia="Times New Roman" w:hAnsi="Times New Roman"/>
          <w:sz w:val="16"/>
          <w:szCs w:val="16"/>
          <w:color w:val="auto"/>
        </w:rPr>
        <w:t>The Company's consolidated statement of operations for the three and nine months ended September 30, 2022, include $16.8 million and $25.7 million of net product sales, respectively, and $0.8 million and $5.4 million of net loss, respectively, associated with the result of operations of Sunosi.</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Preliminary purchase consideration consisted of the following: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60" w:type="dxa"/>
            <w:vAlign w:val="bottom"/>
          </w:tcPr>
          <w:p>
            <w:pPr>
              <w:ind w:left="44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16"/>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at settlement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53,000,000</w:t>
            </w:r>
          </w:p>
        </w:tc>
        <w:tc>
          <w:tcPr>
            <w:tcW w:w="320" w:type="dxa"/>
            <w:vAlign w:val="bottom"/>
            <w:shd w:val="clear" w:color="auto" w:fill="CFF0FC"/>
          </w:tcPr>
          <w:p>
            <w:pPr>
              <w:spacing w:after="0"/>
              <w:rPr>
                <w:sz w:val="18"/>
                <w:szCs w:val="18"/>
                <w:color w:val="auto"/>
              </w:rPr>
            </w:pPr>
          </w:p>
        </w:tc>
      </w:tr>
      <w:tr>
        <w:trPr>
          <w:trHeight w:val="216"/>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36,140,000</w:t>
            </w:r>
          </w:p>
        </w:tc>
        <w:tc>
          <w:tcPr>
            <w:tcW w:w="320" w:type="dxa"/>
            <w:vAlign w:val="bottom"/>
          </w:tcPr>
          <w:p>
            <w:pPr>
              <w:spacing w:after="0"/>
              <w:rPr>
                <w:sz w:val="18"/>
                <w:szCs w:val="18"/>
                <w:color w:val="auto"/>
              </w:rPr>
            </w:pPr>
          </w:p>
        </w:tc>
      </w:tr>
      <w:tr>
        <w:trPr>
          <w:trHeight w:val="249"/>
        </w:trPr>
        <w:tc>
          <w:tcPr>
            <w:tcW w:w="9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89,140,000</w:t>
            </w:r>
          </w:p>
        </w:tc>
        <w:tc>
          <w:tcPr>
            <w:tcW w:w="320" w:type="dxa"/>
            <w:vAlign w:val="bottom"/>
            <w:tcBorders>
              <w:bottom w:val="single" w:sz="8" w:color="CFF0FC"/>
            </w:tcBorders>
            <w:shd w:val="clear" w:color="auto" w:fill="CFF0FC"/>
          </w:tcPr>
          <w:p>
            <w:pPr>
              <w:spacing w:after="0"/>
              <w:rPr>
                <w:sz w:val="21"/>
                <w:szCs w:val="21"/>
                <w:color w:val="auto"/>
              </w:rPr>
            </w:pPr>
          </w:p>
        </w:tc>
      </w:tr>
      <w:tr>
        <w:trPr>
          <w:trHeight w:val="339"/>
        </w:trPr>
        <w:tc>
          <w:tcPr>
            <w:tcW w:w="90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The preliminary allocation of the fair value of the Sunosi acquisition is shown in table below:</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98"/>
        </w:trPr>
        <w:tc>
          <w:tcPr>
            <w:tcW w:w="9060" w:type="dxa"/>
            <w:vAlign w:val="bottom"/>
          </w:tcPr>
          <w:p>
            <w:pPr>
              <w:ind w:left="44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24"/>
                <w:szCs w:val="24"/>
                <w:color w:val="auto"/>
              </w:rPr>
            </w:pPr>
          </w:p>
        </w:tc>
        <w:tc>
          <w:tcPr>
            <w:tcW w:w="19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16"/>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10,601,000</w:t>
            </w:r>
          </w:p>
        </w:tc>
        <w:tc>
          <w:tcPr>
            <w:tcW w:w="320" w:type="dxa"/>
            <w:vAlign w:val="bottom"/>
            <w:shd w:val="clear" w:color="auto" w:fill="CFF0FC"/>
          </w:tcPr>
          <w:p>
            <w:pPr>
              <w:spacing w:after="0"/>
              <w:rPr>
                <w:sz w:val="18"/>
                <w:szCs w:val="18"/>
                <w:color w:val="auto"/>
              </w:rPr>
            </w:pPr>
          </w:p>
        </w:tc>
      </w:tr>
      <w:tr>
        <w:trPr>
          <w:trHeight w:val="216"/>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3,551,000</w:t>
            </w:r>
          </w:p>
        </w:tc>
        <w:tc>
          <w:tcPr>
            <w:tcW w:w="320" w:type="dxa"/>
            <w:vAlign w:val="bottom"/>
          </w:tcPr>
          <w:p>
            <w:pPr>
              <w:spacing w:after="0"/>
              <w:rPr>
                <w:sz w:val="18"/>
                <w:szCs w:val="18"/>
                <w:color w:val="auto"/>
              </w:rPr>
            </w:pPr>
          </w:p>
        </w:tc>
      </w:tr>
      <w:tr>
        <w:trPr>
          <w:trHeight w:val="216"/>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63,800,000</w:t>
            </w:r>
          </w:p>
        </w:tc>
        <w:tc>
          <w:tcPr>
            <w:tcW w:w="320" w:type="dxa"/>
            <w:vAlign w:val="bottom"/>
            <w:shd w:val="clear" w:color="auto" w:fill="CFF0FC"/>
          </w:tcPr>
          <w:p>
            <w:pPr>
              <w:spacing w:after="0"/>
              <w:rPr>
                <w:sz w:val="18"/>
                <w:szCs w:val="18"/>
                <w:color w:val="auto"/>
              </w:rPr>
            </w:pPr>
          </w:p>
        </w:tc>
      </w:tr>
      <w:tr>
        <w:trPr>
          <w:trHeight w:val="216"/>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11,897,000</w:t>
            </w:r>
          </w:p>
        </w:tc>
        <w:tc>
          <w:tcPr>
            <w:tcW w:w="320" w:type="dxa"/>
            <w:vAlign w:val="bottom"/>
          </w:tcPr>
          <w:p>
            <w:pPr>
              <w:spacing w:after="0"/>
              <w:rPr>
                <w:sz w:val="18"/>
                <w:szCs w:val="18"/>
                <w:color w:val="auto"/>
              </w:rPr>
            </w:pPr>
          </w:p>
        </w:tc>
      </w:tr>
      <w:tr>
        <w:trPr>
          <w:trHeight w:val="216"/>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(709,000 )</w:t>
            </w:r>
          </w:p>
        </w:tc>
      </w:tr>
      <w:tr>
        <w:trPr>
          <w:trHeight w:val="210"/>
        </w:trPr>
        <w:tc>
          <w:tcPr>
            <w:tcW w:w="9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89,140,000</w:t>
            </w:r>
          </w:p>
        </w:tc>
        <w:tc>
          <w:tcPr>
            <w:tcW w:w="320" w:type="dxa"/>
            <w:vAlign w:val="bottom"/>
            <w:tcBorders>
              <w:top w:val="single" w:sz="8" w:color="CFF0FC"/>
            </w:tcBorders>
          </w:tcPr>
          <w:p>
            <w:pPr>
              <w:spacing w:after="0"/>
              <w:rPr>
                <w:sz w:val="18"/>
                <w:szCs w:val="18"/>
                <w:color w:val="auto"/>
              </w:rPr>
            </w:pPr>
          </w:p>
        </w:tc>
      </w:tr>
      <w:tr>
        <w:trPr>
          <w:trHeight w:val="20"/>
        </w:trPr>
        <w:tc>
          <w:tcPr>
            <w:tcW w:w="9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6939915</wp:posOffset>
            </wp:positionH>
            <wp:positionV relativeFrom="paragraph">
              <wp:posOffset>-1362710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-1344930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-170815</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28" w:lineRule="exact"/>
        <w:rPr>
          <w:sz w:val="20"/>
          <w:szCs w:val="20"/>
          <w:color w:val="auto"/>
        </w:rPr>
      </w:pPr>
    </w:p>
    <w:p>
      <w:pPr>
        <w:ind w:right="400" w:firstLine="749"/>
        <w:spacing w:after="0" w:line="263" w:lineRule="auto"/>
        <w:rPr>
          <w:sz w:val="20"/>
          <w:szCs w:val="20"/>
          <w:color w:val="auto"/>
        </w:rPr>
      </w:pPr>
      <w:r>
        <w:rPr>
          <w:rFonts w:ascii="Times New Roman" w:cs="Times New Roman" w:eastAsia="Times New Roman" w:hAnsi="Times New Roman"/>
          <w:sz w:val="16"/>
          <w:szCs w:val="16"/>
          <w:color w:val="auto"/>
        </w:rPr>
        <w:t>The above allocation of the purchase price is based upon certain preliminary valuations and other analyses that have not been finalized as of the date of this filing. As such, the purchase price amount and allocations for this transaction are preliminary estimates including developed technology, goodwill and contingent consideration, which may be subject to change within the measurement period.</w:t>
      </w:r>
    </w:p>
    <w:p>
      <w:pPr>
        <w:spacing w:after="0" w:line="138" w:lineRule="exact"/>
        <w:rPr>
          <w:sz w:val="20"/>
          <w:szCs w:val="20"/>
          <w:color w:val="auto"/>
        </w:rPr>
      </w:pPr>
    </w:p>
    <w:p>
      <w:pPr>
        <w:ind w:right="120" w:firstLine="749"/>
        <w:spacing w:after="0" w:line="280" w:lineRule="auto"/>
        <w:rPr>
          <w:sz w:val="20"/>
          <w:szCs w:val="20"/>
          <w:color w:val="auto"/>
        </w:rPr>
      </w:pPr>
      <w:r>
        <w:rPr>
          <w:rFonts w:ascii="Times New Roman" w:cs="Times New Roman" w:eastAsia="Times New Roman" w:hAnsi="Times New Roman"/>
          <w:sz w:val="16"/>
          <w:szCs w:val="16"/>
          <w:color w:val="auto"/>
        </w:rPr>
        <w:t>The net assets were recorded at their estimated fair value. In valuing acquired assets and liabilities, fair value estimates were based primarily on future expected cash flows, market rate assumptions for contractual obligations, and appropriate discount rates.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61"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6"/>
          <w:szCs w:val="16"/>
          <w:color w:val="auto"/>
        </w:rPr>
        <w:t>Inventories acquired included raw materials, work in process and finished goods for Sunosi. Inventories were recorded at their estimated fair values categorized as Level 3. The fair value of finished goods was determined based on the estimated selling price, net of selling costs and a margin on the selling activities. The fair value of work in process was determined based on estimated selling price, net of selling costs and costs to complete the manufacturing, and a margin on the selling and manufacturing activities. The fair value of raw materials was estimated to equal the replacement cost. A step-up in the value of inventory of $1.1 million was originally recorded in connection with the Acquisition and is being amortized through cost of product sales as the underlying product is sold.</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Other current assets acquired were sample inventory and the rebates for Sunosi sales by the Company after the Initial Closing to be covered by Jazz.</w:t>
      </w:r>
    </w:p>
    <w:p>
      <w:pPr>
        <w:spacing w:after="0" w:line="194"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6"/>
          <w:szCs w:val="16"/>
          <w:color w:val="auto"/>
        </w:rPr>
        <w:t>Intangible assets include acquired developed technology. The fair value of the acquired developed technology asset was determined by applying the income approach, which recognizes that the fair value of an asset is premised upon the expected receipt of future economic benefits such as earnings and cash inflows based on current sales projections and estimated direct costs, using a discount rate of 43.5% that reflects the return requirements of the market. The intangible asset is being amortized over an estimated useful life of 10 years.</w:t>
      </w:r>
    </w:p>
    <w:p>
      <w:pPr>
        <w:spacing w:after="0" w:line="145" w:lineRule="exact"/>
        <w:rPr>
          <w:sz w:val="20"/>
          <w:szCs w:val="20"/>
          <w:color w:val="auto"/>
        </w:rPr>
      </w:pPr>
    </w:p>
    <w:p>
      <w:pPr>
        <w:ind w:right="180" w:firstLine="749"/>
        <w:spacing w:after="0" w:line="263" w:lineRule="auto"/>
        <w:rPr>
          <w:sz w:val="20"/>
          <w:szCs w:val="20"/>
          <w:color w:val="auto"/>
        </w:rPr>
      </w:pPr>
      <w:r>
        <w:rPr>
          <w:rFonts w:ascii="Times New Roman" w:cs="Times New Roman" w:eastAsia="Times New Roman" w:hAnsi="Times New Roman"/>
          <w:sz w:val="16"/>
          <w:szCs w:val="16"/>
          <w:color w:val="auto"/>
        </w:rPr>
        <w:t>Goodwill is considered an indefinite-lived asset and relates primarily to intangible assets that do not qualify for separate recognition, such as the assembled workforce and synergies between the entities. Goodwill of $11.9 million was established as a result of the Acquisition. The Company expects that the entire amount of the purchase price allocated to goodwill will be deductible for U.S. income tax purposes over a 15-year period.</w:t>
      </w:r>
    </w:p>
    <w:p>
      <w:pPr>
        <w:spacing w:after="0" w:line="138" w:lineRule="exact"/>
        <w:rPr>
          <w:sz w:val="20"/>
          <w:szCs w:val="20"/>
          <w:color w:val="auto"/>
        </w:rPr>
      </w:pPr>
    </w:p>
    <w:p>
      <w:pPr>
        <w:ind w:right="260" w:firstLine="749"/>
        <w:spacing w:after="0" w:line="280" w:lineRule="auto"/>
        <w:rPr>
          <w:sz w:val="20"/>
          <w:szCs w:val="20"/>
          <w:color w:val="auto"/>
        </w:rPr>
      </w:pPr>
      <w:r>
        <w:rPr>
          <w:rFonts w:ascii="Times New Roman" w:cs="Times New Roman" w:eastAsia="Times New Roman" w:hAnsi="Times New Roman"/>
          <w:sz w:val="16"/>
          <w:szCs w:val="16"/>
          <w:color w:val="auto"/>
        </w:rPr>
        <w:t>Accrued expense and other current liabilities acquired were the Company's assumed sales returns liability for Sunosi after the transaction close date related to Jazz sales prior to the Initial Closing.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 Forma Consolidated Financial Information (Unaudited)</w:t>
      </w:r>
    </w:p>
    <w:p>
      <w:pPr>
        <w:spacing w:after="0" w:line="183" w:lineRule="exact"/>
        <w:rPr>
          <w:sz w:val="20"/>
          <w:szCs w:val="20"/>
          <w:color w:val="auto"/>
        </w:rPr>
      </w:pPr>
    </w:p>
    <w:p>
      <w:pPr>
        <w:ind w:right="160" w:firstLine="749"/>
        <w:spacing w:after="0" w:line="280" w:lineRule="auto"/>
        <w:rPr>
          <w:sz w:val="20"/>
          <w:szCs w:val="20"/>
          <w:color w:val="auto"/>
        </w:rPr>
      </w:pPr>
      <w:r>
        <w:rPr>
          <w:rFonts w:ascii="Times New Roman" w:cs="Times New Roman" w:eastAsia="Times New Roman" w:hAnsi="Times New Roman"/>
          <w:sz w:val="16"/>
          <w:szCs w:val="16"/>
          <w:color w:val="auto"/>
        </w:rPr>
        <w:t>The following unaudited pro forma summary presents consolidated information of the Company, including Sunosi, as if the business combination had occurred on January 1, 2021, the earliest period presented herein: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28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8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16,846,000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17,645,000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49,694,000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38,973,000</w:t>
            </w:r>
          </w:p>
        </w:tc>
        <w:tc>
          <w:tcPr>
            <w:tcW w:w="100" w:type="dxa"/>
            <w:vAlign w:val="bottom"/>
            <w:shd w:val="clear" w:color="auto" w:fill="CFF0FC"/>
          </w:tcPr>
          <w:p>
            <w:pPr>
              <w:spacing w:after="0"/>
              <w:rPr>
                <w:sz w:val="18"/>
                <w:szCs w:val="18"/>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(45,293,000 )</w:t>
            </w:r>
          </w:p>
        </w:tc>
        <w:tc>
          <w:tcPr>
            <w:tcW w:w="2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(57,470,000 )</w:t>
            </w:r>
          </w:p>
        </w:tc>
        <w:tc>
          <w:tcPr>
            <w:tcW w:w="24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(153,625,000 )</w:t>
            </w:r>
          </w:p>
        </w:tc>
        <w:tc>
          <w:tcPr>
            <w:tcW w:w="2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(226,835,000 )</w:t>
            </w:r>
          </w:p>
        </w:tc>
      </w:tr>
    </w:tbl>
    <w:p>
      <w:pPr>
        <w:spacing w:after="0" w:line="130" w:lineRule="exact"/>
        <w:rPr>
          <w:sz w:val="20"/>
          <w:szCs w:val="20"/>
          <w:color w:val="auto"/>
        </w:rPr>
      </w:pPr>
    </w:p>
    <w:p>
      <w:pPr>
        <w:ind w:right="120" w:firstLine="749"/>
        <w:spacing w:after="0" w:line="280" w:lineRule="auto"/>
        <w:rPr>
          <w:sz w:val="20"/>
          <w:szCs w:val="20"/>
          <w:color w:val="auto"/>
        </w:rPr>
      </w:pPr>
      <w:r>
        <w:rPr>
          <w:rFonts w:ascii="Times New Roman" w:cs="Times New Roman" w:eastAsia="Times New Roman" w:hAnsi="Times New Roman"/>
          <w:sz w:val="16"/>
          <w:szCs w:val="16"/>
          <w:color w:val="auto"/>
        </w:rPr>
        <w:t>These pro forma results are illustrative only and not indicative of the actual results of operations that would have been achieved nor are they indicative of future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Goodwill</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Goodwill of $11.9 million was recorded in connection with the Sunosi acquisition as described in Note 3 Business Combination.</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following table provides the Company’s goodwill as of September 30, 2022. There was no goodwill impairment during the nine months ended September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30, 2022.</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00" w:type="dxa"/>
            <w:vAlign w:val="bottom"/>
          </w:tcPr>
          <w:p>
            <w:pPr>
              <w:spacing w:after="0"/>
              <w:rPr>
                <w:sz w:val="16"/>
                <w:szCs w:val="16"/>
                <w:color w:val="auto"/>
              </w:rPr>
            </w:pPr>
          </w:p>
        </w:tc>
      </w:tr>
      <w:tr>
        <w:trPr>
          <w:trHeight w:val="20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from Sunosi Acquisition</w:t>
            </w:r>
          </w:p>
        </w:tc>
        <w:tc>
          <w:tcPr>
            <w:tcW w:w="5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11,897,000</w:t>
            </w:r>
          </w:p>
        </w:tc>
        <w:tc>
          <w:tcPr>
            <w:tcW w:w="100" w:type="dxa"/>
            <w:vAlign w:val="bottom"/>
          </w:tcPr>
          <w:p>
            <w:pPr>
              <w:spacing w:after="0"/>
              <w:rPr>
                <w:sz w:val="18"/>
                <w:szCs w:val="18"/>
                <w:color w:val="auto"/>
              </w:rPr>
            </w:pPr>
          </w:p>
        </w:tc>
      </w:tr>
      <w:tr>
        <w:trPr>
          <w:trHeight w:val="216"/>
        </w:trPr>
        <w:tc>
          <w:tcPr>
            <w:tcW w:w="4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5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32"/>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5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11,897,000</w:t>
            </w:r>
          </w:p>
        </w:tc>
        <w:tc>
          <w:tcPr>
            <w:tcW w:w="100" w:type="dxa"/>
            <w:vAlign w:val="bottom"/>
          </w:tcPr>
          <w:p>
            <w:pPr>
              <w:spacing w:after="0"/>
              <w:rPr>
                <w:sz w:val="20"/>
                <w:szCs w:val="20"/>
                <w:color w:val="auto"/>
              </w:rPr>
            </w:pPr>
          </w:p>
        </w:tc>
      </w:tr>
      <w:tr>
        <w:trPr>
          <w:trHeight w:val="815"/>
        </w:trPr>
        <w:tc>
          <w:tcPr>
            <w:tcW w:w="4120" w:type="dxa"/>
            <w:vAlign w:val="bottom"/>
          </w:tcPr>
          <w:p>
            <w:pPr>
              <w:spacing w:after="0"/>
              <w:rPr>
                <w:sz w:val="24"/>
                <w:szCs w:val="24"/>
                <w:color w:val="auto"/>
              </w:rPr>
            </w:pPr>
          </w:p>
        </w:tc>
        <w:tc>
          <w:tcPr>
            <w:tcW w:w="514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Intangible Asset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gross carrying amount and net book value of the Company's intangible asset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Weighted-</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Useful Life</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Carrying Amount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63,800,000</w:t>
            </w:r>
          </w:p>
        </w:tc>
        <w:tc>
          <w:tcPr>
            <w:tcW w:w="280" w:type="dxa"/>
            <w:vAlign w:val="bottom"/>
          </w:tcPr>
          <w:p>
            <w:pPr>
              <w:spacing w:after="0"/>
              <w:rPr>
                <w:sz w:val="18"/>
                <w:szCs w:val="18"/>
                <w:color w:val="auto"/>
              </w:rPr>
            </w:pPr>
          </w:p>
        </w:tc>
        <w:tc>
          <w:tcPr>
            <w:tcW w:w="16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10-years</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(2,532,439 )</w:t>
            </w:r>
          </w:p>
        </w:tc>
        <w:tc>
          <w:tcPr>
            <w:tcW w:w="1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Book Value at September 30, 2022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61,267,561</w:t>
            </w:r>
          </w:p>
        </w:tc>
        <w:tc>
          <w:tcPr>
            <w:tcW w:w="280" w:type="dxa"/>
            <w:vAlign w:val="bottom"/>
            <w:tcBorders>
              <w:top w:val="single" w:sz="8" w:color="CFF0FC"/>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6858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19" w:lineRule="exact"/>
        <w:rPr>
          <w:sz w:val="20"/>
          <w:szCs w:val="20"/>
          <w:color w:val="auto"/>
        </w:rPr>
      </w:pPr>
    </w:p>
    <w:p>
      <w:pPr>
        <w:ind w:right="180" w:firstLine="749"/>
        <w:spacing w:after="0" w:line="263" w:lineRule="auto"/>
        <w:rPr>
          <w:sz w:val="20"/>
          <w:szCs w:val="20"/>
          <w:color w:val="auto"/>
        </w:rPr>
      </w:pPr>
      <w:r>
        <w:rPr>
          <w:rFonts w:ascii="Times New Roman" w:cs="Times New Roman" w:eastAsia="Times New Roman" w:hAnsi="Times New Roman"/>
          <w:sz w:val="16"/>
          <w:szCs w:val="16"/>
          <w:color w:val="auto"/>
        </w:rPr>
        <w:t>Based on finite-lived intangible assets recorded as of September 30, 2022, and assuming the underlying assets will not be impaired and that we will not change the expected lives of the assets, future amortization expenses were estimated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tcPr>
          <w:p>
            <w:pPr>
              <w:spacing w:after="0"/>
              <w:rPr>
                <w:sz w:val="17"/>
                <w:szCs w:val="17"/>
                <w:color w:val="auto"/>
              </w:rPr>
            </w:pPr>
          </w:p>
        </w:tc>
        <w:tc>
          <w:tcPr>
            <w:tcW w:w="2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Amortization</w:t>
            </w:r>
          </w:p>
        </w:tc>
      </w:tr>
      <w:tr>
        <w:trPr>
          <w:trHeight w:val="238"/>
        </w:trPr>
        <w:tc>
          <w:tcPr>
            <w:tcW w:w="9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1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1,606,789</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6,374,760</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6,392,226</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6,374,760</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6,374,760</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34,144,266</w:t>
            </w:r>
          </w:p>
        </w:tc>
        <w:tc>
          <w:tcPr>
            <w:tcW w:w="100" w:type="dxa"/>
            <w:vAlign w:val="bottom"/>
          </w:tcPr>
          <w:p>
            <w:pPr>
              <w:spacing w:after="0"/>
              <w:rPr>
                <w:sz w:val="18"/>
                <w:szCs w:val="18"/>
                <w:color w:val="auto"/>
              </w:rPr>
            </w:pPr>
          </w:p>
        </w:tc>
      </w:tr>
      <w:tr>
        <w:trPr>
          <w:trHeight w:val="250"/>
        </w:trPr>
        <w:tc>
          <w:tcPr>
            <w:tcW w:w="9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61,267,561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Fair Value of Financial Instruments</w:t>
      </w:r>
    </w:p>
    <w:p>
      <w:pPr>
        <w:spacing w:after="0" w:line="18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6"/>
          <w:szCs w:val="16"/>
          <w:color w:val="auto"/>
        </w:rPr>
        <w:t>In connection with the Sunosi acquisition, the Company pays a royalty on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$7.0 million and non-current contingent consideration liability of $27.4 million in the consolidated balance sheet as of September 30, 2022.</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fair value of financial instruments measured on a recurring basis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May 9, 2022</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8"/>
              </w:rPr>
              <w:t>36,140,000</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36,140,000</w:t>
            </w:r>
          </w:p>
        </w:tc>
        <w:tc>
          <w:tcPr>
            <w:tcW w:w="100" w:type="dxa"/>
            <w:vAlign w:val="bottom"/>
            <w:shd w:val="clear" w:color="auto" w:fill="CFF0FC"/>
          </w:tcPr>
          <w:p>
            <w:pPr>
              <w:spacing w:after="0"/>
              <w:rPr>
                <w:sz w:val="18"/>
                <w:szCs w:val="18"/>
                <w:color w:val="auto"/>
              </w:rPr>
            </w:pPr>
          </w:p>
        </w:tc>
      </w:tr>
      <w:tr>
        <w:trPr>
          <w:trHeight w:val="418"/>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8"/>
              </w:rPr>
              <w:t>34,400,000</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34,400,000</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8"/>
              </w:rPr>
              <w:t>34,400,000</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34,400,000</w:t>
            </w:r>
          </w:p>
        </w:tc>
        <w:tc>
          <w:tcPr>
            <w:tcW w:w="100" w:type="dxa"/>
            <w:vAlign w:val="bottom"/>
          </w:tcPr>
          <w:p>
            <w:pPr>
              <w:spacing w:after="0"/>
              <w:rPr>
                <w:sz w:val="18"/>
                <w:szCs w:val="18"/>
                <w:color w:val="auto"/>
              </w:rPr>
            </w:pPr>
          </w:p>
        </w:tc>
      </w:tr>
      <w:tr>
        <w:trPr>
          <w:trHeight w:val="20"/>
        </w:trPr>
        <w:tc>
          <w:tcPr>
            <w:tcW w:w="5720" w:type="dxa"/>
            <w:vAlign w:val="bottom"/>
            <w:gridSpan w:val="3"/>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1240" w:type="dxa"/>
            <w:vAlign w:val="bottom"/>
            <w:gridSpan w:val="16"/>
          </w:tcPr>
          <w:p>
            <w:pPr>
              <w:ind w:left="760"/>
              <w:spacing w:after="0"/>
              <w:rPr>
                <w:sz w:val="20"/>
                <w:szCs w:val="20"/>
                <w:color w:val="auto"/>
              </w:rPr>
            </w:pPr>
            <w:r>
              <w:rPr>
                <w:rFonts w:ascii="Times New Roman" w:cs="Times New Roman" w:eastAsia="Times New Roman" w:hAnsi="Times New Roman"/>
                <w:sz w:val="16"/>
                <w:szCs w:val="16"/>
                <w:color w:val="auto"/>
              </w:rPr>
              <w:t>The fair value of the contingent consideration was remeasured at September 30, 2022. The fair value of the financial instruments as of September 30, 2022 is as</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follows: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735"/>
        </w:trPr>
        <w:tc>
          <w:tcPr>
            <w:tcW w:w="4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r>
      <w:tr>
        <w:trPr>
          <w:trHeight w:val="20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Initial estimate (Level 3)</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36,140,000</w:t>
            </w: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(902,120 )</w:t>
            </w:r>
          </w:p>
        </w:tc>
      </w:tr>
      <w:tr>
        <w:trPr>
          <w:trHeight w:val="216"/>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(837,880 )</w:t>
            </w:r>
          </w:p>
        </w:tc>
      </w:tr>
      <w:tr>
        <w:trPr>
          <w:trHeight w:val="20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2022 (Level 3)</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34,400,000</w:t>
            </w:r>
          </w:p>
        </w:tc>
        <w:tc>
          <w:tcPr>
            <w:tcW w:w="100" w:type="dxa"/>
            <w:vAlign w:val="bottom"/>
            <w:shd w:val="clear" w:color="auto" w:fill="CFF0FC"/>
          </w:tcPr>
          <w:p>
            <w:pPr>
              <w:spacing w:after="0"/>
              <w:rPr>
                <w:sz w:val="18"/>
                <w:szCs w:val="18"/>
                <w:color w:val="auto"/>
              </w:rPr>
            </w:pPr>
          </w:p>
        </w:tc>
      </w:tr>
      <w:tr>
        <w:trPr>
          <w:trHeight w:val="648"/>
        </w:trPr>
        <w:tc>
          <w:tcPr>
            <w:tcW w:w="45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
        </w:trPr>
        <w:tc>
          <w:tcPr>
            <w:tcW w:w="45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recurring Level 3 fair value measurements of contingent consideration for which a liability is recorded include the following significant unobservable inputs: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September 30, 2022</w:t>
            </w:r>
          </w:p>
        </w:tc>
        <w:tc>
          <w:tcPr>
            <w:tcW w:w="1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of May 9, 2022</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Valuation Methodology</w:t>
            </w:r>
          </w:p>
        </w:tc>
        <w:tc>
          <w:tcPr>
            <w:tcW w:w="180" w:type="dxa"/>
            <w:vAlign w:val="bottom"/>
          </w:tcPr>
          <w:p>
            <w:pPr>
              <w:spacing w:after="0"/>
              <w:rPr>
                <w:sz w:val="13"/>
                <w:szCs w:val="13"/>
                <w:color w:val="auto"/>
              </w:rPr>
            </w:pPr>
          </w:p>
        </w:tc>
        <w:tc>
          <w:tcPr>
            <w:tcW w:w="2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rPr>
              <w:t>Significant Unobservable</w:t>
            </w:r>
          </w:p>
        </w:tc>
        <w:tc>
          <w:tcPr>
            <w:tcW w:w="180" w:type="dxa"/>
            <w:vAlign w:val="bottom"/>
          </w:tcPr>
          <w:p>
            <w:pPr>
              <w:spacing w:after="0"/>
              <w:rPr>
                <w:sz w:val="13"/>
                <w:szCs w:val="13"/>
                <w:color w:val="auto"/>
              </w:rPr>
            </w:pPr>
          </w:p>
        </w:tc>
        <w:tc>
          <w:tcPr>
            <w:tcW w:w="2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9"/>
              </w:rPr>
              <w:t>Weighted Average (range, if</w:t>
            </w:r>
          </w:p>
        </w:tc>
        <w:tc>
          <w:tcPr>
            <w:tcW w:w="180" w:type="dxa"/>
            <w:vAlign w:val="bottom"/>
          </w:tcPr>
          <w:p>
            <w:pPr>
              <w:spacing w:after="0"/>
              <w:rPr>
                <w:sz w:val="13"/>
                <w:szCs w:val="13"/>
                <w:color w:val="auto"/>
              </w:rPr>
            </w:pPr>
          </w:p>
        </w:tc>
        <w:tc>
          <w:tcPr>
            <w:tcW w:w="226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8"/>
              </w:rPr>
              <w:t>Weighted Average (range, if</w:t>
            </w:r>
          </w:p>
        </w:tc>
        <w:tc>
          <w:tcPr>
            <w:tcW w:w="0" w:type="dxa"/>
            <w:vAlign w:val="bottom"/>
          </w:tcPr>
          <w:p>
            <w:pPr>
              <w:spacing w:after="0"/>
              <w:rPr>
                <w:sz w:val="1"/>
                <w:szCs w:val="1"/>
                <w:color w:val="auto"/>
              </w:rPr>
            </w:pPr>
          </w:p>
        </w:tc>
      </w:tr>
      <w:tr>
        <w:trPr>
          <w:trHeight w:val="238"/>
        </w:trPr>
        <w:tc>
          <w:tcPr>
            <w:tcW w:w="1560" w:type="dxa"/>
            <w:vAlign w:val="bottom"/>
          </w:tcPr>
          <w:p>
            <w:pPr>
              <w:spacing w:after="0"/>
              <w:rPr>
                <w:sz w:val="20"/>
                <w:szCs w:val="20"/>
                <w:color w:val="auto"/>
              </w:rPr>
            </w:pPr>
          </w:p>
        </w:tc>
        <w:tc>
          <w:tcPr>
            <w:tcW w:w="230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18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w:t>
            </w:r>
          </w:p>
        </w:tc>
        <w:tc>
          <w:tcPr>
            <w:tcW w:w="1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0" w:type="dxa"/>
            <w:vAlign w:val="bottom"/>
          </w:tcPr>
          <w:p>
            <w:pPr>
              <w:spacing w:after="0"/>
              <w:rPr>
                <w:sz w:val="1"/>
                <w:szCs w:val="1"/>
                <w:color w:val="auto"/>
              </w:rPr>
            </w:pPr>
          </w:p>
        </w:tc>
      </w:tr>
      <w:tr>
        <w:trPr>
          <w:trHeight w:val="164"/>
        </w:trPr>
        <w:tc>
          <w:tcPr>
            <w:tcW w:w="156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Contingent</w:t>
            </w:r>
          </w:p>
        </w:tc>
        <w:tc>
          <w:tcPr>
            <w:tcW w:w="2300" w:type="dxa"/>
            <w:vAlign w:val="bottom"/>
            <w:shd w:val="clear" w:color="auto" w:fill="CFF0FC"/>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Probability weighted income</w:t>
            </w:r>
          </w:p>
        </w:tc>
        <w:tc>
          <w:tcPr>
            <w:tcW w:w="180" w:type="dxa"/>
            <w:vAlign w:val="bottom"/>
            <w:shd w:val="clear" w:color="auto" w:fill="CFF0FC"/>
          </w:tcPr>
          <w:p>
            <w:pPr>
              <w:spacing w:after="0"/>
              <w:rPr>
                <w:sz w:val="14"/>
                <w:szCs w:val="14"/>
                <w:color w:val="auto"/>
              </w:rPr>
            </w:pPr>
          </w:p>
        </w:tc>
        <w:tc>
          <w:tcPr>
            <w:tcW w:w="2300" w:type="dxa"/>
            <w:vAlign w:val="bottom"/>
            <w:shd w:val="clear" w:color="auto" w:fill="CFF0FC"/>
          </w:tcPr>
          <w:p>
            <w:pPr>
              <w:jc w:val="center"/>
              <w:spacing w:after="0" w:line="164" w:lineRule="exact"/>
              <w:rPr>
                <w:sz w:val="20"/>
                <w:szCs w:val="20"/>
                <w:color w:val="auto"/>
              </w:rPr>
            </w:pPr>
            <w:r>
              <w:rPr>
                <w:rFonts w:ascii="Times New Roman" w:cs="Times New Roman" w:eastAsia="Times New Roman" w:hAnsi="Times New Roman"/>
                <w:sz w:val="18"/>
                <w:szCs w:val="18"/>
                <w:color w:val="auto"/>
              </w:rPr>
              <w:t>Discount rate</w:t>
            </w:r>
          </w:p>
        </w:tc>
        <w:tc>
          <w:tcPr>
            <w:tcW w:w="180" w:type="dxa"/>
            <w:vAlign w:val="bottom"/>
            <w:shd w:val="clear" w:color="auto" w:fill="CFF0FC"/>
          </w:tcPr>
          <w:p>
            <w:pPr>
              <w:spacing w:after="0"/>
              <w:rPr>
                <w:sz w:val="14"/>
                <w:szCs w:val="14"/>
                <w:color w:val="auto"/>
              </w:rPr>
            </w:pPr>
          </w:p>
        </w:tc>
        <w:tc>
          <w:tcPr>
            <w:tcW w:w="2280" w:type="dxa"/>
            <w:vAlign w:val="bottom"/>
            <w:shd w:val="clear" w:color="auto" w:fill="CFF0FC"/>
          </w:tcPr>
          <w:p>
            <w:pPr>
              <w:jc w:val="center"/>
              <w:spacing w:after="0" w:line="164" w:lineRule="exact"/>
              <w:rPr>
                <w:sz w:val="20"/>
                <w:szCs w:val="20"/>
                <w:color w:val="auto"/>
              </w:rPr>
            </w:pPr>
            <w:r>
              <w:rPr>
                <w:rFonts w:ascii="Times New Roman" w:cs="Times New Roman" w:eastAsia="Times New Roman" w:hAnsi="Times New Roman"/>
                <w:sz w:val="18"/>
                <w:szCs w:val="18"/>
                <w:color w:val="auto"/>
                <w:w w:val="98"/>
              </w:rPr>
              <w:t>15.1%</w:t>
            </w:r>
          </w:p>
        </w:tc>
        <w:tc>
          <w:tcPr>
            <w:tcW w:w="180" w:type="dxa"/>
            <w:vAlign w:val="bottom"/>
            <w:shd w:val="clear" w:color="auto" w:fill="CFF0FC"/>
          </w:tcPr>
          <w:p>
            <w:pPr>
              <w:spacing w:after="0"/>
              <w:rPr>
                <w:sz w:val="14"/>
                <w:szCs w:val="14"/>
                <w:color w:val="auto"/>
              </w:rPr>
            </w:pPr>
          </w:p>
        </w:tc>
        <w:tc>
          <w:tcPr>
            <w:tcW w:w="2260" w:type="dxa"/>
            <w:vAlign w:val="bottom"/>
            <w:shd w:val="clear" w:color="auto" w:fill="CFF0FC"/>
          </w:tcPr>
          <w:p>
            <w:pPr>
              <w:jc w:val="center"/>
              <w:spacing w:after="0" w:line="164" w:lineRule="exact"/>
              <w:rPr>
                <w:sz w:val="20"/>
                <w:szCs w:val="20"/>
                <w:color w:val="auto"/>
              </w:rPr>
            </w:pPr>
            <w:r>
              <w:rPr>
                <w:rFonts w:ascii="Times New Roman" w:cs="Times New Roman" w:eastAsia="Times New Roman" w:hAnsi="Times New Roman"/>
                <w:sz w:val="18"/>
                <w:szCs w:val="18"/>
                <w:color w:val="auto"/>
                <w:w w:val="98"/>
              </w:rPr>
              <w:t>11.7%</w:t>
            </w:r>
          </w:p>
        </w:tc>
        <w:tc>
          <w:tcPr>
            <w:tcW w:w="0" w:type="dxa"/>
            <w:vAlign w:val="bottom"/>
          </w:tcPr>
          <w:p>
            <w:pPr>
              <w:spacing w:after="0"/>
              <w:rPr>
                <w:sz w:val="1"/>
                <w:szCs w:val="1"/>
                <w:color w:val="auto"/>
              </w:rPr>
            </w:pPr>
          </w:p>
        </w:tc>
      </w:tr>
      <w:tr>
        <w:trPr>
          <w:trHeight w:val="23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approach</w:t>
            </w:r>
          </w:p>
        </w:tc>
        <w:tc>
          <w:tcPr>
            <w:tcW w:w="180" w:type="dxa"/>
            <w:vAlign w:val="bottom"/>
            <w:shd w:val="clear" w:color="auto" w:fill="CFF0FC"/>
          </w:tcPr>
          <w:p>
            <w:pPr>
              <w:spacing w:after="0"/>
              <w:rPr>
                <w:sz w:val="20"/>
                <w:szCs w:val="20"/>
                <w:color w:val="auto"/>
              </w:rPr>
            </w:pPr>
          </w:p>
        </w:tc>
        <w:tc>
          <w:tcPr>
            <w:tcW w:w="2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Revenue Discount rate</w:t>
            </w:r>
          </w:p>
        </w:tc>
        <w:tc>
          <w:tcPr>
            <w:tcW w:w="24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20.9%</w:t>
            </w:r>
          </w:p>
        </w:tc>
        <w:tc>
          <w:tcPr>
            <w:tcW w:w="24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20.8%</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80" w:firstLine="749"/>
        <w:spacing w:after="0" w:line="254" w:lineRule="auto"/>
        <w:rPr>
          <w:sz w:val="20"/>
          <w:szCs w:val="20"/>
          <w:color w:val="auto"/>
        </w:rPr>
      </w:pPr>
      <w:r>
        <w:rPr>
          <w:rFonts w:ascii="Times New Roman" w:cs="Times New Roman" w:eastAsia="Times New Roman" w:hAnsi="Times New Roman"/>
          <w:sz w:val="16"/>
          <w:szCs w:val="16"/>
          <w:color w:val="auto"/>
        </w:rPr>
        <w:t>The fair value measurement of the contingent consideration is sensitive to the change in discount rates. As of September 30, 2022, if the discount rate increases or decreases by approximately 1%, the fair value of the contingent consideration would range from $32.9 million to $35.9 million. As of September 30, 2022, if the revenue discount rate increases or decreases by approximately 1%, the fair value of the contingent consideration would range from $33.3 million to $35.5 million.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4"/>
                <w:szCs w:val="14"/>
                <w:color w:val="auto"/>
              </w:rPr>
            </w:pPr>
          </w:p>
        </w:tc>
      </w:tr>
      <w:tr>
        <w:trPr>
          <w:trHeight w:val="173"/>
        </w:trPr>
        <w:tc>
          <w:tcPr>
            <w:tcW w:w="9060" w:type="dxa"/>
            <w:vAlign w:val="bottom"/>
          </w:tcPr>
          <w:p>
            <w:pPr>
              <w:ind w:left="44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r>
      <w:tr>
        <w:trPr>
          <w:trHeight w:val="209"/>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2,148,471</w:t>
            </w:r>
          </w:p>
        </w:tc>
        <w:tc>
          <w:tcPr>
            <w:tcW w:w="320" w:type="dxa"/>
            <w:vAlign w:val="bottom"/>
            <w:shd w:val="clear" w:color="auto" w:fill="CFF0FC"/>
          </w:tcPr>
          <w:p>
            <w:pPr>
              <w:spacing w:after="0"/>
              <w:rPr>
                <w:sz w:val="18"/>
                <w:szCs w:val="18"/>
                <w:color w:val="auto"/>
              </w:rPr>
            </w:pPr>
          </w:p>
        </w:tc>
      </w:tr>
      <w:tr>
        <w:trPr>
          <w:trHeight w:val="216"/>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9,972,575</w:t>
            </w:r>
          </w:p>
        </w:tc>
        <w:tc>
          <w:tcPr>
            <w:tcW w:w="320" w:type="dxa"/>
            <w:vAlign w:val="bottom"/>
          </w:tcPr>
          <w:p>
            <w:pPr>
              <w:spacing w:after="0"/>
              <w:rPr>
                <w:sz w:val="18"/>
                <w:szCs w:val="18"/>
                <w:color w:val="auto"/>
              </w:rPr>
            </w:pPr>
          </w:p>
        </w:tc>
      </w:tr>
      <w:tr>
        <w:trPr>
          <w:trHeight w:val="216"/>
        </w:trPr>
        <w:tc>
          <w:tcPr>
            <w:tcW w:w="9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1,867,054</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0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13,988,100</w:t>
            </w:r>
          </w:p>
        </w:tc>
        <w:tc>
          <w:tcPr>
            <w:tcW w:w="320" w:type="dxa"/>
            <w:vAlign w:val="bottom"/>
          </w:tcPr>
          <w:p>
            <w:pPr>
              <w:spacing w:after="0"/>
              <w:rPr>
                <w:sz w:val="18"/>
                <w:szCs w:val="18"/>
                <w:color w:val="auto"/>
              </w:rPr>
            </w:pPr>
          </w:p>
        </w:tc>
      </w:tr>
      <w:tr>
        <w:trPr>
          <w:trHeight w:val="20"/>
        </w:trPr>
        <w:tc>
          <w:tcPr>
            <w:tcW w:w="9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6939915</wp:posOffset>
            </wp:positionH>
            <wp:positionV relativeFrom="paragraph">
              <wp:posOffset>-170815</wp:posOffset>
            </wp:positionV>
            <wp:extent cx="685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ind w:right="620" w:firstLine="749"/>
        <w:spacing w:after="0" w:line="266" w:lineRule="auto"/>
        <w:rPr>
          <w:sz w:val="20"/>
          <w:szCs w:val="20"/>
          <w:color w:val="auto"/>
        </w:rPr>
      </w:pPr>
      <w:r>
        <w:rPr>
          <w:rFonts w:ascii="Times New Roman" w:cs="Times New Roman" w:eastAsia="Times New Roman" w:hAnsi="Times New Roman"/>
          <w:sz w:val="18"/>
          <w:szCs w:val="18"/>
          <w:color w:val="auto"/>
        </w:rPr>
        <w:t>As of September 30, 2022, inventories included $1.0 million related to the purchase accounting inventory fair value step-up on inventory acquired in the Sunosi Acquisition for the U.S. Territory.</w:t>
      </w:r>
    </w:p>
    <w:p>
      <w:pPr>
        <w:spacing w:after="0" w:line="162"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There were no material inventory reserves as of September 30, 2022. Non-current inventory, which consists of raw materials and work in progress inventory, is included in non-current inventory and other assets in the Company's consolidated balance sheets. Non-current inventory is anticipated to be consumed beyond our normal operating cycle.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Company's inventory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3"/>
                <w:szCs w:val="13"/>
                <w:color w:val="auto"/>
              </w:rPr>
            </w:pPr>
          </w:p>
        </w:tc>
      </w:tr>
      <w:tr>
        <w:trPr>
          <w:trHeight w:val="187"/>
        </w:trPr>
        <w:tc>
          <w:tcPr>
            <w:tcW w:w="9060" w:type="dxa"/>
            <w:vAlign w:val="bottom"/>
          </w:tcPr>
          <w:p>
            <w:pPr>
              <w:ind w:left="44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r>
      <w:tr>
        <w:trPr>
          <w:trHeight w:val="209"/>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r>
      <w:tr>
        <w:trPr>
          <w:trHeight w:val="216"/>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2,103,477</w:t>
            </w:r>
          </w:p>
        </w:tc>
        <w:tc>
          <w:tcPr>
            <w:tcW w:w="320" w:type="dxa"/>
            <w:vAlign w:val="bottom"/>
          </w:tcPr>
          <w:p>
            <w:pPr>
              <w:spacing w:after="0"/>
              <w:rPr>
                <w:sz w:val="18"/>
                <w:szCs w:val="18"/>
                <w:color w:val="auto"/>
              </w:rPr>
            </w:pPr>
          </w:p>
        </w:tc>
      </w:tr>
      <w:tr>
        <w:trPr>
          <w:trHeight w:val="216"/>
        </w:trPr>
        <w:tc>
          <w:tcPr>
            <w:tcW w:w="9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3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11,884,623</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0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13,988,100</w:t>
            </w:r>
          </w:p>
        </w:tc>
        <w:tc>
          <w:tcPr>
            <w:tcW w:w="320" w:type="dxa"/>
            <w:vAlign w:val="bottom"/>
          </w:tcPr>
          <w:p>
            <w:pPr>
              <w:spacing w:after="0"/>
              <w:rPr>
                <w:sz w:val="18"/>
                <w:szCs w:val="18"/>
                <w:color w:val="auto"/>
              </w:rPr>
            </w:pPr>
          </w:p>
        </w:tc>
      </w:tr>
      <w:tr>
        <w:trPr>
          <w:trHeight w:val="20"/>
        </w:trPr>
        <w:tc>
          <w:tcPr>
            <w:tcW w:w="9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6939915</wp:posOffset>
            </wp:positionH>
            <wp:positionV relativeFrom="paragraph">
              <wp:posOffset>-170815</wp:posOffset>
            </wp:positionV>
            <wp:extent cx="685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Accrued Expenses and Other Current Liabilities</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At September 30, 2022 and December 31, 2021 accrued expenses and other current liabilities consisted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5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3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4,879,849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2,416,897</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5,632,645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4,050,236</w:t>
            </w: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selling, general and administrative</w:t>
            </w:r>
          </w:p>
        </w:tc>
        <w:tc>
          <w:tcPr>
            <w:tcW w:w="3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12,856,390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2,442,700</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discounts, rebates and allowances</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14,458,129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3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1,347,663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847,083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385,347</w:t>
            </w:r>
          </w:p>
        </w:tc>
      </w:tr>
      <w:tr>
        <w:trPr>
          <w:trHeight w:val="250"/>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40,021,759</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9,295,180</w:t>
            </w:r>
          </w:p>
        </w:tc>
      </w:tr>
      <w:tr>
        <w:trPr>
          <w:trHeight w:val="629"/>
        </w:trPr>
        <w:tc>
          <w:tcPr>
            <w:tcW w:w="4520" w:type="dxa"/>
            <w:vAlign w:val="bottom"/>
          </w:tcPr>
          <w:p>
            <w:pPr>
              <w:spacing w:after="0"/>
              <w:rPr>
                <w:sz w:val="24"/>
                <w:szCs w:val="24"/>
                <w:color w:val="auto"/>
              </w:rPr>
            </w:pPr>
          </w:p>
        </w:tc>
        <w:tc>
          <w:tcPr>
            <w:tcW w:w="32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-521970</wp:posOffset>
            </wp:positionV>
            <wp:extent cx="1111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-504825</wp:posOffset>
            </wp:positionV>
            <wp:extent cx="1111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Loan and Security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Hercules Capital,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Second Amendment to the Loan Agreement</w:t>
      </w:r>
    </w:p>
    <w:p>
      <w:pPr>
        <w:spacing w:after="0" w:line="223" w:lineRule="exact"/>
        <w:rPr>
          <w:sz w:val="20"/>
          <w:szCs w:val="20"/>
          <w:color w:val="auto"/>
        </w:rPr>
      </w:pPr>
    </w:p>
    <w:p>
      <w:pPr>
        <w:ind w:right="480" w:firstLine="749"/>
        <w:spacing w:after="0" w:line="254" w:lineRule="auto"/>
        <w:rPr>
          <w:sz w:val="20"/>
          <w:szCs w:val="20"/>
          <w:color w:val="auto"/>
        </w:rPr>
      </w:pPr>
      <w:r>
        <w:rPr>
          <w:rFonts w:ascii="Times New Roman" w:cs="Times New Roman" w:eastAsia="Times New Roman" w:hAnsi="Times New Roman"/>
          <w:sz w:val="16"/>
          <w:szCs w:val="16"/>
          <w:color w:val="auto"/>
        </w:rPr>
        <w:t>On March 27, 2022, in connection with the Acquisition (as described above), the Company entered into a Second Amendment to the Loan and Security Agreement (the “Second Amendment”) with Hercules Capital, Inc., or Hercules. The Second Amendment closed on May 9, 2022 concurrently with the closing of the Acquisition.</w:t>
      </w:r>
    </w:p>
    <w:p>
      <w:pPr>
        <w:spacing w:after="0" w:line="185"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6"/>
          <w:szCs w:val="16"/>
          <w:color w:val="auto"/>
        </w:rPr>
        <w:t>The Second Amendment amends the terms of that certain Loan and Security Agreement, dated as of September 25, 2020 (as amended by the First Amendment to the Loan and Security Agreement, dated of October 14, 2021) (the “Loan Agreement”). The changes in the Term Loan Advances (as defined in the Loan Agreement) amounts and dates are as follows: (i) increasing the Tranche 1 (as defined in the Loan Agreement) from $60.0 million to $95.0 million, whereby $45.0 million was drawn upon the Second Amendment closing date (ii) changing the Tranche 2 Advances to three sub-tranches of $35.0 million, $35.0 million and $30.0 million, respectively, for a same total value of $100.0 million, which is now accessible at the Company's option upon the achievement of the approval of AXS-05 (iii) changing the Tranche 3 Advance to two sub-tranches of $15.0 million and $5.0 million, respectively, for the same total value of $20.0 million, upon approval of AXS-07 (iv) decreasing the Tranche 4 Advance from $55.0 million to $50.0 million, available upon achievement of certain combined sales and outstanding debt criteria and (v) decreasing the Tranche 5 Advance from $75.0 million to $35.0 million, subject to the approval from Hercules. The outstanding balance of the debt bears interest at a floating rate based on the greater of (a)</w:t>
      </w:r>
    </w:p>
    <w:p>
      <w:pPr>
        <w:spacing w:after="0"/>
        <w:rPr>
          <w:sz w:val="20"/>
          <w:szCs w:val="20"/>
          <w:color w:val="auto"/>
        </w:rPr>
      </w:pPr>
      <w:r>
        <w:rPr>
          <w:rFonts w:ascii="Times New Roman" w:cs="Times New Roman" w:eastAsia="Times New Roman" w:hAnsi="Times New Roman"/>
          <w:sz w:val="16"/>
          <w:szCs w:val="16"/>
          <w:color w:val="auto"/>
        </w:rPr>
        <w:t>8.95% or (b) US WSJ Prime + 5.70%) to not exceed 10.70%.</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As collateral for the obligations, the Company has granted to Hercules a senior security interest in all of Company’s right, title, and interest in, to and under all of</w:t>
      </w:r>
    </w:p>
    <w:p>
      <w:pPr>
        <w:spacing w:after="0" w:line="10" w:lineRule="exact"/>
        <w:rPr>
          <w:sz w:val="20"/>
          <w:szCs w:val="20"/>
          <w:color w:val="auto"/>
        </w:rPr>
      </w:pPr>
    </w:p>
    <w:p>
      <w:pPr>
        <w:ind w:right="160"/>
        <w:spacing w:after="0" w:line="217" w:lineRule="auto"/>
        <w:rPr>
          <w:sz w:val="20"/>
          <w:szCs w:val="20"/>
          <w:color w:val="auto"/>
        </w:rPr>
      </w:pPr>
      <w:r>
        <w:rPr>
          <w:rFonts w:ascii="Times New Roman" w:cs="Times New Roman" w:eastAsia="Times New Roman" w:hAnsi="Times New Roman"/>
          <w:sz w:val="16"/>
          <w:szCs w:val="16"/>
          <w:color w:val="auto"/>
        </w:rPr>
        <w:t>Company’s property, inclusive of intellectual property, which includes one of the Company’s existing license agreements (the “License Agreement”) with Antecip Bioventures II LLC (“Antecip”), an entity owned by Axsome’s Chief Executive Officer and Chairman of the Board, Herriot Tabuteau, M.D., subject to limited exceptions</w:t>
      </w:r>
      <w:r>
        <w:rPr>
          <w:rFonts w:ascii="Times New Roman" w:cs="Times New Roman" w:eastAsia="Times New Roman" w:hAnsi="Times New Roman"/>
          <w:sz w:val="16"/>
          <w:szCs w:val="16"/>
          <w:color w:val="FF0000"/>
        </w:rPr>
        <w:t>.</w:t>
      </w:r>
      <w:r>
        <w:rPr>
          <w:rFonts w:ascii="Times New Roman" w:cs="Times New Roman" w:eastAsia="Times New Roman" w:hAnsi="Times New Roman"/>
          <w:sz w:val="16"/>
          <w:szCs w:val="16"/>
          <w:color w:val="auto"/>
        </w:rPr>
        <w:t xml:space="preserve"> Antecip consented to the collateral assignment of the License Agreement, among other things, under a direct agreement (the “Direct Agreement”) with the Company and</w:t>
      </w:r>
    </w:p>
    <w:p>
      <w:pPr>
        <w:spacing w:after="0"/>
        <w:rPr>
          <w:sz w:val="20"/>
          <w:szCs w:val="20"/>
          <w:color w:val="auto"/>
        </w:rPr>
      </w:pPr>
      <w:r>
        <w:rPr>
          <w:rFonts w:ascii="Times New Roman" w:cs="Times New Roman" w:eastAsia="Times New Roman" w:hAnsi="Times New Roman"/>
          <w:sz w:val="16"/>
          <w:szCs w:val="16"/>
          <w:color w:val="auto"/>
        </w:rPr>
        <w:t>Hercules.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60" w:firstLine="749"/>
        <w:spacing w:after="0" w:line="231" w:lineRule="auto"/>
        <w:rPr>
          <w:sz w:val="20"/>
          <w:szCs w:val="20"/>
          <w:color w:val="auto"/>
        </w:rPr>
      </w:pPr>
      <w:r>
        <w:rPr>
          <w:rFonts w:ascii="Times New Roman" w:cs="Times New Roman" w:eastAsia="Times New Roman" w:hAnsi="Times New Roman"/>
          <w:sz w:val="16"/>
          <w:szCs w:val="16"/>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w:t>
      </w:r>
    </w:p>
    <w:p>
      <w:pPr>
        <w:spacing w:after="0" w:line="1"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6"/>
          <w:szCs w:val="16"/>
          <w:color w:val="auto"/>
        </w:rPr>
        <w:t>corporate changes, transactions with affiliates and fundamental changes. At the initial closing, there were no applicable financial covenants contained in the Loan Agreement. Only after additional amounts are drawn down by the Company in the future, if the Company decides to do so, under the terms set forth in the Loan Agreement, there will be certain limited financial covenants that will apply, including:</w:t>
      </w:r>
    </w:p>
    <w:p>
      <w:pPr>
        <w:spacing w:after="0" w:line="182" w:lineRule="exact"/>
        <w:rPr>
          <w:sz w:val="20"/>
          <w:szCs w:val="20"/>
          <w:color w:val="auto"/>
        </w:rPr>
      </w:pPr>
    </w:p>
    <w:p>
      <w:pPr>
        <w:jc w:val="both"/>
        <w:ind w:left="760" w:right="200" w:hanging="378"/>
        <w:spacing w:after="0" w:line="231" w:lineRule="auto"/>
        <w:tabs>
          <w:tab w:leader="none" w:pos="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upon closing of the Second Amendment of the Loan Agreement, the Company at all times thereafter must maintain cash in an account or accounts in which Hercules has a first priority security interest, in an aggregate amount greater than or equal to $40.0 million, plus the amount of the Company’s accounts payable under U.S. GAAP not paid after the 180th day following the invoice for such account payable (such amount, the “Qualified Cash A/P Amount”). The $40.0 million threshold decreased to $25.0 million upon achievement of the AXS-05 milestone.</w:t>
      </w:r>
    </w:p>
    <w:p>
      <w:pPr>
        <w:spacing w:after="0" w:line="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upon the (i) the last calendar month of the calendar quarter that is nine months following the earlier of (x) the date that the First Milestone is achieved</w:t>
      </w:r>
    </w:p>
    <w:p>
      <w:pPr>
        <w:spacing w:after="0" w:line="9" w:lineRule="exact"/>
        <w:rPr>
          <w:rFonts w:ascii="Times New Roman" w:cs="Times New Roman" w:eastAsia="Times New Roman" w:hAnsi="Times New Roman"/>
          <w:sz w:val="16"/>
          <w:szCs w:val="16"/>
          <w:color w:val="auto"/>
        </w:rPr>
      </w:pPr>
    </w:p>
    <w:p>
      <w:pPr>
        <w:ind w:left="760" w:right="20"/>
        <w:spacing w:after="0" w:line="22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(y) the date that the Second Milestone is achieved, or (z) the final closing date of the Sunosi acquisition (A) ensure that at all times its market capitalization exceeds $1.0 billion, and that it maintains cash in an account which Hercules has a first priority security interest in an amount not less than 50% of the sum of the outstanding principal amount of the term loan advances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Qualified Cash A/P Amount, (B) ensure that at all times that it maintains cash in an account which Hercules has a first priority security interest in an amount not less than 85% of the sum of the outstanding principal amount of the term loan advances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Qualified Cash A/P Amount, or (C) achieve at least 60% of the net product revenue per the board of directors approved forecast solely from the sale of AXS-05, AXS-07, and Sunosi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65" w:lineRule="exact"/>
        <w:rPr>
          <w:rFonts w:ascii="Times New Roman" w:cs="Times New Roman" w:eastAsia="Times New Roman" w:hAnsi="Times New Roman"/>
          <w:sz w:val="16"/>
          <w:szCs w:val="16"/>
          <w:color w:val="auto"/>
        </w:rPr>
      </w:pPr>
    </w:p>
    <w:p>
      <w:pPr>
        <w:ind w:left="760" w:right="480" w:hanging="378"/>
        <w:spacing w:after="0" w:line="280" w:lineRule="auto"/>
        <w:tabs>
          <w:tab w:leader="none" w:pos="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65" w:lineRule="exact"/>
        <w:rPr>
          <w:sz w:val="20"/>
          <w:szCs w:val="20"/>
          <w:color w:val="auto"/>
        </w:rPr>
      </w:pPr>
    </w:p>
    <w:p>
      <w:pPr>
        <w:ind w:right="80" w:firstLine="749"/>
        <w:spacing w:after="0" w:line="280" w:lineRule="auto"/>
        <w:rPr>
          <w:sz w:val="20"/>
          <w:szCs w:val="20"/>
          <w:color w:val="auto"/>
        </w:rPr>
      </w:pPr>
      <w:r>
        <w:rPr>
          <w:rFonts w:ascii="Times New Roman" w:cs="Times New Roman" w:eastAsia="Times New Roman" w:hAnsi="Times New Roman"/>
          <w:sz w:val="16"/>
          <w:szCs w:val="16"/>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51" w:lineRule="exact"/>
        <w:rPr>
          <w:sz w:val="20"/>
          <w:szCs w:val="20"/>
          <w:color w:val="auto"/>
        </w:rPr>
      </w:pPr>
    </w:p>
    <w:p>
      <w:pPr>
        <w:jc w:val="both"/>
        <w:ind w:right="120" w:firstLine="749"/>
        <w:spacing w:after="0" w:line="263" w:lineRule="auto"/>
        <w:rPr>
          <w:sz w:val="20"/>
          <w:szCs w:val="20"/>
          <w:color w:val="auto"/>
        </w:rPr>
      </w:pPr>
      <w:r>
        <w:rPr>
          <w:rFonts w:ascii="Times New Roman" w:cs="Times New Roman" w:eastAsia="Times New Roman" w:hAnsi="Times New Roman"/>
          <w:sz w:val="16"/>
          <w:szCs w:val="16"/>
          <w:color w:val="auto"/>
        </w:rPr>
        <w:t>In addition, the Company is required to pay a final payment fee equal to (A) $2,910,000 in connection with the drawn amount of Tranche 1A plus (B) 4.5% on the draw down of Tranche 1B and the aggregate amount of all term future loan advances. The final payment fee is being accreted and amortized into interest expense using the effective interest rate method over the term of the loan.</w:t>
      </w:r>
    </w:p>
    <w:p>
      <w:pPr>
        <w:spacing w:after="0" w:line="16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6"/>
          <w:szCs w:val="16"/>
          <w:color w:val="auto"/>
        </w:rPr>
        <w:t>The Company may, at its option prepay the term loans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 These percentages are unchanged from the First Amendment to the Loan Agreement.</w:t>
      </w:r>
    </w:p>
    <w:p>
      <w:pPr>
        <w:spacing w:after="0" w:line="176"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6"/>
          <w:szCs w:val="16"/>
          <w:color w:val="auto"/>
        </w:rPr>
        <w:t>The Company evaluated whether the Hercules Term Loan entered into in March 2022 represented a debt modification or extinguishment in accordance with ASC 470-50, Debt – Modifications and Extinguishments. As the present value of the cash flows under the terms of the Second Amendment to the Hercules Agreement is less than 10% different from the remaining cash flows under the terms of the First amendment, the Second Amendment was accounted for as a debt modification. The unamortized balance of debt discount costs incurred in connection with those loans and additional debt discount costs incurred in connection with entry into the Hercules Second Amendment to the Loan Agreement, are being amortized through maturity in October 2026 utilizing the effective interest rate method.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Loan Interest Expense and Amortization</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interest expense, amortization expense for the final payment fee and debt discount related to the issuance costs and warrants for our debt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gridSpan w:val="2"/>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2,579,910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1,169,167</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5,578,542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3,469,375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final payment fee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461,695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448,096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 related issuance costs and warrants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250,273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135,885</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675,256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403,767</w:t>
            </w:r>
          </w:p>
        </w:tc>
        <w:tc>
          <w:tcPr>
            <w:tcW w:w="100" w:type="dxa"/>
            <w:vAlign w:val="bottom"/>
            <w:shd w:val="clear" w:color="auto" w:fill="CFF0FC"/>
          </w:tcPr>
          <w:p>
            <w:pPr>
              <w:spacing w:after="0"/>
              <w:rPr>
                <w:sz w:val="18"/>
                <w:szCs w:val="18"/>
                <w:color w:val="auto"/>
              </w:rPr>
            </w:pPr>
          </w:p>
        </w:tc>
      </w:tr>
      <w:tr>
        <w:trPr>
          <w:trHeight w:val="399"/>
        </w:trPr>
        <w:tc>
          <w:tcPr>
            <w:tcW w:w="58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The outstanding debt and unamortized debt discount balances are as follows: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6"/>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95,000,000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accreted liability of final payment fee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1,156,377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706,407</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unamortized debt discount, long-term</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4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(2,243,218 )</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(1,616,885 )</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payable, long-term</w:t>
            </w: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93,913,159</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49,089,522</w:t>
            </w:r>
          </w:p>
        </w:tc>
        <w:tc>
          <w:tcPr>
            <w:tcW w:w="100" w:type="dxa"/>
            <w:vAlign w:val="bottom"/>
            <w:tcBorders>
              <w:bottom w:val="single" w:sz="8" w:color="auto"/>
            </w:tcBorders>
            <w:shd w:val="clear" w:color="auto" w:fill="CFF0FC"/>
          </w:tcPr>
          <w:p>
            <w:pPr>
              <w:spacing w:after="0"/>
              <w:rPr>
                <w:sz w:val="21"/>
                <w:szCs w:val="21"/>
                <w:color w:val="auto"/>
              </w:rPr>
            </w:pPr>
          </w:p>
        </w:tc>
      </w:tr>
      <w:tr>
        <w:trPr>
          <w:trHeight w:val="582"/>
        </w:trPr>
        <w:tc>
          <w:tcPr>
            <w:tcW w:w="696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Scheduled Principal Payments on Outstanding Debt, as of September 30, 2022, are as follows: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15,202,884</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79,797,116</w:t>
            </w:r>
          </w:p>
        </w:tc>
        <w:tc>
          <w:tcPr>
            <w:tcW w:w="100" w:type="dxa"/>
            <w:vAlign w:val="bottom"/>
            <w:tcBorders>
              <w:bottom w:val="single" w:sz="8" w:color="auto"/>
            </w:tcBorders>
            <w:shd w:val="clear" w:color="auto" w:fill="CFF0FC"/>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payments outstanding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95,000,000</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-1396365</wp:posOffset>
            </wp:positionV>
            <wp:extent cx="111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-1379220</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Company was in compliance with all covenants and requirements of its financing arrangements as of and during the nine months ended September 30,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Net Loss per Common Share</w:t>
      </w:r>
    </w:p>
    <w:p>
      <w:pPr>
        <w:spacing w:after="0" w:line="1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following table sets forth the computation of basic and diluted net loss per common share: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4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0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(44,823,212 )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(34,882,677 )</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(125,894,039 )</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(96,426,856 )</w:t>
            </w:r>
          </w:p>
        </w:tc>
        <w:tc>
          <w:tcPr>
            <w:tcW w:w="0" w:type="dxa"/>
            <w:vAlign w:val="bottom"/>
          </w:tcPr>
          <w:p>
            <w:pPr>
              <w:spacing w:after="0"/>
              <w:rPr>
                <w:sz w:val="1"/>
                <w:szCs w:val="1"/>
                <w:color w:val="auto"/>
              </w:rPr>
            </w:pPr>
          </w:p>
        </w:tc>
      </w:tr>
      <w:tr>
        <w:trPr>
          <w:trHeight w:val="171"/>
        </w:trPr>
        <w:tc>
          <w:tcPr>
            <w:tcW w:w="52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18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41,704,362</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37,680,966</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39,715,261</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37,569,416</w:t>
            </w:r>
          </w:p>
        </w:tc>
        <w:tc>
          <w:tcPr>
            <w:tcW w:w="0" w:type="dxa"/>
            <w:vAlign w:val="bottom"/>
          </w:tcPr>
          <w:p>
            <w:pPr>
              <w:spacing w:after="0"/>
              <w:rPr>
                <w:sz w:val="1"/>
                <w:szCs w:val="1"/>
                <w:color w:val="auto"/>
              </w:rPr>
            </w:pPr>
          </w:p>
        </w:tc>
      </w:tr>
      <w:tr>
        <w:trPr>
          <w:trHeight w:val="221"/>
        </w:trPr>
        <w:tc>
          <w:tcPr>
            <w:tcW w:w="5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838"/>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-650875</wp:posOffset>
            </wp:positionV>
            <wp:extent cx="7683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-650875</wp:posOffset>
            </wp:positionV>
            <wp:extent cx="685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-650875</wp:posOffset>
            </wp:positionV>
            <wp:extent cx="685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61" w:lineRule="exact"/>
        <w:rPr>
          <w:sz w:val="20"/>
          <w:szCs w:val="20"/>
          <w:color w:val="auto"/>
        </w:rPr>
      </w:pPr>
    </w:p>
    <w:p>
      <w:pPr>
        <w:ind w:right="100" w:firstLine="749"/>
        <w:spacing w:after="0" w:line="280" w:lineRule="auto"/>
        <w:rPr>
          <w:sz w:val="20"/>
          <w:szCs w:val="20"/>
          <w:color w:val="auto"/>
        </w:rPr>
      </w:pPr>
      <w:r>
        <w:rPr>
          <w:rFonts w:ascii="Times New Roman" w:cs="Times New Roman" w:eastAsia="Times New Roman" w:hAnsi="Times New Roman"/>
          <w:sz w:val="16"/>
          <w:szCs w:val="16"/>
          <w:color w:val="auto"/>
        </w:rPr>
        <w:t>The following potentially dilutive securities outstanding at September 30, 2022 and 2021 have been excluded from the computation of diluted weighted average shares outstanding, as they would be anti-dilutive: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226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tcBorders>
              <w:bottom w:val="single" w:sz="8" w:color="auto"/>
            </w:tcBorders>
          </w:tcPr>
          <w:p>
            <w:pPr>
              <w:spacing w:after="0"/>
              <w:rPr>
                <w:sz w:val="16"/>
                <w:szCs w:val="16"/>
                <w:color w:val="auto"/>
              </w:rPr>
            </w:pPr>
          </w:p>
        </w:tc>
      </w:tr>
      <w:tr>
        <w:trPr>
          <w:trHeight w:val="169"/>
        </w:trPr>
        <w:tc>
          <w:tcPr>
            <w:tcW w:w="7800" w:type="dxa"/>
            <w:vAlign w:val="bottom"/>
          </w:tcPr>
          <w:p>
            <w:pPr>
              <w:spacing w:after="0"/>
              <w:rPr>
                <w:sz w:val="14"/>
                <w:szCs w:val="14"/>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6,544,883</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4,594,842</w:t>
            </w:r>
          </w:p>
        </w:tc>
      </w:tr>
      <w:tr>
        <w:trPr>
          <w:trHeight w:val="21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686,933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302,001</w:t>
            </w:r>
          </w:p>
        </w:tc>
      </w:tr>
      <w:tr>
        <w:trPr>
          <w:trHeight w:val="216"/>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6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50,796</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15,541</w:t>
            </w:r>
          </w:p>
        </w:tc>
      </w:tr>
      <w:tr>
        <w:trPr>
          <w:trHeight w:val="20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7,282,612</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4,912,384</w:t>
            </w:r>
          </w:p>
        </w:tc>
      </w:tr>
      <w:tr>
        <w:trPr>
          <w:trHeight w:val="20"/>
        </w:trPr>
        <w:tc>
          <w:tcPr>
            <w:tcW w:w="78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-170815</wp:posOffset>
            </wp:positionV>
            <wp:extent cx="11112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Leases</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For the three and nine months ended September 30, 2022 and 2021, the Company had the following operating lease expense: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tcPr>
          <w:p>
            <w:pPr>
              <w:spacing w:after="0"/>
              <w:rPr>
                <w:sz w:val="16"/>
                <w:szCs w:val="16"/>
                <w:color w:val="auto"/>
              </w:rPr>
            </w:pPr>
          </w:p>
        </w:tc>
        <w:tc>
          <w:tcPr>
            <w:tcW w:w="2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26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8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2700" w:type="dxa"/>
            <w:vAlign w:val="bottom"/>
            <w:gridSpan w:val="2"/>
            <w:vMerge w:val="continue"/>
          </w:tcPr>
          <w:p>
            <w:pPr>
              <w:spacing w:after="0"/>
              <w:rPr>
                <w:sz w:val="14"/>
                <w:szCs w:val="14"/>
                <w:color w:val="auto"/>
              </w:rPr>
            </w:pPr>
          </w:p>
        </w:tc>
        <w:tc>
          <w:tcPr>
            <w:tcW w:w="1220" w:type="dxa"/>
            <w:vAlign w:val="bottom"/>
            <w:tcBorders>
              <w:top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8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25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Selling, general and administrative</w:t>
            </w:r>
          </w:p>
        </w:tc>
        <w:tc>
          <w:tcPr>
            <w:tcW w:w="1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290,770</w:t>
            </w:r>
          </w:p>
        </w:tc>
        <w:tc>
          <w:tcPr>
            <w:tcW w:w="24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286,923</w:t>
            </w: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872,308</w:t>
            </w:r>
          </w:p>
        </w:tc>
        <w:tc>
          <w:tcPr>
            <w:tcW w:w="20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860,769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8160" w:type="dxa"/>
            <w:vAlign w:val="bottom"/>
            <w:gridSpan w:val="6"/>
          </w:tcPr>
          <w:p>
            <w:pPr>
              <w:jc w:val="right"/>
              <w:ind w:right="130"/>
              <w:spacing w:after="0"/>
              <w:rPr>
                <w:sz w:val="20"/>
                <w:szCs w:val="20"/>
                <w:color w:val="auto"/>
              </w:rPr>
            </w:pPr>
            <w:r>
              <w:rPr>
                <w:rFonts w:ascii="Times New Roman" w:cs="Times New Roman" w:eastAsia="Times New Roman" w:hAnsi="Times New Roman"/>
                <w:sz w:val="16"/>
                <w:szCs w:val="16"/>
                <w:color w:val="auto"/>
              </w:rPr>
              <w:t>Future minimum lease payments of the Company’s operating leases as of September 30, 2022 were as follows: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7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7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5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8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(3,124 )</w:t>
            </w:r>
          </w:p>
        </w:tc>
        <w:tc>
          <w:tcPr>
            <w:tcW w:w="0" w:type="dxa"/>
            <w:vAlign w:val="bottom"/>
          </w:tcPr>
          <w:p>
            <w:pPr>
              <w:spacing w:after="0"/>
              <w:rPr>
                <w:sz w:val="1"/>
                <w:szCs w:val="1"/>
                <w:color w:val="auto"/>
              </w:rPr>
            </w:pPr>
          </w:p>
        </w:tc>
      </w:tr>
      <w:tr>
        <w:trPr>
          <w:trHeight w:val="209"/>
        </w:trPr>
        <w:tc>
          <w:tcPr>
            <w:tcW w:w="5480" w:type="dxa"/>
            <w:vAlign w:val="bottom"/>
            <w:tcBorders>
              <w:top w:val="single" w:sz="8" w:color="CFF0FC"/>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2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gridSpan w:val="2"/>
          </w:tcPr>
          <w:p>
            <w:pPr>
              <w:spacing w:after="0"/>
              <w:rPr>
                <w:sz w:val="18"/>
                <w:szCs w:val="18"/>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416,876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6"/>
          <w:szCs w:val="16"/>
          <w:color w:val="auto"/>
        </w:rPr>
        <w:t>In August 2022, the Company entered into an agreement to extend the lease of 22 Cortlandt Street through April 30, 2023. As of September 30, 2022, the remaining lease term for our operating lease was 0.6 years with a discount rate of 6.0%.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Stockholders’ Equity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Structure</w:t>
      </w:r>
    </w:p>
    <w:p>
      <w:pPr>
        <w:spacing w:after="0" w:line="223"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6"/>
          <w:szCs w:val="16"/>
          <w:color w:val="auto"/>
        </w:rPr>
        <w:t>In December 2019, the Company entered into the December 2019 Sales Agreement with SVB Securities LLC (formerly known as SVB Leerink LLC) (“SVB Securities”), pursuant to which the Company may sell up to $80 million in shares of the Company’s common stock from time to time through SVB Securities, acting as the Company’s sales agent, in one or more at-the-market offerings utilizing the 2019 Shelf Registration Statement (as defined below). SVB Securities is entitled to receive a commission of 3.0% of the gross proceeds for any shares sold under the December 2019 Sales Agreement. The December 2019 Sales Agreement was replaced by the March 2022 Sales Agreement (see below).</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6"/>
          <w:szCs w:val="16"/>
          <w:color w:val="auto"/>
        </w:rPr>
        <w:t>In March 2022, the Company entered into the March 2022 Sales Agreement with SVB Securities, pursuant to which the Company may sell up to $200 million in shares of the Company’s common stock from time to time through SVB Securities, acting as the Company’s sales agent, in one or more at-the-market offerings utilizing the 2019 Shelf Registration Statement. SVB Securities is entitled to receive a commission of up to 3.0% of the gross proceeds for any shares sold under the March 2022 Sales Agreement. The March 2022 Sales Agreement supersedes the December 2019 Sales Agreement, dated December 5, 2019, by and between the Company and SVB Securities. The Company exhausted sales of its shares of the Company’s common stock under its prior at-the-market offering program.</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In August 2022, the Company filed a prospectus supplement to the 2019 Shelf Registration Statement for the issuance and sale, if any, of up to an additional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$250 million in shares of the Company’s common stock The Company will pay SVB Securities a commission of up to 3.0% of the gross sales proceeds of any shares sold</w:t>
      </w:r>
    </w:p>
    <w:p>
      <w:pPr>
        <w:spacing w:after="0"/>
        <w:rPr>
          <w:sz w:val="20"/>
          <w:szCs w:val="20"/>
          <w:color w:val="auto"/>
        </w:rPr>
      </w:pPr>
      <w:r>
        <w:rPr>
          <w:rFonts w:ascii="Times New Roman" w:cs="Times New Roman" w:eastAsia="Times New Roman" w:hAnsi="Times New Roman"/>
          <w:sz w:val="16"/>
          <w:szCs w:val="16"/>
          <w:color w:val="auto"/>
        </w:rPr>
        <w:t>through SVB Securities, acting as sales agent, under the March 2022 Sales Agreement.</w:t>
      </w:r>
    </w:p>
    <w:p>
      <w:pPr>
        <w:spacing w:after="0" w:line="203" w:lineRule="exact"/>
        <w:rPr>
          <w:sz w:val="20"/>
          <w:szCs w:val="20"/>
          <w:color w:val="auto"/>
        </w:rPr>
      </w:pPr>
    </w:p>
    <w:p>
      <w:pPr>
        <w:ind w:right="720" w:firstLine="749"/>
        <w:spacing w:after="0" w:line="280" w:lineRule="auto"/>
        <w:rPr>
          <w:sz w:val="20"/>
          <w:szCs w:val="20"/>
          <w:color w:val="auto"/>
        </w:rPr>
      </w:pPr>
      <w:r>
        <w:rPr>
          <w:rFonts w:ascii="Times New Roman" w:cs="Times New Roman" w:eastAsia="Times New Roman" w:hAnsi="Times New Roman"/>
          <w:sz w:val="16"/>
          <w:szCs w:val="16"/>
          <w:color w:val="auto"/>
        </w:rPr>
        <w:t>Under the December 2019 Sales Agreement and March 2022 Sales Agreement, for the nine months ended September 30, 2022, the Company received approximately $238.8 million in gross proceeds through the sale of 5,167,973 shares, of which net proceeds were approximately $231.8 million.</w:t>
      </w:r>
    </w:p>
    <w:p>
      <w:pPr>
        <w:spacing w:after="0" w:line="165" w:lineRule="exact"/>
        <w:rPr>
          <w:sz w:val="20"/>
          <w:szCs w:val="20"/>
          <w:color w:val="auto"/>
        </w:rPr>
      </w:pPr>
    </w:p>
    <w:p>
      <w:pPr>
        <w:ind w:right="280" w:firstLine="749"/>
        <w:spacing w:after="0" w:line="280" w:lineRule="auto"/>
        <w:rPr>
          <w:sz w:val="20"/>
          <w:szCs w:val="20"/>
          <w:color w:val="auto"/>
        </w:rPr>
      </w:pPr>
      <w:r>
        <w:rPr>
          <w:rFonts w:ascii="Times New Roman" w:cs="Times New Roman" w:eastAsia="Times New Roman" w:hAnsi="Times New Roman"/>
          <w:sz w:val="16"/>
          <w:szCs w:val="16"/>
          <w:color w:val="auto"/>
        </w:rPr>
        <w:t>Upon the closing of the Second Amendment, Hercules also purchased 152,487 of the Company’s unregistered common stock for a total consideration of $5.0 million at a share price equal to $32.79 per share, pursuant to a share transfer agreement.</w:t>
      </w:r>
    </w:p>
    <w:p>
      <w:pPr>
        <w:spacing w:after="0" w:line="151" w:lineRule="exact"/>
        <w:rPr>
          <w:sz w:val="20"/>
          <w:szCs w:val="20"/>
          <w:color w:val="auto"/>
        </w:rPr>
      </w:pPr>
    </w:p>
    <w:p>
      <w:pPr>
        <w:ind w:right="60" w:firstLine="749"/>
        <w:spacing w:after="0" w:line="280" w:lineRule="auto"/>
        <w:rPr>
          <w:sz w:val="20"/>
          <w:szCs w:val="20"/>
          <w:color w:val="auto"/>
        </w:rPr>
      </w:pPr>
      <w:r>
        <w:rPr>
          <w:rFonts w:ascii="Times New Roman" w:cs="Times New Roman" w:eastAsia="Times New Roman" w:hAnsi="Times New Roman"/>
          <w:sz w:val="16"/>
          <w:szCs w:val="16"/>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Shelf Registration Statement</w:t>
      </w:r>
    </w:p>
    <w:p>
      <w:pPr>
        <w:spacing w:after="0" w:line="223" w:lineRule="exact"/>
        <w:rPr>
          <w:sz w:val="20"/>
          <w:szCs w:val="20"/>
          <w:color w:val="auto"/>
        </w:rPr>
      </w:pPr>
    </w:p>
    <w:p>
      <w:pPr>
        <w:ind w:right="200" w:firstLine="749"/>
        <w:spacing w:after="0" w:line="252" w:lineRule="auto"/>
        <w:rPr>
          <w:sz w:val="20"/>
          <w:szCs w:val="20"/>
          <w:color w:val="auto"/>
        </w:rPr>
      </w:pPr>
      <w:r>
        <w:rPr>
          <w:rFonts w:ascii="Times New Roman" w:cs="Times New Roman" w:eastAsia="Times New Roman" w:hAnsi="Times New Roman"/>
          <w:sz w:val="16"/>
          <w:szCs w:val="16"/>
          <w:color w:val="auto"/>
        </w:rPr>
        <w:t>On December 5, 2019, the Company filed an automatic shelf registration statement (“2019 Shelf Registration”) with the Securities and Exchange Commission (“SEC”) for the issuance of common stock, preferred stock, warrants, rights, debt securities and units. It became effective upon filing with the SEC and is currently the Company’s only active shelf registration. Through the date of this report, the Company has issued common stock of approximately $473.0 million pursuant to such shelf registration statement.</w:t>
      </w:r>
    </w:p>
    <w:p>
      <w:pPr>
        <w:spacing w:after="0" w:line="186" w:lineRule="exact"/>
        <w:rPr>
          <w:sz w:val="20"/>
          <w:szCs w:val="20"/>
          <w:color w:val="auto"/>
        </w:rPr>
      </w:pPr>
    </w:p>
    <w:p>
      <w:pPr>
        <w:ind w:right="160" w:firstLine="749"/>
        <w:spacing w:after="0" w:line="252" w:lineRule="auto"/>
        <w:rPr>
          <w:sz w:val="20"/>
          <w:szCs w:val="20"/>
          <w:color w:val="auto"/>
        </w:rPr>
      </w:pPr>
      <w:r>
        <w:rPr>
          <w:rFonts w:ascii="Times New Roman" w:cs="Times New Roman" w:eastAsia="Times New Roman" w:hAnsi="Times New Roman"/>
          <w:sz w:val="16"/>
          <w:szCs w:val="16"/>
          <w:color w:val="auto"/>
        </w:rPr>
        <w:t>Under SEC rules, the 2019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2019 Shelf Registration Statement are offered for sale, a prospectus supplement will be prepared and filed with the SEC containing specific information about the terms of any such offering.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Incentive Plans</w:t>
      </w:r>
    </w:p>
    <w:p>
      <w:pPr>
        <w:spacing w:after="0" w:line="223" w:lineRule="exact"/>
        <w:rPr>
          <w:sz w:val="20"/>
          <w:szCs w:val="20"/>
          <w:color w:val="auto"/>
        </w:rPr>
      </w:pPr>
    </w:p>
    <w:p>
      <w:pPr>
        <w:ind w:firstLine="749"/>
        <w:spacing w:after="0" w:line="280" w:lineRule="auto"/>
        <w:rPr>
          <w:sz w:val="20"/>
          <w:szCs w:val="20"/>
          <w:color w:val="auto"/>
        </w:rPr>
      </w:pPr>
      <w:r>
        <w:rPr>
          <w:rFonts w:ascii="Times New Roman" w:cs="Times New Roman" w:eastAsia="Times New Roman" w:hAnsi="Times New Roman"/>
          <w:sz w:val="16"/>
          <w:szCs w:val="16"/>
          <w:color w:val="auto"/>
        </w:rPr>
        <w:t>There were 3,097,314 shares available for the issuance of stock options or stock-based awards under the Company’s 2015 Omnibus Incentive Compensation Plan at September 30,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following table sets forth the stock option activity for the nine months ended September 30,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2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jc w:val="right"/>
              <w:ind w:right="317"/>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3"/>
                <w:szCs w:val="13"/>
                <w:color w:val="auto"/>
              </w:rPr>
            </w:pPr>
          </w:p>
        </w:tc>
        <w:tc>
          <w:tcPr>
            <w:tcW w:w="1280" w:type="dxa"/>
            <w:vAlign w:val="bottom"/>
          </w:tcPr>
          <w:p>
            <w:pPr>
              <w:jc w:val="center"/>
              <w:ind w:right="44"/>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ind w:right="239"/>
              <w:spacing w:after="0" w:line="160"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term</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5,090,377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2,039,978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37.03</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(271,371 )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(288,929 )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(25,172 )</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49.22</w:t>
            </w: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230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6,544,883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31.26</w:t>
            </w:r>
          </w:p>
        </w:tc>
        <w:tc>
          <w:tcPr>
            <w:tcW w:w="140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117,059,731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 September 30, 2022</w:t>
            </w:r>
          </w:p>
        </w:tc>
        <w:tc>
          <w:tcPr>
            <w:tcW w:w="11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7"/>
              <w:spacing w:after="0" w:line="196" w:lineRule="exact"/>
              <w:rPr>
                <w:sz w:val="20"/>
                <w:szCs w:val="20"/>
                <w:color w:val="auto"/>
              </w:rPr>
            </w:pPr>
            <w:r>
              <w:rPr>
                <w:rFonts w:ascii="Times New Roman" w:cs="Times New Roman" w:eastAsia="Times New Roman" w:hAnsi="Times New Roman"/>
                <w:sz w:val="18"/>
                <w:szCs w:val="18"/>
                <w:color w:val="auto"/>
              </w:rPr>
              <w:t>6,544,883</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31.26</w:t>
            </w:r>
          </w:p>
        </w:tc>
        <w:tc>
          <w:tcPr>
            <w:tcW w:w="1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44"/>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117,059,731</w:t>
            </w:r>
          </w:p>
        </w:tc>
        <w:tc>
          <w:tcPr>
            <w:tcW w:w="0" w:type="dxa"/>
            <w:vAlign w:val="bottom"/>
          </w:tcPr>
          <w:p>
            <w:pPr>
              <w:spacing w:after="0"/>
              <w:rPr>
                <w:sz w:val="1"/>
                <w:szCs w:val="1"/>
                <w:color w:val="auto"/>
              </w:rPr>
            </w:pPr>
          </w:p>
        </w:tc>
      </w:tr>
      <w:tr>
        <w:trPr>
          <w:trHeight w:val="196"/>
        </w:trPr>
        <w:tc>
          <w:tcPr>
            <w:tcW w:w="4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September 30, 2022</w:t>
            </w:r>
          </w:p>
        </w:tc>
        <w:tc>
          <w:tcPr>
            <w:tcW w:w="2300" w:type="dxa"/>
            <w:vAlign w:val="bottom"/>
            <w:gridSpan w:val="2"/>
          </w:tcPr>
          <w:p>
            <w:pPr>
              <w:jc w:val="right"/>
              <w:ind w:right="57"/>
              <w:spacing w:after="0" w:line="196" w:lineRule="exact"/>
              <w:rPr>
                <w:sz w:val="20"/>
                <w:szCs w:val="20"/>
                <w:color w:val="auto"/>
              </w:rPr>
            </w:pPr>
            <w:r>
              <w:rPr>
                <w:rFonts w:ascii="Times New Roman" w:cs="Times New Roman" w:eastAsia="Times New Roman" w:hAnsi="Times New Roman"/>
                <w:sz w:val="18"/>
                <w:szCs w:val="18"/>
                <w:color w:val="auto"/>
              </w:rPr>
              <w:t>3,184,788</w:t>
            </w: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19.99</w:t>
            </w:r>
          </w:p>
        </w:tc>
        <w:tc>
          <w:tcPr>
            <w:tcW w:w="1400" w:type="dxa"/>
            <w:vAlign w:val="bottom"/>
            <w:gridSpan w:val="2"/>
          </w:tcPr>
          <w:p>
            <w:pPr>
              <w:jc w:val="right"/>
              <w:ind w:right="44"/>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32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88,486,468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6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-976630</wp:posOffset>
            </wp:positionV>
            <wp:extent cx="7683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-668020</wp:posOffset>
            </wp:positionV>
            <wp:extent cx="1859915"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5991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64"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16"/>
          <w:szCs w:val="16"/>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191" w:lineRule="exact"/>
        <w:rPr>
          <w:sz w:val="20"/>
          <w:szCs w:val="20"/>
          <w:color w:val="auto"/>
        </w:rPr>
      </w:pPr>
    </w:p>
    <w:p>
      <w:pPr>
        <w:ind w:right="120" w:firstLine="749"/>
        <w:spacing w:after="0" w:line="199" w:lineRule="exact"/>
        <w:rPr>
          <w:sz w:val="20"/>
          <w:szCs w:val="20"/>
          <w:color w:val="auto"/>
        </w:rPr>
      </w:pPr>
      <w:r>
        <w:rPr>
          <w:rFonts w:ascii="Times New Roman" w:cs="Times New Roman" w:eastAsia="Times New Roman" w:hAnsi="Times New Roman"/>
          <w:sz w:val="16"/>
          <w:szCs w:val="16"/>
          <w:color w:val="auto"/>
        </w:rPr>
        <w:t>The weighted average grant date fair value of options granted was $28.07 per option for the nine months ended September 30, 2022. As of September 30, 2022, there was $97.7 million of total unrecognized compensation cost related to non-vested stock options which is expected to be recognized over a weighted average period of 3.1 years. These amounts do not include 6,169 options outstanding as of September 30, 2022, which are performance-based and vest upon the achievement of certain corporate milestones. 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will be measured and recorded if and when it is probable that the milestone will occur.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22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6"/>
          <w:szCs w:val="16"/>
          <w:color w:val="auto"/>
        </w:rPr>
        <w:t>In 2020, the Company began granting RSUs covering an equal number of its shares of common stock to employees. The fair value of RSUs is determined on the date of the grant based on the market price of its shares of common stock as of that date. The fair value of the RSUs is recognized as an expense ratably over the vesting period of four years. As of September 30, 2022, total compensation cost not yet recognized related to unvested RSUs was $18.4 million, which is expected to be recognized over a weighted-average period of 3.2 years.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following table sets forth the RSU activity for the nine months ended September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9"/>
        </w:trPr>
        <w:tc>
          <w:tcPr>
            <w:tcW w:w="7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60"/>
        </w:trPr>
        <w:tc>
          <w:tcPr>
            <w:tcW w:w="7720" w:type="dxa"/>
            <w:vAlign w:val="bottom"/>
          </w:tcPr>
          <w:p>
            <w:pPr>
              <w:spacing w:after="0"/>
              <w:rPr>
                <w:sz w:val="13"/>
                <w:szCs w:val="13"/>
                <w:color w:val="auto"/>
              </w:rPr>
            </w:pPr>
          </w:p>
        </w:tc>
        <w:tc>
          <w:tcPr>
            <w:tcW w:w="1620" w:type="dxa"/>
            <w:vAlign w:val="bottom"/>
          </w:tcPr>
          <w:p>
            <w:pPr>
              <w:jc w:val="right"/>
              <w:ind w:right="515"/>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center"/>
              <w:ind w:right="318"/>
              <w:spacing w:after="0" w:line="160"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9"/>
        </w:trPr>
        <w:tc>
          <w:tcPr>
            <w:tcW w:w="7720" w:type="dxa"/>
            <w:vAlign w:val="bottom"/>
          </w:tcPr>
          <w:p>
            <w:pPr>
              <w:spacing w:after="0"/>
              <w:rPr>
                <w:sz w:val="16"/>
                <w:szCs w:val="16"/>
                <w:color w:val="auto"/>
              </w:rPr>
            </w:pPr>
          </w:p>
        </w:tc>
        <w:tc>
          <w:tcPr>
            <w:tcW w:w="16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6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302,764</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42.93</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517,853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26.39</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(69,566 )</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43.39</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(64,118 )</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30.06</w:t>
            </w: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6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686,933</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-24765</wp:posOffset>
            </wp:positionV>
            <wp:extent cx="1111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1111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Stock-based compensation expense recognized for the three and nine months ended September 30, 2022 and 2021 was allocated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1,778,234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1,979,765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6,267,559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5,816,664</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7,419,427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3,745,452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20,690,109</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9,095,892</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9,197,661</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5,725,217</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26,957,668</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14,912,556</w:t>
            </w:r>
          </w:p>
        </w:tc>
        <w:tc>
          <w:tcPr>
            <w:tcW w:w="0" w:type="dxa"/>
            <w:vAlign w:val="bottom"/>
          </w:tcPr>
          <w:p>
            <w:pPr>
              <w:spacing w:after="0"/>
              <w:rPr>
                <w:sz w:val="1"/>
                <w:szCs w:val="1"/>
                <w:color w:val="auto"/>
              </w:rPr>
            </w:pPr>
          </w:p>
        </w:tc>
      </w:tr>
      <w:tr>
        <w:trPr>
          <w:trHeight w:val="366"/>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040" w:type="dxa"/>
            <w:vAlign w:val="bottom"/>
            <w:gridSpan w:val="4"/>
          </w:tcPr>
          <w:p>
            <w:pPr>
              <w:ind w:left="760"/>
              <w:spacing w:after="0"/>
              <w:rPr>
                <w:sz w:val="20"/>
                <w:szCs w:val="20"/>
                <w:color w:val="auto"/>
              </w:rPr>
            </w:pPr>
            <w:r>
              <w:rPr>
                <w:rFonts w:ascii="Times New Roman" w:cs="Times New Roman" w:eastAsia="Times New Roman" w:hAnsi="Times New Roman"/>
                <w:sz w:val="16"/>
                <w:szCs w:val="16"/>
                <w:color w:val="auto"/>
              </w:rPr>
              <w:t>The following table summarizes warrant activity for the nine months ended September 30, 2022:</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right="5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55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40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15,541</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80.43</w:t>
            </w:r>
          </w:p>
        </w:tc>
        <w:tc>
          <w:tcPr>
            <w:tcW w:w="0" w:type="dxa"/>
            <w:vAlign w:val="bottom"/>
          </w:tcPr>
          <w:p>
            <w:pPr>
              <w:spacing w:after="0"/>
              <w:rPr>
                <w:sz w:val="1"/>
                <w:szCs w:val="1"/>
                <w:color w:val="auto"/>
              </w:rPr>
            </w:pPr>
          </w:p>
        </w:tc>
      </w:tr>
      <w:tr>
        <w:trPr>
          <w:trHeight w:val="216"/>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35,255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31.91</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50,796</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0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-2073910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-2056765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-2073910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-2056765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-2073910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-2056765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-659765</wp:posOffset>
            </wp:positionV>
            <wp:extent cx="11112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Outstanding Warrants</w:t>
      </w:r>
    </w:p>
    <w:p>
      <w:pPr>
        <w:spacing w:after="0" w:line="223" w:lineRule="exact"/>
        <w:rPr>
          <w:sz w:val="20"/>
          <w:szCs w:val="20"/>
          <w:color w:val="auto"/>
        </w:rPr>
      </w:pPr>
    </w:p>
    <w:p>
      <w:pPr>
        <w:ind w:firstLine="749"/>
        <w:spacing w:after="0" w:line="263" w:lineRule="auto"/>
        <w:rPr>
          <w:sz w:val="20"/>
          <w:szCs w:val="20"/>
          <w:color w:val="auto"/>
        </w:rPr>
      </w:pPr>
      <w:r>
        <w:rPr>
          <w:rFonts w:ascii="Times New Roman" w:cs="Times New Roman" w:eastAsia="Times New Roman" w:hAnsi="Times New Roman"/>
          <w:sz w:val="16"/>
          <w:szCs w:val="16"/>
          <w:color w:val="auto"/>
        </w:rPr>
        <w:t>In connection with the entry into the Second Amendment, Hercules received warrants to purchase an aggregate 35,255 shares of the Company’s common stock at an exercise price of $31.91 per share ("2022 warrants") and in connection with the first advance of the 2020 Term Loan, Hercules received warrants to purchase an aggregate 15,541 shares of the Company’s common stock at an exercise price of $80.43 per share ("2020 warrants").</w:t>
      </w:r>
    </w:p>
    <w:p>
      <w:pPr>
        <w:spacing w:after="0" w:line="178"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6"/>
          <w:szCs w:val="16"/>
          <w:color w:val="auto"/>
        </w:rPr>
        <w:t>Both the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$0.8 million for the 2022 warrants and $0.9 million for the 2020 warrants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License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Exclusive License Agreement with Pfizer</w:t>
      </w:r>
    </w:p>
    <w:p>
      <w:pPr>
        <w:spacing w:after="0" w:line="223" w:lineRule="exact"/>
        <w:rPr>
          <w:sz w:val="20"/>
          <w:szCs w:val="20"/>
          <w:color w:val="auto"/>
        </w:rPr>
      </w:pPr>
    </w:p>
    <w:p>
      <w:pPr>
        <w:ind w:right="80" w:firstLine="749"/>
        <w:spacing w:after="0" w:line="252" w:lineRule="auto"/>
        <w:rPr>
          <w:sz w:val="20"/>
          <w:szCs w:val="20"/>
          <w:color w:val="auto"/>
        </w:rPr>
      </w:pPr>
      <w:r>
        <w:rPr>
          <w:rFonts w:ascii="Times New Roman" w:cs="Times New Roman" w:eastAsia="Times New Roman" w:hAnsi="Times New Roman"/>
          <w:sz w:val="16"/>
          <w:szCs w:val="16"/>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86"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6"/>
          <w:szCs w:val="16"/>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2020.</w:t>
      </w:r>
    </w:p>
    <w:p>
      <w:pPr>
        <w:spacing w:after="0" w:line="189" w:lineRule="exact"/>
        <w:rPr>
          <w:sz w:val="20"/>
          <w:szCs w:val="20"/>
          <w:color w:val="auto"/>
        </w:rPr>
      </w:pPr>
    </w:p>
    <w:p>
      <w:pPr>
        <w:ind w:right="240" w:firstLine="749"/>
        <w:spacing w:after="0" w:line="263" w:lineRule="auto"/>
        <w:rPr>
          <w:sz w:val="20"/>
          <w:szCs w:val="20"/>
          <w:color w:val="auto"/>
        </w:rPr>
      </w:pPr>
      <w:r>
        <w:rPr>
          <w:rFonts w:ascii="Times New Roman" w:cs="Times New Roman" w:eastAsia="Times New Roman" w:hAnsi="Times New Roman"/>
          <w:sz w:val="16"/>
          <w:szCs w:val="16"/>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AXS-14. During the three and nine months ended September 30, 2022 and 2021, no milestone payments or royalties were paid to Pfizer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Exclusive License Agreements with Antecip</w:t>
      </w:r>
    </w:p>
    <w:p>
      <w:pPr>
        <w:spacing w:after="0" w:line="210"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6"/>
          <w:szCs w:val="16"/>
          <w:color w:val="auto"/>
        </w:rPr>
        <w:t>In 2012, the Company entered into three exclusive license agreements with Antecip, in which it was granted exclusive licenses to develop, manufacture, and commercialize Antecip’s patents and applications related to the development of AXS-02, AXS-05, and AXS-04, anywhere in the world for human therapeutic, veterinary, and diagnostic use. Pursuant to the agreements, the Company is required to use commercially reasonable efforts to develop, obtain regulatory approval for and commercialize AXS-02, AXS-05, and AXS-04. Under the terms of the agreements, the Company is required to pay to Antecip a royalty equal to 4.5% for AXS-02, 3.0% for AXS-05, and 1.5% for AXS-04,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To date, the Company has not been required to make any payments to Antecip under any of the license agreements.</w:t>
      </w:r>
    </w:p>
    <w:p>
      <w:pPr>
        <w:spacing w:after="0" w:line="383" w:lineRule="exact"/>
        <w:rPr>
          <w:sz w:val="20"/>
          <w:szCs w:val="20"/>
          <w:color w:val="auto"/>
        </w:rPr>
      </w:pPr>
    </w:p>
    <w:p>
      <w:pPr>
        <w:ind w:right="460" w:firstLine="749"/>
        <w:spacing w:after="0" w:line="280" w:lineRule="auto"/>
        <w:rPr>
          <w:sz w:val="20"/>
          <w:szCs w:val="20"/>
          <w:color w:val="auto"/>
        </w:rPr>
      </w:pPr>
      <w:r>
        <w:rPr>
          <w:rFonts w:ascii="Times New Roman" w:cs="Times New Roman" w:eastAsia="Times New Roman" w:hAnsi="Times New Roman"/>
          <w:sz w:val="16"/>
          <w:szCs w:val="16"/>
          <w:color w:val="auto"/>
        </w:rPr>
        <w:t>In connection with the 2020 Term Loan, the Company entered into a Direct Agreement with Antecip pursuant to which Antecip consented to the collateral assignment of the License Agreement to Hercules, among other things.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Royalty Agreements</w:t>
      </w:r>
    </w:p>
    <w:p>
      <w:pPr>
        <w:spacing w:after="0" w:line="22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6"/>
          <w:szCs w:val="16"/>
          <w:color w:val="auto"/>
        </w:rPr>
        <w:t>Pursuant to the Purchase Agreement, the Company agreed to make non-refundable, non-creditable royalty payments to Jazz equal to a (A) high-single digit royalty for any Current Indication (as defined in the Purchase Agreement), or (B) mid-single digit royalty for any Future Indication (as defined in the Purchase Agreement), of Net Sales (as defined in the Purchase Agreement) in the U.S. Territory (as defined in the Purchase Agreement) made during the applicable Royalty Term (as defined in the Purchase Agreement). There are no royalty payments due to Jazz for Net Sales outside of the U.S. Territory.</w:t>
      </w:r>
    </w:p>
    <w:p>
      <w:pPr>
        <w:spacing w:after="0" w:line="186" w:lineRule="exact"/>
        <w:rPr>
          <w:sz w:val="20"/>
          <w:szCs w:val="20"/>
          <w:color w:val="auto"/>
        </w:rPr>
      </w:pPr>
    </w:p>
    <w:p>
      <w:pPr>
        <w:jc w:val="both"/>
        <w:ind w:right="60" w:firstLine="749"/>
        <w:spacing w:after="0" w:line="258" w:lineRule="auto"/>
        <w:rPr>
          <w:sz w:val="20"/>
          <w:szCs w:val="20"/>
          <w:color w:val="auto"/>
        </w:rPr>
      </w:pPr>
      <w:r>
        <w:rPr>
          <w:rFonts w:ascii="Times New Roman" w:cs="Times New Roman" w:eastAsia="Times New Roman" w:hAnsi="Times New Roman"/>
          <w:sz w:val="16"/>
          <w:szCs w:val="16"/>
          <w:color w:val="auto"/>
        </w:rPr>
        <w:t>At the initial closing, the Company assumed all of the commitments of Jazz to SK and Aerial. SK is the originator of the Product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$165 million based on revenue milestones and $1 million based on development milestones.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2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6"/>
          <w:szCs w:val="16"/>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83" w:lineRule="exact"/>
        <w:rPr>
          <w:sz w:val="20"/>
          <w:szCs w:val="20"/>
          <w:color w:val="auto"/>
        </w:rPr>
      </w:pPr>
    </w:p>
    <w:p>
      <w:pPr>
        <w:ind w:right="40" w:firstLine="749"/>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2021 </w:t>
      </w:r>
      <w:r>
        <w:rPr>
          <w:rFonts w:ascii="Times New Roman" w:cs="Times New Roman" w:eastAsia="Times New Roman" w:hAnsi="Times New Roman"/>
          <w:sz w:val="16"/>
          <w:szCs w:val="16"/>
          <w:color w:val="auto"/>
        </w:rPr>
        <w:t>which wa</w:t>
      </w:r>
      <w:r>
        <w:rPr>
          <w:rFonts w:ascii="Times New Roman" w:cs="Times New Roman" w:eastAsia="Times New Roman" w:hAnsi="Times New Roman"/>
          <w:sz w:val="16"/>
          <w:szCs w:val="16"/>
          <w:i w:val="1"/>
          <w:iCs w:val="1"/>
          <w:color w:val="auto"/>
        </w:rPr>
        <w:t>s filed with the Securities and Exchange Commission, or SEC, on March 1, 2022</w:t>
      </w:r>
      <w:r>
        <w:rPr>
          <w:rFonts w:ascii="Times New Roman" w:cs="Times New Roman" w:eastAsia="Times New Roman" w:hAnsi="Times New Roman"/>
          <w:sz w:val="16"/>
          <w:szCs w:val="16"/>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83"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We are a biopharmaceutical company developing and delivering novel therapies for central nervous system (“CNS”) conditions that have limited treatment options. By focusing on this therapeutic area, the Company is addressing significant and growing markets where current treatment options are limited or inadequate. The Company’s CNS portfolio includes three not yet approved product candidates, AXS-07, AXS-12, and AXS-14, which are being developed for multiple indications, and two approved products - Auvelity™ (sometimes also referred to as "AXS-05") and Sunosi® - both of which are also being developed for further indications. In May 2022, the Company acquired the U.S. rights to Sunosi from Jazz Pharmaceuticals ("Jazz"). Sunosi is a product approved by the FDA and marketed in the U.S. to improve wakefulness in adult patients with excessive daytime sleepiness ("EDS") associated with narcolepsy or obstructive sleep apnea, and also approved in Europe in January 2020 by the European Commission. In August 2022, the Company announced the FDA approval, and in October 2022, the U.S. commercial availability, of Auvelity. Auvelity is an indication for the treatment of major depressive disorder in adults.</w:t>
      </w:r>
    </w:p>
    <w:p>
      <w:pPr>
        <w:spacing w:after="0" w:line="192" w:lineRule="exact"/>
        <w:rPr>
          <w:sz w:val="20"/>
          <w:szCs w:val="20"/>
          <w:color w:val="auto"/>
        </w:rPr>
      </w:pPr>
    </w:p>
    <w:p>
      <w:pPr>
        <w:ind w:right="140" w:firstLine="749"/>
        <w:spacing w:after="0" w:line="231" w:lineRule="auto"/>
        <w:rPr>
          <w:sz w:val="20"/>
          <w:szCs w:val="20"/>
          <w:color w:val="auto"/>
        </w:rPr>
      </w:pPr>
      <w:r>
        <w:rPr>
          <w:rFonts w:ascii="Times New Roman" w:cs="Times New Roman" w:eastAsia="Times New Roman" w:hAnsi="Times New Roman"/>
          <w:sz w:val="16"/>
          <w:szCs w:val="16"/>
          <w:color w:val="auto"/>
        </w:rPr>
        <w:t>In addition to the approved Auvelity product, AXS-05 is also under development for the treatment of Alzheimer's disease agitation, or AD agitation. AXS-05 is also being developed for smoking cessation. AXS-07 is being developed for the acute treatment of migraine, for which an NDA was submitted and had a PDUFA target</w:t>
      </w:r>
    </w:p>
    <w:p>
      <w:pPr>
        <w:spacing w:after="0" w:line="1"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6"/>
          <w:szCs w:val="16"/>
          <w:color w:val="auto"/>
        </w:rPr>
        <w:t>action date of April 30, 2022. On April 29, 2022, we received a Complete Response Letter (CRL) from the FDA regarding the NDA for AXS-07 for the acute treatment of migraine. AXS-12 is being developed for the treatment of narcolepsy. AXS-14 is being developed for the treatment of fibromyalgia. Additionally, we are currently</w:t>
      </w:r>
    </w:p>
    <w:p>
      <w:pPr>
        <w:spacing w:after="0"/>
        <w:rPr>
          <w:sz w:val="20"/>
          <w:szCs w:val="20"/>
          <w:color w:val="auto"/>
        </w:rPr>
      </w:pPr>
      <w:r>
        <w:rPr>
          <w:rFonts w:ascii="Times New Roman" w:cs="Times New Roman" w:eastAsia="Times New Roman" w:hAnsi="Times New Roman"/>
          <w:sz w:val="16"/>
          <w:szCs w:val="16"/>
          <w:color w:val="auto"/>
        </w:rPr>
        <w:t>evaluating other product candidates, which we intend to develop for CNS disorders.</w:t>
      </w:r>
    </w:p>
    <w:p>
      <w:pPr>
        <w:spacing w:after="0" w:line="176" w:lineRule="exact"/>
        <w:rPr>
          <w:sz w:val="20"/>
          <w:szCs w:val="20"/>
          <w:color w:val="auto"/>
        </w:rPr>
      </w:pPr>
    </w:p>
    <w:p>
      <w:pPr>
        <w:ind w:right="100" w:firstLine="749"/>
        <w:spacing w:after="0" w:line="231" w:lineRule="auto"/>
        <w:rPr>
          <w:sz w:val="20"/>
          <w:szCs w:val="20"/>
          <w:color w:val="auto"/>
        </w:rPr>
      </w:pPr>
      <w:r>
        <w:rPr>
          <w:rFonts w:ascii="Times New Roman" w:cs="Times New Roman" w:eastAsia="Times New Roman" w:hAnsi="Times New Roman"/>
          <w:sz w:val="16"/>
          <w:szCs w:val="16"/>
          <w:color w:val="auto"/>
        </w:rPr>
        <w:t>AXS-07 is a novel, oral, rapidly absorbed, multi-mechanistic, investigational medicine under development for the acute treatment of migraine. AXS-07 consists of MoSEIC™, or Molecular Solubility Enhanced Inclusion Complex, meloxicam and rizatriptan. Meloxicam is a long-acting nonsteroidal anti-inflammatory drug, or</w:t>
      </w:r>
    </w:p>
    <w:p>
      <w:pPr>
        <w:spacing w:after="0" w:line="1"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6"/>
          <w:szCs w:val="16"/>
          <w:color w:val="auto"/>
        </w:rPr>
        <w:t>NSAID, with COX-2, an enzyme involved in inflammation and pain pathways, preferential inhibition and potent pain-relieving effects. However, standard meloxicam has an extended time to maximum plasma concentration, or Tmax, which delays its onset of action. AXS-07 utilizes our proprietary MoSEIC™ technology to substantially</w:t>
      </w:r>
    </w:p>
    <w:p>
      <w:pPr>
        <w:ind w:right="120"/>
        <w:spacing w:after="0" w:line="217" w:lineRule="auto"/>
        <w:rPr>
          <w:sz w:val="20"/>
          <w:szCs w:val="20"/>
          <w:color w:val="auto"/>
        </w:rPr>
      </w:pPr>
      <w:r>
        <w:rPr>
          <w:rFonts w:ascii="Times New Roman" w:cs="Times New Roman" w:eastAsia="Times New Roman" w:hAnsi="Times New Roman"/>
          <w:sz w:val="16"/>
          <w:szCs w:val="16"/>
          <w:color w:val="auto"/>
        </w:rPr>
        <w:t>increase the solubility and speed the absorption of meloxicam while potentially maintaining durability of action. Meloxicam is a new molecular entity for migraine enabled by our MoSEIC™ technology. Rizatriptan is a 5-HT1B/1D agonist that inhibits calcitonin gene-related peptide (CGRP)-mediated vasodilation, has been shown to have central trigeminal antinociceptive activity, and may reduce the release of inflammatory mediators from trigeminal nerves. Rizatriptan is approved as a single agent for the</w:t>
      </w:r>
    </w:p>
    <w:p>
      <w:pPr>
        <w:spacing w:after="0"/>
        <w:rPr>
          <w:sz w:val="20"/>
          <w:szCs w:val="20"/>
          <w:color w:val="auto"/>
        </w:rPr>
      </w:pPr>
      <w:r>
        <w:rPr>
          <w:rFonts w:ascii="Times New Roman" w:cs="Times New Roman" w:eastAsia="Times New Roman" w:hAnsi="Times New Roman"/>
          <w:sz w:val="16"/>
          <w:szCs w:val="16"/>
          <w:color w:val="auto"/>
        </w:rPr>
        <w:t>acute treatment of migraine. We are seeking FDA approval for AXS-07 utilizing the 505(b)(2) regulatory development pathway.</w:t>
      </w:r>
    </w:p>
    <w:p>
      <w:pPr>
        <w:spacing w:after="0" w:line="176" w:lineRule="exact"/>
        <w:rPr>
          <w:sz w:val="20"/>
          <w:szCs w:val="20"/>
          <w:color w:val="auto"/>
        </w:rPr>
      </w:pPr>
    </w:p>
    <w:p>
      <w:pPr>
        <w:ind w:right="20" w:firstLine="749"/>
        <w:spacing w:after="0" w:line="248" w:lineRule="auto"/>
        <w:rPr>
          <w:sz w:val="20"/>
          <w:szCs w:val="20"/>
          <w:color w:val="auto"/>
        </w:rPr>
      </w:pPr>
      <w:r>
        <w:rPr>
          <w:rFonts w:ascii="Times New Roman" w:cs="Times New Roman" w:eastAsia="Times New Roman" w:hAnsi="Times New Roman"/>
          <w:sz w:val="16"/>
          <w:szCs w:val="16"/>
          <w:color w:val="auto"/>
        </w:rPr>
        <w:t>We have completed two Phase 3 trials of AXS-07 for the acute treatment of migraine, which we refer to as the MOMENTUM and INTERCEPT trials. AXS-07 achieved the co-primary endpoints in both the MOMENTUM and INTERCEPT trials. An open-label, long-term, safety study of AXS-07 in patients with migraine known as the MOVEMENT trial has also been completed. In the MOVEMENT trial, administration of AXS-07 resulted in rapid, and substantial relief of migraine pain and associated symptoms and was well tolerated with long term dosing. We have submitted an NDA for AXS-07 for the acute treatment of migraine supported by the positive results from the MOMENTUM and INTERCEPT trials which was accepted for filing by the FDA with a PDUFA target action date of April 30, 2022. On April 29, 2022, the Company received a Complete Response Letter ("CRL") from the FDA regarding our NDA for AXS-07 for the acute treatment of migraine. The CRL did not identify or raise any concerns about the clinical efficacy or safety data in the NDA, and the FDA did not request any new clinical trials to support the approval of AXS-07. The principal reasons given in the CRL relate to chemistry, manufacturing, and controls ("CMC") considerations. We believe that the issues raised in the CRL are addressable and plan to resubmit our NDA for AXS-07 for the acute treatment of migraine in the third quarter of 2023.</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100" w:firstLine="749"/>
        <w:spacing w:after="0" w:line="252" w:lineRule="auto"/>
        <w:rPr>
          <w:sz w:val="20"/>
          <w:szCs w:val="20"/>
          <w:color w:val="auto"/>
        </w:rPr>
      </w:pPr>
      <w:r>
        <w:rPr>
          <w:rFonts w:ascii="Times New Roman" w:cs="Times New Roman" w:eastAsia="Times New Roman" w:hAnsi="Times New Roman"/>
          <w:sz w:val="16"/>
          <w:szCs w:val="16"/>
          <w:color w:val="auto"/>
        </w:rPr>
        <w:t>AXS-12, reboxetine, is a novel, oral, investigational medicine in development for the treatment of narcolepsy. AXS-12 is a highly selective and potent norepinephrine reuptake inhibitor. AXS-12 has been granted FDA Orphan Drug Designation for the treatment of narcolepsy. We have completed a Phase 2 trial with AXS-12, which we refer to as the CONCERT study. A randomized, placebo-controlled Phase 3 trial with AXS-12 in narcolepsy was initiated in the third quarter of 2021, which we refer to as the SYMPHONY study, and one open-label long-term safety extension study was also initiated.</w:t>
      </w:r>
    </w:p>
    <w:p>
      <w:pPr>
        <w:spacing w:after="0" w:line="186"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6"/>
          <w:szCs w:val="16"/>
          <w:color w:val="auto"/>
        </w:rPr>
        <w:t>AXS-14, esreboxetine, is a novel, oral, investigational medicine in development for the treatment of fibromyalgia. AXS-14 is a highly selective and potent norepinephrine reuptake inhibitor. We are initially developing esreboxetine for the management of fibromyalgia. Esreboxetine, the SS-enantiomer of reboxetine, is more potent and selective than racemic reboxetine. We have in-licensed data from Pfizer which includes a completed Phase 2 trial and Phase 3 trial in fibromyalgia, both of which were positive. We plan to submit an NDA for AXS-14 in 2023 for the management of fibromyalgia based on a pre-NDA meeting with the FDA which occurred in the second quarter of 2021.</w:t>
      </w:r>
    </w:p>
    <w:p>
      <w:pPr>
        <w:spacing w:after="0" w:line="18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6"/>
          <w:szCs w:val="16"/>
          <w:color w:val="auto"/>
        </w:rPr>
        <w:t>Since our incorporation in January 2012, our operations to date have included organizing and staffing our company, business planning, raising capital, developing our compounds, engaging in other discovery and preclinical activities and commencing the commercialization of Sunosi and Auvelity. Subsequent to our IPO, we have raised capital through proceeds from sales of our common stock and warrants to purchase shares of our common stock to equity investors and debt borrowings. For a further discussion, see the section entitled “Liquidity and Capital Resources” below.</w:t>
      </w:r>
    </w:p>
    <w:p>
      <w:pPr>
        <w:spacing w:after="0" w:line="186" w:lineRule="exact"/>
        <w:rPr>
          <w:sz w:val="20"/>
          <w:szCs w:val="20"/>
          <w:color w:val="auto"/>
        </w:rPr>
      </w:pPr>
    </w:p>
    <w:p>
      <w:pPr>
        <w:ind w:right="400" w:firstLine="749"/>
        <w:spacing w:after="0" w:line="280" w:lineRule="auto"/>
        <w:rPr>
          <w:sz w:val="20"/>
          <w:szCs w:val="20"/>
          <w:color w:val="auto"/>
        </w:rPr>
      </w:pPr>
      <w:r>
        <w:rPr>
          <w:rFonts w:ascii="Times New Roman" w:cs="Times New Roman" w:eastAsia="Times New Roman" w:hAnsi="Times New Roman"/>
          <w:sz w:val="16"/>
          <w:szCs w:val="16"/>
          <w:color w:val="auto"/>
        </w:rPr>
        <w:t>Our ability to become profitable depends on our ability to generate revenue. We have recently begun commercial sales of Sunosi and Auvelity but we have limited experience with commercializing these products.</w:t>
      </w:r>
    </w:p>
    <w:p>
      <w:pPr>
        <w:spacing w:after="0" w:line="165"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6"/>
          <w:szCs w:val="16"/>
          <w:color w:val="auto"/>
        </w:rPr>
        <w:t>We have incurred significant operating expenses and net losses since inception. We incurred net losses of $125.9 million and $96.4 million for the nine months ended September 30, 2022 and 2021, respectively. Our accumulated deficit as of September 30, 2022 was $535.1 million, and we expect to incur significant expenses and increasing operating losses for the foreseeable future. We expect to incur commercialization expenses for Sunosi and Auvelity as we look to continue to support the growth of both products. We expect to continue to incur expenses in connection with the development of our product candidates, including with respect to conducting clinical trials and seeking regulatory approval for our current product candidates and any other product candidates that we develop or in-license and advance to clinical development. As we continue to seek regulatory approval for our product candidates, we expect to incur significant expenses in order to continue to create an infrastructure and support market readiness for the commercialization of our product candidates,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and/or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Year to Date and Recent Developments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Auvelity</w:t>
      </w:r>
    </w:p>
    <w:p>
      <w:pPr>
        <w:spacing w:after="0" w:line="115" w:lineRule="exact"/>
        <w:rPr>
          <w:sz w:val="20"/>
          <w:szCs w:val="20"/>
          <w:color w:val="auto"/>
        </w:rPr>
      </w:pPr>
    </w:p>
    <w:p>
      <w:pPr>
        <w:ind w:right="220" w:firstLine="749"/>
        <w:spacing w:after="0" w:line="280" w:lineRule="auto"/>
        <w:rPr>
          <w:sz w:val="20"/>
          <w:szCs w:val="20"/>
          <w:color w:val="auto"/>
        </w:rPr>
      </w:pPr>
      <w:r>
        <w:rPr>
          <w:rFonts w:ascii="Times New Roman" w:cs="Times New Roman" w:eastAsia="Times New Roman" w:hAnsi="Times New Roman"/>
          <w:sz w:val="16"/>
          <w:szCs w:val="16"/>
          <w:color w:val="auto"/>
        </w:rPr>
        <w:t>In August 2022, we announced the FDA approval, and in October 2022, the U.S. commercial availability, of Auvelity (AXS-05). Auvelity is indicated for the treatment of major depressive disorder in adults.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Sunosi</w:t>
      </w:r>
    </w:p>
    <w:p>
      <w:pPr>
        <w:spacing w:after="0" w:line="115"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6"/>
          <w:szCs w:val="16"/>
          <w:color w:val="auto"/>
        </w:rPr>
        <w:t>In March 2022, we entered into an Asset Purchase Agreement (the “Purchase Agreement”) with Jazz, pursuant to which the Company was to acquire Sunosi from Jazz (the "Acquisition"), a dual-acting dopamine and norepinephrine reuptake inhibitor indicated to improve wakefulness in adult patients living with excessive daytime sleepiness due to narcolepsy or obstructive sleep apnea, which was approved by the FDA in 2019 and by the European Medicines Agency, or EMA, in 2020. On May 9, 2022, we completed the acquisition of the U.S. rights for Sunosi. The closing of the ex-US rights contemplated by the Purchase Agreement is expected to occur during the fourth quarter of 2022.</w:t>
      </w:r>
    </w:p>
    <w:p>
      <w:pPr>
        <w:spacing w:after="0" w:line="17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6"/>
          <w:szCs w:val="16"/>
          <w:color w:val="auto"/>
        </w:rPr>
        <w:t>In October 2022, we announced that Sunsosi met the primary endpoint in the SHARP (Solriamfetol's Effect on Cognitive Health in Apnea Participants During a Randomized Placebo-controlled Study) study and significantly improved cognitive function, measured using the Digit Symbol Substitution Test subtest of the Repeatable Battery for the Assessment of Neuropsychological Status (DSST RBANS), as compared to placebo in cognitively impaired patients with excessive daytime sleepiness ("EDS") associated with obstructive sleep apnea (OSA).</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AXS-05</w:t>
      </w:r>
    </w:p>
    <w:p>
      <w:pPr>
        <w:spacing w:after="0" w:line="115" w:lineRule="exact"/>
        <w:rPr>
          <w:sz w:val="20"/>
          <w:szCs w:val="20"/>
          <w:color w:val="auto"/>
        </w:rPr>
      </w:pPr>
    </w:p>
    <w:p>
      <w:pPr>
        <w:ind w:right="120" w:firstLine="749"/>
        <w:spacing w:after="0" w:line="263" w:lineRule="auto"/>
        <w:rPr>
          <w:sz w:val="20"/>
          <w:szCs w:val="20"/>
          <w:color w:val="auto"/>
        </w:rPr>
      </w:pPr>
      <w:r>
        <w:rPr>
          <w:rFonts w:ascii="Times New Roman" w:cs="Times New Roman" w:eastAsia="Times New Roman" w:hAnsi="Times New Roman"/>
          <w:sz w:val="16"/>
          <w:szCs w:val="16"/>
          <w:color w:val="auto"/>
        </w:rPr>
        <w:t>In September 2022, we enrolled our first patient in the ADVANCE-2 (Addressing Dementia via Agitation-Centered Evaluation-2) trial, a Phase 3, randomized, double-blind, placebo-controlled, multicenter, trial to assess the efficacy and safety of AXS-05 for the treatment of agitation associated with AD.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AXS-07</w:t>
      </w:r>
    </w:p>
    <w:p>
      <w:pPr>
        <w:spacing w:after="0" w:line="115" w:lineRule="exact"/>
        <w:rPr>
          <w:sz w:val="20"/>
          <w:szCs w:val="20"/>
          <w:color w:val="auto"/>
        </w:rPr>
      </w:pPr>
    </w:p>
    <w:p>
      <w:pPr>
        <w:ind w:right="140" w:firstLine="749"/>
        <w:spacing w:after="0" w:line="252" w:lineRule="auto"/>
        <w:rPr>
          <w:sz w:val="20"/>
          <w:szCs w:val="20"/>
          <w:color w:val="auto"/>
        </w:rPr>
      </w:pPr>
      <w:r>
        <w:rPr>
          <w:rFonts w:ascii="Times New Roman" w:cs="Times New Roman" w:eastAsia="Times New Roman" w:hAnsi="Times New Roman"/>
          <w:sz w:val="16"/>
          <w:szCs w:val="16"/>
          <w:color w:val="auto"/>
        </w:rPr>
        <w:t>In February 2022, we entered into a Litigation Discontinuance Agreement with Baudax Bio, Inc. (“Baudax”) pursuant to which Baudax was to voluntarily dismiss, with prejudice, its lawsuit against us in the United States District Court for the District of Delaware (the “Baudax Action”). The Baudax Action, which was never served on us, alleged that our AXS-07 drug product candidate infringes on U.S. Patents 8,512,727 and 10,471,067, both owned by assignment by Baudax. A notice of dismissal with prejudice was filed by Baudax in the Baudax action on February 7, 2022.</w:t>
      </w:r>
    </w:p>
    <w:p>
      <w:pPr>
        <w:spacing w:after="0" w:line="186" w:lineRule="exact"/>
        <w:rPr>
          <w:sz w:val="20"/>
          <w:szCs w:val="20"/>
          <w:color w:val="auto"/>
        </w:rPr>
      </w:pPr>
    </w:p>
    <w:p>
      <w:pPr>
        <w:ind w:right="140" w:firstLine="749"/>
        <w:spacing w:after="0" w:line="263" w:lineRule="auto"/>
        <w:rPr>
          <w:sz w:val="20"/>
          <w:szCs w:val="20"/>
          <w:color w:val="auto"/>
        </w:rPr>
      </w:pPr>
      <w:r>
        <w:rPr>
          <w:rFonts w:ascii="Times New Roman" w:cs="Times New Roman" w:eastAsia="Times New Roman" w:hAnsi="Times New Roman"/>
          <w:sz w:val="16"/>
          <w:szCs w:val="16"/>
          <w:color w:val="auto"/>
        </w:rPr>
        <w:t>In April 2022, we received a Complete Response Letter, or CRL, from the FDA regarding our NDA for AXS-07 for the acute treatment of migraine. The CRL did not identify or raise any concerns about the clinical efficacy or safety data in the NDA, and the FDA did not request any new clinical trials to support the approval of AXS-07. The principal reasons given in the CRL relate to CMC considerations.</w:t>
      </w:r>
    </w:p>
    <w:p>
      <w:pPr>
        <w:spacing w:after="0" w:line="178" w:lineRule="exact"/>
        <w:rPr>
          <w:sz w:val="20"/>
          <w:szCs w:val="20"/>
          <w:color w:val="auto"/>
        </w:rPr>
      </w:pPr>
    </w:p>
    <w:p>
      <w:pPr>
        <w:ind w:right="260" w:firstLine="749"/>
        <w:spacing w:after="0" w:line="263" w:lineRule="auto"/>
        <w:rPr>
          <w:sz w:val="20"/>
          <w:szCs w:val="20"/>
          <w:color w:val="auto"/>
        </w:rPr>
      </w:pPr>
      <w:r>
        <w:rPr>
          <w:rFonts w:ascii="Times New Roman" w:cs="Times New Roman" w:eastAsia="Times New Roman" w:hAnsi="Times New Roman"/>
          <w:sz w:val="16"/>
          <w:szCs w:val="16"/>
          <w:color w:val="auto"/>
        </w:rPr>
        <w:t>In September 2022, we enrolled our first patient in the EMERGE (Evaluating Outcomes of AXS-07 after Acute Gepant Failures) trial, a Phase 3, open-label, multicenter trial to assess the efficacy and safety of AXS-07 in the acute treatment of migraine.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In September 2022, we announced our plans to resubmit our NDA for AXS-07 for the acute treatment of migraine in the third quarter of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w:t>
      </w:r>
    </w:p>
    <w:p>
      <w:pPr>
        <w:spacing w:after="0" w:line="223" w:lineRule="exact"/>
        <w:rPr>
          <w:sz w:val="20"/>
          <w:szCs w:val="20"/>
          <w:color w:val="auto"/>
        </w:rPr>
      </w:pPr>
    </w:p>
    <w:p>
      <w:pPr>
        <w:ind w:right="220" w:firstLine="749"/>
        <w:spacing w:after="0" w:line="254" w:lineRule="auto"/>
        <w:rPr>
          <w:sz w:val="20"/>
          <w:szCs w:val="20"/>
          <w:color w:val="auto"/>
        </w:rPr>
      </w:pPr>
      <w:r>
        <w:rPr>
          <w:rFonts w:ascii="Times New Roman" w:cs="Times New Roman" w:eastAsia="Times New Roman" w:hAnsi="Times New Roman"/>
          <w:sz w:val="16"/>
          <w:szCs w:val="16"/>
          <w:color w:val="auto"/>
        </w:rPr>
        <w:t>In March 2022, we entered into a Sales Agreement with SVB Securities with respect to an at the market offering program, under which we may, from time to time in our sole discretion, issue and sell through SVB Securities, acting as sales agent, shares of our common stock of up to $200 million. The March 2022 Sales Agreement supersedes the prior Sales Agreement, dated December 5, 2019, by and between us and SVB Securities.</w:t>
      </w:r>
    </w:p>
    <w:p>
      <w:pPr>
        <w:spacing w:after="0" w:line="145" w:lineRule="exact"/>
        <w:rPr>
          <w:sz w:val="20"/>
          <w:szCs w:val="20"/>
          <w:color w:val="auto"/>
        </w:rPr>
      </w:pPr>
    </w:p>
    <w:p>
      <w:pPr>
        <w:jc w:val="both"/>
        <w:ind w:right="160" w:firstLine="749"/>
        <w:spacing w:after="0" w:line="263" w:lineRule="auto"/>
        <w:rPr>
          <w:sz w:val="20"/>
          <w:szCs w:val="20"/>
          <w:color w:val="auto"/>
        </w:rPr>
      </w:pPr>
      <w:r>
        <w:rPr>
          <w:rFonts w:ascii="Times New Roman" w:cs="Times New Roman" w:eastAsia="Times New Roman" w:hAnsi="Times New Roman"/>
          <w:sz w:val="16"/>
          <w:szCs w:val="16"/>
          <w:color w:val="auto"/>
        </w:rPr>
        <w:t>In May 2022, we entered in the Second Amendment to the Loan and Security Agreement (the "Second Amendment"). in connection with the Acquisition (as described above) with Hercules Capital, Inc. The Second Amendment amends the terms of that certain Loan and Security Agreement, dated as of September 25, 2020, by and among the Company, Hercules and the Lenders (as amended by that certain First Amendment to Loan and Security Agreement, dated as of October 14, 2021).</w:t>
      </w:r>
    </w:p>
    <w:p>
      <w:pPr>
        <w:spacing w:after="0" w:line="178" w:lineRule="exact"/>
        <w:rPr>
          <w:sz w:val="20"/>
          <w:szCs w:val="20"/>
          <w:color w:val="auto"/>
        </w:rPr>
      </w:pPr>
    </w:p>
    <w:p>
      <w:pPr>
        <w:ind w:right="100" w:firstLine="749"/>
        <w:spacing w:after="0" w:line="280" w:lineRule="auto"/>
        <w:rPr>
          <w:sz w:val="20"/>
          <w:szCs w:val="20"/>
          <w:color w:val="auto"/>
        </w:rPr>
      </w:pPr>
      <w:r>
        <w:rPr>
          <w:rFonts w:ascii="Times New Roman" w:cs="Times New Roman" w:eastAsia="Times New Roman" w:hAnsi="Times New Roman"/>
          <w:sz w:val="16"/>
          <w:szCs w:val="16"/>
          <w:color w:val="auto"/>
        </w:rPr>
        <w:t>In August 2022, we filed a prospectus supplement to the 2019 Shelf Registration Statement for the issuance and sale, if any, of up to an additional $250 million in shares of the Company’s common stock by the Company under the March 2022 Sales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Overview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225" w:lineRule="exact"/>
        <w:rPr>
          <w:sz w:val="20"/>
          <w:szCs w:val="20"/>
          <w:color w:val="auto"/>
        </w:rPr>
      </w:pPr>
    </w:p>
    <w:p>
      <w:pPr>
        <w:ind w:right="20" w:firstLine="749"/>
        <w:spacing w:after="0" w:line="280" w:lineRule="auto"/>
        <w:rPr>
          <w:sz w:val="20"/>
          <w:szCs w:val="20"/>
          <w:color w:val="auto"/>
        </w:rPr>
      </w:pPr>
      <w:r>
        <w:rPr>
          <w:rFonts w:ascii="Times New Roman" w:cs="Times New Roman" w:eastAsia="Times New Roman" w:hAnsi="Times New Roman"/>
          <w:sz w:val="16"/>
          <w:szCs w:val="16"/>
          <w:color w:val="auto"/>
        </w:rPr>
        <w:t>Net revenues from product sales consist of sales of Sunosi, which we acquired in May 2022. We generated approximately $16.8 million and $25.7 million in net revenue from product sales in the three and nine months ended September 30, 2022.</w:t>
      </w:r>
    </w:p>
    <w:p>
      <w:pPr>
        <w:spacing w:after="0" w:line="15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6"/>
          <w:szCs w:val="16"/>
          <w:color w:val="auto"/>
        </w:rPr>
        <w:t>We expect that Sunosi and Auvelity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generate revenue in the future.</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product sales</w:t>
      </w:r>
    </w:p>
    <w:p>
      <w:pPr>
        <w:spacing w:after="0" w:line="198" w:lineRule="exact"/>
        <w:rPr>
          <w:sz w:val="20"/>
          <w:szCs w:val="20"/>
          <w:color w:val="auto"/>
        </w:rPr>
      </w:pPr>
    </w:p>
    <w:p>
      <w:pPr>
        <w:ind w:right="40" w:firstLine="749"/>
        <w:spacing w:after="0" w:line="263" w:lineRule="auto"/>
        <w:rPr>
          <w:sz w:val="20"/>
          <w:szCs w:val="20"/>
          <w:color w:val="auto"/>
        </w:rPr>
      </w:pPr>
      <w:r>
        <w:rPr>
          <w:rFonts w:ascii="Times New Roman" w:cs="Times New Roman" w:eastAsia="Times New Roman" w:hAnsi="Times New Roman"/>
          <w:sz w:val="16"/>
          <w:szCs w:val="16"/>
          <w:color w:val="auto"/>
        </w:rPr>
        <w:t>Cost of product sales includes adjustments to fair value of inventory acquired from Jazz, royalty expense, direct costs of formulating, manufacturing and packaging drug product, overhead costs consisting of labor, customs, stock-based compensation, shipping, outside inventory management and other miscellaneous operating costs.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225" w:lineRule="exact"/>
        <w:rPr>
          <w:sz w:val="20"/>
          <w:szCs w:val="20"/>
          <w:color w:val="auto"/>
        </w:rPr>
      </w:pPr>
    </w:p>
    <w:p>
      <w:pPr>
        <w:jc w:val="both"/>
        <w:ind w:right="300" w:firstLine="749"/>
        <w:spacing w:after="0" w:line="196" w:lineRule="exact"/>
        <w:rPr>
          <w:sz w:val="20"/>
          <w:szCs w:val="20"/>
          <w:color w:val="auto"/>
        </w:rPr>
      </w:pPr>
      <w:r>
        <w:rPr>
          <w:rFonts w:ascii="Times New Roman" w:cs="Times New Roman" w:eastAsia="Times New Roman" w:hAnsi="Times New Roman"/>
          <w:sz w:val="16"/>
          <w:szCs w:val="16"/>
          <w:color w:val="auto"/>
        </w:rPr>
        <w:t>Research and development expenses primarily include preclinical studies, clinical trials, manufacturing costs, employee-related expenses including salaries, benefits, travel, and 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183" w:lineRule="exact"/>
        <w:rPr>
          <w:sz w:val="20"/>
          <w:szCs w:val="20"/>
          <w:color w:val="auto"/>
        </w:rPr>
      </w:pPr>
    </w:p>
    <w:p>
      <w:pPr>
        <w:ind w:right="60" w:firstLine="749"/>
        <w:spacing w:after="0" w:line="248" w:lineRule="auto"/>
        <w:rPr>
          <w:sz w:val="20"/>
          <w:szCs w:val="20"/>
          <w:color w:val="auto"/>
        </w:rPr>
      </w:pPr>
      <w:r>
        <w:rPr>
          <w:rFonts w:ascii="Times New Roman" w:cs="Times New Roman" w:eastAsia="Times New Roman" w:hAnsi="Times New Roman"/>
          <w:sz w:val="16"/>
          <w:szCs w:val="16"/>
          <w:color w:val="auto"/>
        </w:rPr>
        <w:t>Research and development activities are central to our business model. We have and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to what extent we will generate revenue from the commercialization and sale of Sunosi and Auvelity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94" w:lineRule="exact"/>
        <w:rPr>
          <w:sz w:val="20"/>
          <w:szCs w:val="20"/>
          <w:color w:val="auto"/>
        </w:rPr>
      </w:pPr>
    </w:p>
    <w:p>
      <w:pPr>
        <w:ind w:right="160" w:firstLine="749"/>
        <w:spacing w:after="0" w:line="249" w:lineRule="auto"/>
        <w:rPr>
          <w:sz w:val="20"/>
          <w:szCs w:val="20"/>
          <w:color w:val="auto"/>
        </w:rPr>
      </w:pPr>
      <w:r>
        <w:rPr>
          <w:rFonts w:ascii="Times New Roman" w:cs="Times New Roman" w:eastAsia="Times New Roman" w:hAnsi="Times New Roman"/>
          <w:sz w:val="16"/>
          <w:szCs w:val="16"/>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following table summarizes our research and development expenses for our primary products for the three and nine months ended September 30, 2022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69"/>
        </w:trPr>
        <w:tc>
          <w:tcPr>
            <w:tcW w:w="5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Sunosi</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1,862,887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2,827,240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AXS-05</w:t>
            </w:r>
          </w:p>
        </w:tc>
        <w:tc>
          <w:tcPr>
            <w:tcW w:w="26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6,217,166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6,021,979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18,731,599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8"/>
              </w:rPr>
              <w:t>18,250,901</w:t>
            </w: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AXS-07</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1,942,194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2,415,945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6,291,624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8"/>
              </w:rPr>
              <w:t>12,237,561</w:t>
            </w: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AXS-12</w:t>
            </w:r>
          </w:p>
        </w:tc>
        <w:tc>
          <w:tcPr>
            <w:tcW w:w="26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1,675,998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1,420,240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5,199,315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2,973,667</w:t>
            </w: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AXS-14</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395,822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98,263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1,340,271</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102,302</w:t>
            </w: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6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1,004,720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1,244,066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2,596,756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4,898,177</w:t>
            </w:r>
          </w:p>
        </w:tc>
      </w:tr>
      <w:tr>
        <w:trPr>
          <w:trHeight w:val="216"/>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1,778,234</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1,979,765</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6,267,559</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5,816,664</w:t>
            </w: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14,877,021</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13,180,258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43,254,364</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8"/>
              </w:rPr>
              <w:t>44,279,272</w:t>
            </w:r>
          </w:p>
        </w:tc>
      </w:tr>
      <w:tr>
        <w:trPr>
          <w:trHeight w:val="20"/>
        </w:trPr>
        <w:tc>
          <w:tcPr>
            <w:tcW w:w="5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-170815</wp:posOffset>
            </wp:positionV>
            <wp:extent cx="7683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685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9" w:lineRule="exact"/>
        <w:rPr>
          <w:sz w:val="20"/>
          <w:szCs w:val="20"/>
          <w:color w:val="auto"/>
        </w:rPr>
      </w:pPr>
    </w:p>
    <w:p>
      <w:pPr>
        <w:ind w:right="520" w:firstLine="749"/>
        <w:spacing w:after="0" w:line="280" w:lineRule="auto"/>
        <w:rPr>
          <w:sz w:val="20"/>
          <w:szCs w:val="20"/>
          <w:color w:val="auto"/>
        </w:rPr>
      </w:pPr>
      <w:r>
        <w:rPr>
          <w:rFonts w:ascii="Times New Roman" w:cs="Times New Roman" w:eastAsia="Times New Roman" w:hAnsi="Times New Roman"/>
          <w:sz w:val="16"/>
          <w:szCs w:val="16"/>
          <w:color w:val="auto"/>
        </w:rPr>
        <w:t>During the nine months ended September 30 2021, the category "Other research and development expenses" primarily consisted of employee salaries and benefits, facilities, and overhead costs. Beginning July 2021, employee salaries and benefits were allocated to specific products.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p>
      <w:pPr>
        <w:spacing w:after="0" w:line="225" w:lineRule="exact"/>
        <w:rPr>
          <w:sz w:val="20"/>
          <w:szCs w:val="20"/>
          <w:color w:val="auto"/>
        </w:rPr>
      </w:pPr>
    </w:p>
    <w:p>
      <w:pPr>
        <w:ind w:right="360" w:firstLine="749"/>
        <w:spacing w:after="0" w:line="252" w:lineRule="auto"/>
        <w:rPr>
          <w:sz w:val="20"/>
          <w:szCs w:val="20"/>
          <w:color w:val="auto"/>
        </w:rPr>
      </w:pPr>
      <w:r>
        <w:rPr>
          <w:rFonts w:ascii="Times New Roman" w:cs="Times New Roman" w:eastAsia="Times New Roman" w:hAnsi="Times New Roman"/>
          <w:sz w:val="16"/>
          <w:szCs w:val="16"/>
          <w:color w:val="auto"/>
        </w:rPr>
        <w:t>Selling, general and administrative expenses primarily consist of salaries and related costs for personnel in executive, commercial, finance, and operational functions, including stock-based compensation and travel expenses. Also included in selling, general and administrative expenses are commercial costs, pre-commercialization costs, facility-related costs, insurance expense, professional fees for legal and accounting services, and patent filing and prosecution costs. Selling, general and administrative expenses are expensed when incurred.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 net</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6"/>
          <w:szCs w:val="16"/>
          <w:color w:val="auto"/>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Significant Judgments and Estimates</w:t>
      </w:r>
    </w:p>
    <w:p>
      <w:pPr>
        <w:spacing w:after="0" w:line="223" w:lineRule="exact"/>
        <w:rPr>
          <w:sz w:val="20"/>
          <w:szCs w:val="20"/>
          <w:color w:val="auto"/>
        </w:rPr>
      </w:pPr>
    </w:p>
    <w:p>
      <w:pPr>
        <w:ind w:right="120" w:firstLine="749"/>
        <w:spacing w:after="0" w:line="249"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91"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6"/>
          <w:szCs w:val="16"/>
          <w:color w:val="auto"/>
        </w:rPr>
        <w:t>There have been material changes to our critical accounting policies since the beginning of our fiscal year. We believe that our most critical accounting policies are those relating to variable consideration associated with revenue recognition, business combinations and contingent consideration. Our critical accounting policies are described in the notes to the consolidated financial statements appearing elsewhere in this Quarterly Report on Form 10-Q.</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16,845,792</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25,665,578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 sales (excluding amortization and depreciation)</w:t>
            </w:r>
          </w:p>
        </w:tc>
        <w:tc>
          <w:tcPr>
            <w:tcW w:w="24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1,923,831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2,906,667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14,877,021</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13,180,258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43,254,364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44,279,272</w:t>
            </w: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40,892,443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20,226,884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97,756,314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47,819,618</w:t>
            </w:r>
          </w:p>
        </w:tc>
      </w:tr>
      <w:tr>
        <w:trPr>
          <w:trHeight w:val="216"/>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(42,120 )</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(902,120 )</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1,606,789</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2,532,439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59,257,964</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33,407,142</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145,547,664</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92,098,890</w:t>
            </w: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(42,412,172 )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(33,407,142 )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(119,882,086 )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(92,098,890 )</w:t>
            </w:r>
          </w:p>
        </w:tc>
      </w:tr>
      <w:tr>
        <w:trPr>
          <w:trHeight w:val="216"/>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(2,411,040 )</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(1,475,535 )</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(6,011,953 )</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(4,327,966 )</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(44,823,212 )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(34,882,677 )</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(125,894,039 )</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(96,426,856 )</w:t>
            </w: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-454025</wp:posOffset>
            </wp:positionV>
            <wp:extent cx="76835"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-454025</wp:posOffset>
            </wp:positionV>
            <wp:extent cx="68580"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-454025</wp:posOffset>
            </wp:positionV>
            <wp:extent cx="6858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76835"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months ended September 30, 2022 and 2021</w:t>
      </w: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 xml:space="preserve">Product sales, net. </w:t>
      </w:r>
      <w:r>
        <w:rPr>
          <w:rFonts w:ascii="Times New Roman" w:cs="Times New Roman" w:eastAsia="Times New Roman" w:hAnsi="Times New Roman"/>
          <w:sz w:val="16"/>
          <w:szCs w:val="16"/>
          <w:color w:val="auto"/>
        </w:rPr>
        <w:t>We acquired the U.S. rights to Sunosi from Jazz on May 9, 2022. We sell Sunosi in the United States through a single 3PL. The 3PL</w:t>
      </w:r>
    </w:p>
    <w:p>
      <w:pPr>
        <w:spacing w:after="0" w:line="12" w:lineRule="exact"/>
        <w:rPr>
          <w:sz w:val="20"/>
          <w:szCs w:val="20"/>
          <w:color w:val="auto"/>
        </w:rPr>
      </w:pPr>
    </w:p>
    <w:p>
      <w:pPr>
        <w:ind w:right="340"/>
        <w:spacing w:after="0" w:line="231" w:lineRule="auto"/>
        <w:rPr>
          <w:sz w:val="20"/>
          <w:szCs w:val="20"/>
          <w:color w:val="auto"/>
        </w:rPr>
      </w:pPr>
      <w:r>
        <w:rPr>
          <w:rFonts w:ascii="Times New Roman" w:cs="Times New Roman" w:eastAsia="Times New Roman" w:hAnsi="Times New Roman"/>
          <w:sz w:val="16"/>
          <w:szCs w:val="16"/>
          <w:color w:val="auto"/>
        </w:rPr>
        <w:t>distributes the product to wholesale distributors with whom we have entered into formal distribution agreements. We did not record any product sales as with respect to Auvelity for such period.</w:t>
      </w:r>
    </w:p>
    <w:p>
      <w:pPr>
        <w:spacing w:after="0" w:line="166" w:lineRule="exact"/>
        <w:rPr>
          <w:sz w:val="20"/>
          <w:szCs w:val="20"/>
          <w:color w:val="auto"/>
        </w:rPr>
      </w:pPr>
    </w:p>
    <w:p>
      <w:pPr>
        <w:ind w:right="160" w:firstLine="749"/>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Cost of product sales. </w:t>
      </w:r>
      <w:r>
        <w:rPr>
          <w:rFonts w:ascii="Times New Roman" w:cs="Times New Roman" w:eastAsia="Times New Roman" w:hAnsi="Times New Roman"/>
          <w:sz w:val="16"/>
          <w:szCs w:val="16"/>
          <w:color w:val="auto"/>
        </w:rPr>
        <w:t>In connection with the Sunosi acquisition, we acquired inventory which was sold through our 3PL as described above. This also includes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royalty expense to SK and Aerial.</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 xml:space="preserve">Research and Development. </w:t>
      </w:r>
      <w:r>
        <w:rPr>
          <w:rFonts w:ascii="Times New Roman" w:cs="Times New Roman" w:eastAsia="Times New Roman" w:hAnsi="Times New Roman"/>
          <w:sz w:val="16"/>
          <w:szCs w:val="16"/>
          <w:color w:val="auto"/>
        </w:rPr>
        <w:t>Our research and development expenses for the three months ended September 30, 2022 were $14.9 million, compared to $13.2</w:t>
      </w:r>
    </w:p>
    <w:p>
      <w:pPr>
        <w:spacing w:after="0" w:line="12" w:lineRule="exact"/>
        <w:rPr>
          <w:sz w:val="20"/>
          <w:szCs w:val="20"/>
          <w:color w:val="auto"/>
        </w:rPr>
      </w:pPr>
    </w:p>
    <w:p>
      <w:pPr>
        <w:ind w:right="400"/>
        <w:spacing w:after="0" w:line="231" w:lineRule="auto"/>
        <w:rPr>
          <w:sz w:val="20"/>
          <w:szCs w:val="20"/>
          <w:color w:val="auto"/>
        </w:rPr>
      </w:pPr>
      <w:r>
        <w:rPr>
          <w:rFonts w:ascii="Times New Roman" w:cs="Times New Roman" w:eastAsia="Times New Roman" w:hAnsi="Times New Roman"/>
          <w:sz w:val="16"/>
          <w:szCs w:val="16"/>
          <w:color w:val="auto"/>
        </w:rPr>
        <w:t>million for the three months ended September 30, 2021, an increase of $1.7 million. The increase was primarily related to higher costs associated with ongoing clinical trials, including post-marketing commitments assumed for Sunosi.</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 xml:space="preserve">Selling, general and administrative. </w:t>
      </w:r>
      <w:r>
        <w:rPr>
          <w:rFonts w:ascii="Times New Roman" w:cs="Times New Roman" w:eastAsia="Times New Roman" w:hAnsi="Times New Roman"/>
          <w:sz w:val="16"/>
          <w:szCs w:val="16"/>
          <w:color w:val="auto"/>
        </w:rPr>
        <w:t>Our selling, general and administrative expenses for the three months ended September 30, 2022 were $40.9 million,</w:t>
      </w:r>
    </w:p>
    <w:p>
      <w:pPr>
        <w:spacing w:after="0" w:line="12"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6"/>
          <w:szCs w:val="16"/>
          <w:color w:val="auto"/>
        </w:rPr>
        <w:t>compared to $20.2 million for the three months ended September 30, 2021, an increase of $20.7 million. The increase was primarily related to commercial activities related to Sunosi and Auvelity, including sales force onboarding and marketing spend, and higher non-cash stock compensation expense.</w:t>
      </w:r>
    </w:p>
    <w:p>
      <w:pPr>
        <w:spacing w:after="0" w:line="179" w:lineRule="exact"/>
        <w:rPr>
          <w:sz w:val="20"/>
          <w:szCs w:val="20"/>
          <w:color w:val="auto"/>
        </w:rPr>
      </w:pPr>
    </w:p>
    <w:p>
      <w:pPr>
        <w:ind w:right="900" w:firstLine="749"/>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Gain in Fair Value of Contingent Consideration. </w:t>
      </w:r>
      <w:r>
        <w:rPr>
          <w:rFonts w:ascii="Times New Roman" w:cs="Times New Roman" w:eastAsia="Times New Roman" w:hAnsi="Times New Roman"/>
          <w:sz w:val="16"/>
          <w:szCs w:val="16"/>
          <w:color w:val="auto"/>
        </w:rPr>
        <w:t>The change in fair value of contingent consideration was primarily due to the change in significant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unobservable inputs such as the discount rates.</w:t>
      </w:r>
    </w:p>
    <w:p>
      <w:pPr>
        <w:spacing w:after="0" w:line="160" w:lineRule="exact"/>
        <w:rPr>
          <w:sz w:val="20"/>
          <w:szCs w:val="20"/>
          <w:color w:val="auto"/>
        </w:rPr>
      </w:pPr>
    </w:p>
    <w:p>
      <w:pPr>
        <w:ind w:right="160" w:firstLine="749"/>
        <w:spacing w:after="0" w:line="265" w:lineRule="auto"/>
        <w:rPr>
          <w:sz w:val="20"/>
          <w:szCs w:val="20"/>
          <w:color w:val="auto"/>
        </w:rPr>
      </w:pPr>
      <w:r>
        <w:rPr>
          <w:rFonts w:ascii="Times New Roman" w:cs="Times New Roman" w:eastAsia="Times New Roman" w:hAnsi="Times New Roman"/>
          <w:sz w:val="16"/>
          <w:szCs w:val="16"/>
          <w:i w:val="1"/>
          <w:iCs w:val="1"/>
          <w:color w:val="auto"/>
        </w:rPr>
        <w:t>Intangible asset amortization</w:t>
      </w:r>
      <w:r>
        <w:rPr>
          <w:rFonts w:ascii="Times New Roman" w:cs="Times New Roman" w:eastAsia="Times New Roman" w:hAnsi="Times New Roman"/>
          <w:sz w:val="16"/>
          <w:szCs w:val="16"/>
          <w:color w:val="auto"/>
        </w:rPr>
        <w:t>. As part of the preliminary purchase price allocation, we determined the identifiable intangible asset is developed technology. We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amortize the intangible asset over its useful life of 10 years.</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 xml:space="preserve">Interest expense, net. </w:t>
      </w:r>
      <w:r>
        <w:rPr>
          <w:rFonts w:ascii="Times New Roman" w:cs="Times New Roman" w:eastAsia="Times New Roman" w:hAnsi="Times New Roman"/>
          <w:sz w:val="16"/>
          <w:szCs w:val="16"/>
          <w:color w:val="auto"/>
        </w:rPr>
        <w:t>Interest expense, net, for the three months ended September 30, 2022 was $2.4 million, compared to $1.5 million for the three months</w:t>
      </w:r>
    </w:p>
    <w:p>
      <w:pPr>
        <w:spacing w:after="0" w:line="12"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6"/>
          <w:szCs w:val="16"/>
          <w:color w:val="auto"/>
        </w:rPr>
        <w:t>ended September 30, 2021, an increase of $0.9 million. The increase is mainly due to a higher debt balance compared to the prior comparable period due to the execution of the Second Amendment to the Loan and Security Agreement with Hercules in May 2022.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nine months ended September 30, 2022 and 2021</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 xml:space="preserve">Product sales, net. </w:t>
      </w:r>
      <w:r>
        <w:rPr>
          <w:rFonts w:ascii="Times New Roman" w:cs="Times New Roman" w:eastAsia="Times New Roman" w:hAnsi="Times New Roman"/>
          <w:sz w:val="16"/>
          <w:szCs w:val="16"/>
          <w:color w:val="auto"/>
        </w:rPr>
        <w:t>We acquired the U.S. rights to Sunosi from Jazz on May 9, 2022. We sold Sunosi in the United States through a single 3PL. The 3PL</w:t>
      </w:r>
    </w:p>
    <w:p>
      <w:pPr>
        <w:spacing w:after="0" w:line="12" w:lineRule="exact"/>
        <w:rPr>
          <w:sz w:val="20"/>
          <w:szCs w:val="20"/>
          <w:color w:val="auto"/>
        </w:rPr>
      </w:pPr>
    </w:p>
    <w:p>
      <w:pPr>
        <w:ind w:right="320"/>
        <w:spacing w:after="0" w:line="231" w:lineRule="auto"/>
        <w:rPr>
          <w:sz w:val="20"/>
          <w:szCs w:val="20"/>
          <w:color w:val="auto"/>
        </w:rPr>
      </w:pPr>
      <w:r>
        <w:rPr>
          <w:rFonts w:ascii="Times New Roman" w:cs="Times New Roman" w:eastAsia="Times New Roman" w:hAnsi="Times New Roman"/>
          <w:sz w:val="16"/>
          <w:szCs w:val="16"/>
          <w:color w:val="auto"/>
        </w:rPr>
        <w:t>distributes the product to wholesale distributors with whom we have entered into formal distribution agreements. We did not record any product sales as with respect to Auvelity for such period.</w:t>
      </w:r>
    </w:p>
    <w:p>
      <w:pPr>
        <w:spacing w:after="0" w:line="166" w:lineRule="exact"/>
        <w:rPr>
          <w:sz w:val="20"/>
          <w:szCs w:val="20"/>
          <w:color w:val="auto"/>
        </w:rPr>
      </w:pPr>
    </w:p>
    <w:p>
      <w:pPr>
        <w:ind w:right="100" w:firstLine="749"/>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Cost of product sales. </w:t>
      </w:r>
      <w:r>
        <w:rPr>
          <w:rFonts w:ascii="Times New Roman" w:cs="Times New Roman" w:eastAsia="Times New Roman" w:hAnsi="Times New Roman"/>
          <w:sz w:val="16"/>
          <w:szCs w:val="16"/>
          <w:color w:val="auto"/>
        </w:rPr>
        <w:t>In connection with the Sunosi acquisition, we acquired inventory which was sold through our 3PL as described above. This also includes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royalty expense to SK and Aerial.</w:t>
      </w:r>
    </w:p>
    <w:p>
      <w:pPr>
        <w:spacing w:after="0" w:line="147"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Research and Development. </w:t>
      </w:r>
      <w:r>
        <w:rPr>
          <w:rFonts w:ascii="Times New Roman" w:cs="Times New Roman" w:eastAsia="Times New Roman" w:hAnsi="Times New Roman"/>
          <w:sz w:val="16"/>
          <w:szCs w:val="16"/>
          <w:color w:val="auto"/>
        </w:rPr>
        <w:t>Our research and development expenses for the nine months ended September 30, 2022 were $43.3 million, compared to $44.3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for the nine months ended September 30, 2021, a decrease of $1.0 million. The decrease was driven by NDA fees that were incurred in the prior comparable period.</w:t>
      </w:r>
    </w:p>
    <w:p>
      <w:pPr>
        <w:spacing w:after="0" w:line="147"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16"/>
          <w:szCs w:val="16"/>
          <w:i w:val="1"/>
          <w:iCs w:val="1"/>
          <w:color w:val="auto"/>
        </w:rPr>
        <w:t xml:space="preserve">Selling, general and administrative. </w:t>
      </w:r>
      <w:r>
        <w:rPr>
          <w:rFonts w:ascii="Times New Roman" w:cs="Times New Roman" w:eastAsia="Times New Roman" w:hAnsi="Times New Roman"/>
          <w:sz w:val="16"/>
          <w:szCs w:val="16"/>
          <w:color w:val="auto"/>
        </w:rPr>
        <w:t>Our selling, general and administrative expenses for the nine months ended September 30, 2022 were $97.8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compared to $47.8 million for the nine months ended September 30, 2021, an increase of $50.0 million. . The increase was primarily related to commercial activities related</w:t>
      </w:r>
    </w:p>
    <w:p>
      <w:pPr>
        <w:spacing w:after="0"/>
        <w:rPr>
          <w:sz w:val="20"/>
          <w:szCs w:val="20"/>
          <w:color w:val="auto"/>
        </w:rPr>
      </w:pPr>
      <w:r>
        <w:rPr>
          <w:rFonts w:ascii="Times New Roman" w:cs="Times New Roman" w:eastAsia="Times New Roman" w:hAnsi="Times New Roman"/>
          <w:sz w:val="16"/>
          <w:szCs w:val="16"/>
          <w:color w:val="auto"/>
        </w:rPr>
        <w:t>to Sunosi and Auvelity, including sales force onboarding and marketing spend, and higher non-cash stock compensation expense.</w:t>
      </w:r>
    </w:p>
    <w:p>
      <w:pPr>
        <w:spacing w:after="0" w:line="174" w:lineRule="exact"/>
        <w:rPr>
          <w:sz w:val="20"/>
          <w:szCs w:val="20"/>
          <w:color w:val="auto"/>
        </w:rPr>
      </w:pPr>
    </w:p>
    <w:p>
      <w:pPr>
        <w:ind w:right="840" w:firstLine="749"/>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Gain in Fair Value of Contingent Consideration. </w:t>
      </w:r>
      <w:r>
        <w:rPr>
          <w:rFonts w:ascii="Times New Roman" w:cs="Times New Roman" w:eastAsia="Times New Roman" w:hAnsi="Times New Roman"/>
          <w:sz w:val="16"/>
          <w:szCs w:val="16"/>
          <w:color w:val="auto"/>
        </w:rPr>
        <w:t>The change in fair value of contingent consideration was primarily due to the change in significant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unobservable inputs such as the discount rates.</w:t>
      </w:r>
    </w:p>
    <w:p>
      <w:pPr>
        <w:spacing w:after="0" w:line="147" w:lineRule="exact"/>
        <w:rPr>
          <w:sz w:val="20"/>
          <w:szCs w:val="20"/>
          <w:color w:val="auto"/>
        </w:rPr>
      </w:pPr>
    </w:p>
    <w:p>
      <w:pPr>
        <w:ind w:right="460" w:firstLine="749"/>
        <w:spacing w:after="0" w:line="265" w:lineRule="auto"/>
        <w:rPr>
          <w:sz w:val="20"/>
          <w:szCs w:val="20"/>
          <w:color w:val="auto"/>
        </w:rPr>
      </w:pPr>
      <w:r>
        <w:rPr>
          <w:rFonts w:ascii="Times New Roman" w:cs="Times New Roman" w:eastAsia="Times New Roman" w:hAnsi="Times New Roman"/>
          <w:sz w:val="16"/>
          <w:szCs w:val="16"/>
          <w:i w:val="1"/>
          <w:iCs w:val="1"/>
          <w:color w:val="auto"/>
        </w:rPr>
        <w:t>Intangible asset amortization</w:t>
      </w:r>
      <w:r>
        <w:rPr>
          <w:rFonts w:ascii="Times New Roman" w:cs="Times New Roman" w:eastAsia="Times New Roman" w:hAnsi="Times New Roman"/>
          <w:sz w:val="16"/>
          <w:szCs w:val="16"/>
          <w:color w:val="auto"/>
        </w:rPr>
        <w:t>. As part of the preliminary purchase price allocation, the Company determined the identifiable intangible asset is developed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technology. We amortize the intangible asset over its useful life of 10 years.</w:t>
      </w:r>
    </w:p>
    <w:p>
      <w:pPr>
        <w:spacing w:after="0" w:line="147"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16"/>
          <w:szCs w:val="16"/>
          <w:i w:val="1"/>
          <w:iCs w:val="1"/>
          <w:color w:val="auto"/>
        </w:rPr>
        <w:t xml:space="preserve">Interest expense, net. </w:t>
      </w:r>
      <w:r>
        <w:rPr>
          <w:rFonts w:ascii="Times New Roman" w:cs="Times New Roman" w:eastAsia="Times New Roman" w:hAnsi="Times New Roman"/>
          <w:sz w:val="16"/>
          <w:szCs w:val="16"/>
          <w:color w:val="auto"/>
        </w:rPr>
        <w:t>Interest expense, net, for the nine months ended September 30, 2022 was $6.0 million, compared to $4.3 million for the nine 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September 30, 2021, an increase of $1.7 million. The increase is mainly due to a higher debt balance compared to the prior comparable period due to the execution of the</w:t>
      </w:r>
    </w:p>
    <w:p>
      <w:pPr>
        <w:spacing w:after="0"/>
        <w:rPr>
          <w:sz w:val="20"/>
          <w:szCs w:val="20"/>
          <w:color w:val="auto"/>
        </w:rPr>
      </w:pPr>
      <w:r>
        <w:rPr>
          <w:rFonts w:ascii="Times New Roman" w:cs="Times New Roman" w:eastAsia="Times New Roman" w:hAnsi="Times New Roman"/>
          <w:sz w:val="16"/>
          <w:szCs w:val="16"/>
          <w:color w:val="auto"/>
        </w:rPr>
        <w:t>Second Amendment to the Loan and Security Agreement with Hercules in May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10" w:lineRule="exact"/>
        <w:rPr>
          <w:sz w:val="20"/>
          <w:szCs w:val="20"/>
          <w:color w:val="auto"/>
        </w:rPr>
      </w:pPr>
    </w:p>
    <w:p>
      <w:pPr>
        <w:ind w:right="460" w:firstLine="749"/>
        <w:spacing w:after="0" w:line="245" w:lineRule="auto"/>
        <w:rPr>
          <w:sz w:val="20"/>
          <w:szCs w:val="20"/>
          <w:color w:val="auto"/>
        </w:rPr>
      </w:pPr>
      <w:r>
        <w:rPr>
          <w:rFonts w:ascii="Times New Roman" w:cs="Times New Roman" w:eastAsia="Times New Roman" w:hAnsi="Times New Roman"/>
          <w:sz w:val="16"/>
          <w:szCs w:val="16"/>
          <w:color w:val="auto"/>
        </w:rPr>
        <w:t>Since our inception through September 30, 2022, we have financed our operations primarily through proceeds from equity offerings, debt borrowings and proceeds from product sales. See discussion below.</w:t>
      </w:r>
    </w:p>
    <w:p>
      <w:pPr>
        <w:spacing w:after="0" w:line="164"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16"/>
          <w:szCs w:val="16"/>
          <w:color w:val="auto"/>
        </w:rPr>
        <w:t>On December 5, 2019, we filed an automatic shelf registration statement with the SEC for the issuance of common stock, preferred stock, warrants, rights, debt securities and units up to an unlimited amount, which we refer to as the 2019 Shelf Registration Statement. It was declared effective by the SEC upon filing. As discussed in greater detail below, we entered into a sales agreement in December 2019 pursuant to which we sold shares of our common stock from time to time in an at-the-market offering and completed an offering of common stock in December 2019, each utilizing the 2019 Shelf Registration Statement. In the future, we may conduct additional offerings of one or more of these securities utilizing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2" w:lineRule="exact"/>
        <w:rPr>
          <w:sz w:val="20"/>
          <w:szCs w:val="20"/>
          <w:color w:val="auto"/>
        </w:rPr>
      </w:pPr>
    </w:p>
    <w:p>
      <w:pPr>
        <w:jc w:val="both"/>
        <w:ind w:right="120" w:firstLine="749"/>
        <w:spacing w:after="0" w:line="254" w:lineRule="auto"/>
        <w:rPr>
          <w:sz w:val="20"/>
          <w:szCs w:val="20"/>
          <w:color w:val="auto"/>
        </w:rPr>
      </w:pPr>
      <w:r>
        <w:rPr>
          <w:rFonts w:ascii="Times New Roman" w:cs="Times New Roman" w:eastAsia="Times New Roman" w:hAnsi="Times New Roman"/>
          <w:sz w:val="16"/>
          <w:szCs w:val="16"/>
          <w:color w:val="auto"/>
        </w:rPr>
        <w:t>In December 2019, we entered into the December 2019 Sales Agreement with SVB Securities, pursuant to which we may sell up to $80 million in shares of our common stock from time to time through SVB Securities, acting as our sales agent, in one or more at-the-market offerings utilizing the 2019 Shelf Registration Statement. SVB Securities is entitled to receive a commission of 3.0% of the gross proceeds for any shares sold under the December 2019 Sales Agreement.</w:t>
      </w:r>
    </w:p>
    <w:p>
      <w:pPr>
        <w:spacing w:after="0" w:line="185"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6"/>
          <w:szCs w:val="16"/>
          <w:color w:val="auto"/>
        </w:rPr>
        <w:t>In March 2022, we entered into the March 2022 Sales Agreement with SVB Securities, pursuant to which we may sell up to $200 million in shares of our common stock from time to time through SVB Securities, acting as our sales agent, in one or more at-the-market offerings utilizing the 2019 Shelf Registration Statement. SVB Securities is entitled to receive a commission of up to 3.0% of the gross proceeds for any shares sold under the March 2022 Sales Agreement. The March 2022 Sales Agreement supersedes the December 2019 Sales Agreement, by and between the Company and SVB Securities. The Company exhausted sales of its shares of the Company’s common stock under its prior at-the-market offering program.</w:t>
      </w:r>
    </w:p>
    <w:p>
      <w:pPr>
        <w:spacing w:after="0" w:line="189"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6"/>
          <w:szCs w:val="16"/>
          <w:color w:val="auto"/>
        </w:rPr>
        <w:t>In August 2022, we entered into the August 2022 Sales Agreement with SVB Securities, pursuant to which we may sell up to $250 million in shares of our common stock from time to time through SVB Securities, acting as our sales agent, in one or more at-the-market offerings utilizing the 2019 Shelf Registration Statement. We will pay SVB Securities a commission of up to 3.0% of the gross sales proceeds of any shares sold through SVB Securities, acting as sales agent, under the March 2022 Sales Agreement. The August 2022 Sales Agreement supersedes the March 2022 Sales Agreement, by and between the Company and SVB Securities. The Company exhausted sales of its shares of the Company’s common stock under its prior at-the-market offering program.</w:t>
      </w:r>
    </w:p>
    <w:p>
      <w:pPr>
        <w:spacing w:after="0" w:line="189" w:lineRule="exact"/>
        <w:rPr>
          <w:sz w:val="20"/>
          <w:szCs w:val="20"/>
          <w:color w:val="auto"/>
        </w:rPr>
      </w:pPr>
    </w:p>
    <w:p>
      <w:pPr>
        <w:ind w:right="440" w:firstLine="749"/>
        <w:spacing w:after="0" w:line="280" w:lineRule="auto"/>
        <w:rPr>
          <w:sz w:val="20"/>
          <w:szCs w:val="20"/>
          <w:color w:val="auto"/>
        </w:rPr>
      </w:pPr>
      <w:r>
        <w:rPr>
          <w:rFonts w:ascii="Times New Roman" w:cs="Times New Roman" w:eastAsia="Times New Roman" w:hAnsi="Times New Roman"/>
          <w:sz w:val="16"/>
          <w:szCs w:val="16"/>
          <w:color w:val="auto"/>
        </w:rPr>
        <w:t>Under the December 2019 Sales Agreement and March 2022 Sales Agreement, for the nine months ended September 30, 2022, we received approximately $238.8 million in gross proceeds through the sale of 5,167,973 shares, of which net proceeds were approximately $231.8 million.</w:t>
      </w:r>
    </w:p>
    <w:p>
      <w:pPr>
        <w:spacing w:after="0" w:line="165"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6"/>
          <w:szCs w:val="16"/>
          <w:color w:val="auto"/>
        </w:rPr>
        <w:t>In March 2022, we entered into a Second Amendment to Loan and Security Agreement with Hercules Capital, Inc. The Second Amendment amends the terms of that certain Loan and Security Agreement, dated as of September 25, 2020, by and among us, Hercules and the Lenders (as amended by that certain First Amendment to Loan and Security Agreement, dated as of October 14, 2021, and as further amended by the Second Amendment). In connection with the Second Amendment, the parties also clarified certain terms of the Warrant Agreement previously issued to Hercules. The Second Amendment was effective upon the closing of the Acquisition on May 9, 2022. See 'Contractual Obligations and Commitments - March 2022 Second Amendment to the Loan and Security Agreement – Hercules' section below for more information.</w:t>
      </w:r>
    </w:p>
    <w:p>
      <w:pPr>
        <w:spacing w:after="0" w:line="37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6"/>
          <w:szCs w:val="16"/>
          <w:color w:val="auto"/>
        </w:rPr>
        <w:t>In the future, we may conduct additional offerings of one or more of the securities covered by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believe that our current available cash, along with the remaining committed capital from the $300 million term loan facility, is sufficient to fund anticipated</w:t>
      </w:r>
    </w:p>
    <w:p>
      <w:pPr>
        <w:spacing w:after="0" w:line="2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6"/>
          <w:szCs w:val="16"/>
          <w:color w:val="auto"/>
        </w:rPr>
        <w:t>operations into 2025, based on the current operating plan, which includes the commercialization of Sunosi and Auvelity</w:t>
      </w:r>
      <w:r>
        <w:rPr>
          <w:rFonts w:ascii="Arial" w:cs="Arial" w:eastAsia="Arial" w:hAnsi="Arial"/>
          <w:sz w:val="17"/>
          <w:szCs w:val="17"/>
          <w:color w:val="auto"/>
        </w:rPr>
        <w:t>.</w:t>
      </w:r>
      <w:r>
        <w:rPr>
          <w:rFonts w:ascii="Times New Roman" w:cs="Times New Roman" w:eastAsia="Times New Roman" w:hAnsi="Times New Roman"/>
          <w:sz w:val="16"/>
          <w:szCs w:val="16"/>
          <w:color w:val="auto"/>
        </w:rPr>
        <w:t xml:space="preserve">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following table summarizes our primary sources and uses of cash for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39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4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(88,947,556 )</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(79,385,245 )</w:t>
            </w:r>
          </w:p>
        </w:tc>
      </w:tr>
      <w:tr>
        <w:trPr>
          <w:trHeight w:val="216"/>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(53,521,251 )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(307,549 )</w:t>
            </w: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283,516,171</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10,439,234</w:t>
            </w:r>
          </w:p>
        </w:tc>
      </w:tr>
      <w:tr>
        <w:trPr>
          <w:trHeight w:val="250"/>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8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141,047,364</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(69,253,560 )</w:t>
            </w:r>
          </w:p>
        </w:tc>
      </w:tr>
      <w:tr>
        <w:trPr>
          <w:trHeight w:val="615"/>
        </w:trPr>
        <w:tc>
          <w:tcPr>
            <w:tcW w:w="3900" w:type="dxa"/>
            <w:vAlign w:val="bottom"/>
          </w:tcPr>
          <w:p>
            <w:pPr>
              <w:spacing w:after="0"/>
              <w:rPr>
                <w:sz w:val="24"/>
                <w:szCs w:val="24"/>
                <w:color w:val="auto"/>
              </w:rPr>
            </w:pPr>
          </w:p>
        </w:tc>
        <w:tc>
          <w:tcPr>
            <w:tcW w:w="38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-513715</wp:posOffset>
            </wp:positionV>
            <wp:extent cx="1117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-496570</wp:posOffset>
            </wp:positionV>
            <wp:extent cx="1117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362" w:lineRule="exact"/>
        <w:rPr>
          <w:sz w:val="20"/>
          <w:szCs w:val="20"/>
          <w:color w:val="auto"/>
        </w:rPr>
      </w:pPr>
    </w:p>
    <w:p>
      <w:pPr>
        <w:ind w:right="280" w:firstLine="749"/>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Operating Activities. </w:t>
      </w:r>
      <w:r>
        <w:rPr>
          <w:rFonts w:ascii="Times New Roman" w:cs="Times New Roman" w:eastAsia="Times New Roman" w:hAnsi="Times New Roman"/>
          <w:sz w:val="16"/>
          <w:szCs w:val="16"/>
          <w:color w:val="auto"/>
        </w:rPr>
        <w:t>Cash used in operating activities for the nine months ended September 30, 2022 was $88.9 million as compared to $79.4 million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nine months ended September 30, 2021. The increase of $9.5 million in net cash used was mainly due to the commercialization activities.</w:t>
      </w:r>
    </w:p>
    <w:p>
      <w:pPr>
        <w:spacing w:after="0" w:line="133" w:lineRule="exact"/>
        <w:rPr>
          <w:sz w:val="20"/>
          <w:szCs w:val="20"/>
          <w:color w:val="auto"/>
        </w:rPr>
      </w:pPr>
    </w:p>
    <w:p>
      <w:pPr>
        <w:ind w:right="180" w:firstLine="749"/>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Investing Activities. </w:t>
      </w:r>
      <w:r>
        <w:rPr>
          <w:rFonts w:ascii="Times New Roman" w:cs="Times New Roman" w:eastAsia="Times New Roman" w:hAnsi="Times New Roman"/>
          <w:sz w:val="16"/>
          <w:szCs w:val="16"/>
          <w:color w:val="auto"/>
        </w:rPr>
        <w:t>Cash used in investing activities for the nine months ended September 30, 2022 was $53.5 million and was approximately $0.3 million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nine months ended September 30, 2021. The increase was due to the Sunosi acquisition for $53.0 million.</w:t>
      </w:r>
    </w:p>
    <w:p>
      <w:pPr>
        <w:spacing w:after="0" w:line="160"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Financing Activities. </w:t>
      </w:r>
      <w:r>
        <w:rPr>
          <w:rFonts w:ascii="Times New Roman" w:cs="Times New Roman" w:eastAsia="Times New Roman" w:hAnsi="Times New Roman"/>
          <w:sz w:val="16"/>
          <w:szCs w:val="16"/>
          <w:color w:val="auto"/>
        </w:rPr>
        <w:t>Cash provided by financing activities was $283.5 million for the nine months ended September 30, 2022, which included net proceeds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sale of common stock through our Sales Agreement with SVB Securities of $231.8 million, net proceeds from Tranche 1B related to the Second Amendment of the Loan and Security Agreement with Hercules of $45.0 million along with the purchase of 152,487 shares of our common stock for a total consideration of $5.0 million by Hercules, and proceeds from the issuance of common stock upon exercise of employee stock options of $3.4 million, offset by payment of contingent consideration and tax withholdings on stock award for a total of $1.2 million. Cash provided by financing activities was $10.4 million for the nine months ended September 30, 2021, which included net proceeds from the sale of common stock through our Sales Agreement with SVB Securities of $7.2 million and proceeds from the issuance of common stock upon exercise of employee stock options of $3.3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Funding requirements</w:t>
      </w:r>
    </w:p>
    <w:p>
      <w:pPr>
        <w:spacing w:after="0" w:line="21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6"/>
          <w:szCs w:val="16"/>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including Sunosi and Auvelity. We are subject to all of the risks pertinent to the development of new product candidates, and we may encounter unforeseen expenses, difficulties, complications, delays, and other unknown factors that may harm our business.</w:t>
      </w:r>
    </w:p>
    <w:p>
      <w:pPr>
        <w:spacing w:after="0" w:line="181"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6"/>
          <w:szCs w:val="16"/>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89"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rate of progress, results, and cost of our clinical studies and other related activities;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enter into collaborative agreements for the development and commercialization of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development requirements of any other product candidates that we pursue;</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reviews of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line="280" w:lineRule="auto"/>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future commercialization activities, including product manufacturing, marketing, sales, and distribution, for any of our product candidates for which we receive marketing approval;</w:t>
      </w:r>
    </w:p>
    <w:p>
      <w:pPr>
        <w:spacing w:after="0" w:line="15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 liability or other lawsuits related to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expenses needed to attract and retain skilled personnel;</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general and administrative expenses related to being a public company;</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if any, received from commercial sales of our products and product candidates for which we receive marketing approval; and</w:t>
      </w:r>
    </w:p>
    <w:p>
      <w:pPr>
        <w:spacing w:after="0" w:line="221" w:lineRule="exact"/>
        <w:rPr>
          <w:rFonts w:ascii="Times New Roman" w:cs="Times New Roman" w:eastAsia="Times New Roman" w:hAnsi="Times New Roman"/>
          <w:sz w:val="16"/>
          <w:szCs w:val="16"/>
          <w:color w:val="auto"/>
        </w:rPr>
      </w:pPr>
    </w:p>
    <w:p>
      <w:pPr>
        <w:ind w:left="760" w:right="600" w:hanging="378"/>
        <w:spacing w:after="0" w:line="202" w:lineRule="exact"/>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claims.</w:t>
      </w:r>
    </w:p>
    <w:p>
      <w:pPr>
        <w:spacing w:after="0" w:line="177" w:lineRule="exact"/>
        <w:rPr>
          <w:rFonts w:ascii="Times New Roman" w:cs="Times New Roman" w:eastAsia="Times New Roman" w:hAnsi="Times New Roman"/>
          <w:sz w:val="16"/>
          <w:szCs w:val="16"/>
          <w:color w:val="auto"/>
        </w:rPr>
      </w:pPr>
    </w:p>
    <w:p>
      <w:pPr>
        <w:ind w:left="7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see “Risk Factors” for additional risks associated with our substantial capital requirements.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License agreement with Pfizer</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6"/>
          <w:szCs w:val="16"/>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81" w:lineRule="exact"/>
        <w:rPr>
          <w:sz w:val="20"/>
          <w:szCs w:val="20"/>
          <w:color w:val="auto"/>
        </w:rPr>
      </w:pPr>
    </w:p>
    <w:p>
      <w:pPr>
        <w:ind w:right="40" w:firstLine="749"/>
        <w:spacing w:after="0" w:line="263" w:lineRule="auto"/>
        <w:rPr>
          <w:sz w:val="20"/>
          <w:szCs w:val="20"/>
          <w:color w:val="auto"/>
        </w:rPr>
      </w:pPr>
      <w:r>
        <w:rPr>
          <w:rFonts w:ascii="Times New Roman" w:cs="Times New Roman" w:eastAsia="Times New Roman" w:hAnsi="Times New Roman"/>
          <w:sz w:val="16"/>
          <w:szCs w:val="16"/>
          <w:color w:val="auto"/>
        </w:rPr>
        <w:t>Pfizer can also receive up to $323 million upon the achievement of certain regulatory and sales milestones, and tiered mid-single to low double-digit royalties on future sales. Pfizer will also have a right of first negotiation on any potential future strategic transactions involving AXS-12 and AXS-14.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License agreements with Antecip Bioventures</w:t>
      </w:r>
    </w:p>
    <w:p>
      <w:pPr>
        <w:spacing w:after="0" w:line="210" w:lineRule="exact"/>
        <w:rPr>
          <w:sz w:val="20"/>
          <w:szCs w:val="20"/>
          <w:color w:val="auto"/>
        </w:rPr>
      </w:pPr>
    </w:p>
    <w:p>
      <w:pPr>
        <w:jc w:val="both"/>
        <w:ind w:right="240" w:firstLine="749"/>
        <w:spacing w:after="0" w:line="263" w:lineRule="auto"/>
        <w:rPr>
          <w:sz w:val="20"/>
          <w:szCs w:val="20"/>
          <w:color w:val="auto"/>
        </w:rPr>
      </w:pPr>
      <w:r>
        <w:rPr>
          <w:rFonts w:ascii="Times New Roman" w:cs="Times New Roman" w:eastAsia="Times New Roman" w:hAnsi="Times New Roman"/>
          <w:sz w:val="16"/>
          <w:szCs w:val="16"/>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178" w:lineRule="exact"/>
        <w:rPr>
          <w:sz w:val="20"/>
          <w:szCs w:val="20"/>
          <w:color w:val="auto"/>
        </w:rPr>
      </w:pPr>
    </w:p>
    <w:p>
      <w:pPr>
        <w:ind w:right="380" w:firstLine="749"/>
        <w:spacing w:after="0" w:line="280" w:lineRule="auto"/>
        <w:rPr>
          <w:sz w:val="20"/>
          <w:szCs w:val="20"/>
          <w:color w:val="auto"/>
        </w:rPr>
      </w:pPr>
      <w:r>
        <w:rPr>
          <w:rFonts w:ascii="Times New Roman" w:cs="Times New Roman" w:eastAsia="Times New Roman" w:hAnsi="Times New Roman"/>
          <w:sz w:val="16"/>
          <w:szCs w:val="16"/>
          <w:color w:val="auto"/>
        </w:rPr>
        <w:t>In connection with the 2020 Term Loan, Antecip consented to the collateral assignment of one of the license agreements, among other things, under a direct agreement with us and Hercules.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March 2022 Second Amendment to the Loan and Security Agreement – Hercules</w:t>
      </w:r>
    </w:p>
    <w:p>
      <w:pPr>
        <w:spacing w:after="0" w:line="223" w:lineRule="exact"/>
        <w:rPr>
          <w:sz w:val="20"/>
          <w:szCs w:val="20"/>
          <w:color w:val="auto"/>
        </w:rPr>
      </w:pPr>
    </w:p>
    <w:p>
      <w:pPr>
        <w:ind w:right="40" w:firstLine="749"/>
        <w:spacing w:after="0" w:line="251" w:lineRule="auto"/>
        <w:rPr>
          <w:sz w:val="20"/>
          <w:szCs w:val="20"/>
          <w:color w:val="auto"/>
        </w:rPr>
      </w:pPr>
      <w:r>
        <w:rPr>
          <w:rFonts w:ascii="Times New Roman" w:cs="Times New Roman" w:eastAsia="Times New Roman" w:hAnsi="Times New Roman"/>
          <w:sz w:val="16"/>
          <w:szCs w:val="16"/>
          <w:color w:val="auto"/>
        </w:rPr>
        <w:t>In March 2022, we entered into a Second Amendment to Loan and Security Agreement with Hercules Capital, Inc. The Second Amendment amends the terms of that certain Loan and Security Agreement, dated as of September 25, 2020, by and among us, Hercules and the Lenders (as amended by that certain First Amendment to Loan and Security Agreement, dated as of October 14, 2021, and as further amended by the Second Amendment). In connection with the Second Amendment, the parties also clarified certain terms of the Warrant Agreement previously issued to Hercules. The Second Amendment was effective upon the closing of the Acquisition on May 9, 2022.</w:t>
      </w:r>
    </w:p>
    <w:p>
      <w:pPr>
        <w:spacing w:after="0" w:line="378"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The Second Amendment changed the Term Loan Advance (as defined in the Loan Agreement) amounts and dates available under Tranche 1 through Tranche 5, including increasing the Tranche 1 Advance (as defined in the Loan Agreement) from $60.0 million to $95.0 million, changing the Tranche 2 Advances (as defined in the Loan Agreement) from two sub-tranches of $50.0 million each to three sub-tranches of $35.0 million, $35.0 million and $30.0 million, respectively, changing the Tranche 3 Advance (as defined in the Loan Agreement) from one tranche of $20.0 million to two sub-tranches of $15.0 million and $5.0 million, respectively, decreasing the Tranche 4 Advance (as defined in the Loan Agreement) from $55.0 million to $50.0 million, and decreasing the Tranche 5 Advance (as defined in the Loan Agreement) from $75.0 million to $35.0 million; (iii) modified the interest rate (a floating rate based on the greater of (a) 8.95% or (b) US WSJ Prime + 5.70%) to not exceed 10.70%; and (iv) changed the minimum cash requirement of the Company from $15,000,000 (plus certain accounts payable amounts) to $40,000,000 (plus certain accounts payable amounts), provided that upon U.S. Food and Drug Administration (the “FDA”) approval of the Company’s AXS-05 product candidate for the treatment of major depressive disorder, the minimum cash requirement shall be $25.0 million (plus certain accounts payable amounts). The $40.0 million threshold decreased to $25.0 million upon achievement of the AXS-05 milestone.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Royalty Agreements</w:t>
      </w:r>
    </w:p>
    <w:p>
      <w:pPr>
        <w:spacing w:after="0" w:line="223" w:lineRule="exact"/>
        <w:rPr>
          <w:sz w:val="20"/>
          <w:szCs w:val="20"/>
          <w:color w:val="auto"/>
        </w:rPr>
      </w:pPr>
    </w:p>
    <w:p>
      <w:pPr>
        <w:ind w:right="80" w:firstLine="749"/>
        <w:spacing w:after="0" w:line="263" w:lineRule="auto"/>
        <w:rPr>
          <w:sz w:val="20"/>
          <w:szCs w:val="20"/>
          <w:color w:val="auto"/>
        </w:rPr>
      </w:pPr>
      <w:r>
        <w:rPr>
          <w:rFonts w:ascii="Times New Roman" w:cs="Times New Roman" w:eastAsia="Times New Roman" w:hAnsi="Times New Roman"/>
          <w:sz w:val="16"/>
          <w:szCs w:val="16"/>
          <w:color w:val="auto"/>
        </w:rPr>
        <w:t>Pursuant to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78" w:lineRule="exact"/>
        <w:rPr>
          <w:sz w:val="20"/>
          <w:szCs w:val="20"/>
          <w:color w:val="auto"/>
        </w:rPr>
      </w:pPr>
    </w:p>
    <w:p>
      <w:pPr>
        <w:ind w:right="580" w:firstLine="749"/>
        <w:spacing w:after="0" w:line="252" w:lineRule="auto"/>
        <w:rPr>
          <w:sz w:val="20"/>
          <w:szCs w:val="20"/>
          <w:color w:val="auto"/>
        </w:rPr>
      </w:pPr>
      <w:r>
        <w:rPr>
          <w:rFonts w:ascii="Times New Roman" w:cs="Times New Roman" w:eastAsia="Times New Roman" w:hAnsi="Times New Roman"/>
          <w:sz w:val="16"/>
          <w:szCs w:val="16"/>
          <w:color w:val="auto"/>
        </w:rPr>
        <w:t>At the initial closing, we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$165 million based on revenue milestones and $1 million based on development milestones.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 and Human Capital Management</w:t>
      </w:r>
    </w:p>
    <w:p>
      <w:pPr>
        <w:spacing w:after="0" w:line="197" w:lineRule="exact"/>
        <w:rPr>
          <w:sz w:val="20"/>
          <w:szCs w:val="20"/>
          <w:color w:val="auto"/>
        </w:rPr>
      </w:pPr>
    </w:p>
    <w:p>
      <w:pPr>
        <w:ind w:right="20" w:firstLine="749"/>
        <w:spacing w:after="0" w:line="191" w:lineRule="exact"/>
        <w:rPr>
          <w:sz w:val="20"/>
          <w:szCs w:val="20"/>
          <w:color w:val="auto"/>
        </w:rPr>
      </w:pPr>
      <w:r>
        <w:rPr>
          <w:rFonts w:ascii="Times New Roman" w:cs="Times New Roman" w:eastAsia="Times New Roman" w:hAnsi="Times New Roman"/>
          <w:sz w:val="16"/>
          <w:szCs w:val="16"/>
          <w:color w:val="auto"/>
        </w:rPr>
        <w:t>As of October 31, 2022, we had 352 full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time employees. None of our employees is represented by a collective bargaining agreement and we have never experienced any work stoppage. We believe that we maintain good relations with our employees. Our employees are highly skilled, and many hold advanced degrees. Many of our employees have experience with drug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took proactive steps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the CARES Act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On March 27, 2020, the Coronavirus Aid, Relief, and Economic Security Act (the “CARES Act”) was enacted and signed into law, and GAAP requires</w:t>
      </w:r>
    </w:p>
    <w:p>
      <w:pPr>
        <w:spacing w:after="0" w:line="10"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6"/>
          <w:szCs w:val="16"/>
          <w:color w:val="auto"/>
        </w:rPr>
        <w:t>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net operating losses (“NOLs”),</w:t>
      </w:r>
    </w:p>
    <w:p>
      <w:pPr>
        <w:jc w:val="both"/>
        <w:ind w:right="40"/>
        <w:spacing w:after="0" w:line="217" w:lineRule="auto"/>
        <w:rPr>
          <w:sz w:val="20"/>
          <w:szCs w:val="20"/>
          <w:color w:val="auto"/>
        </w:rPr>
      </w:pPr>
      <w:r>
        <w:rPr>
          <w:rFonts w:ascii="Times New Roman" w:cs="Times New Roman" w:eastAsia="Times New Roman" w:hAnsi="Times New Roman"/>
          <w:sz w:val="16"/>
          <w:szCs w:val="16"/>
          <w:color w:val="auto"/>
        </w:rPr>
        <w:t>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w:t>
      </w:r>
    </w:p>
    <w:p>
      <w:pPr>
        <w:spacing w:after="0"/>
        <w:rPr>
          <w:sz w:val="20"/>
          <w:szCs w:val="20"/>
          <w:color w:val="auto"/>
        </w:rPr>
      </w:pPr>
      <w:r>
        <w:rPr>
          <w:rFonts w:ascii="Times New Roman" w:cs="Times New Roman" w:eastAsia="Times New Roman" w:hAnsi="Times New Roman"/>
          <w:sz w:val="16"/>
          <w:szCs w:val="16"/>
          <w:color w:val="auto"/>
        </w:rPr>
        <w:t>benefit to us or have a material impact on our financial statements or internal controls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COVID-19 on our Business</w:t>
      </w:r>
    </w:p>
    <w:p>
      <w:pPr>
        <w:spacing w:after="0" w:line="210" w:lineRule="exact"/>
        <w:rPr>
          <w:sz w:val="20"/>
          <w:szCs w:val="20"/>
          <w:color w:val="auto"/>
        </w:rPr>
      </w:pPr>
    </w:p>
    <w:p>
      <w:pPr>
        <w:jc w:val="both"/>
        <w:ind w:right="100" w:firstLine="749"/>
        <w:spacing w:after="0" w:line="225" w:lineRule="auto"/>
        <w:rPr>
          <w:sz w:val="20"/>
          <w:szCs w:val="20"/>
          <w:color w:val="auto"/>
        </w:rPr>
      </w:pPr>
      <w:r>
        <w:rPr>
          <w:rFonts w:ascii="Times New Roman" w:cs="Times New Roman" w:eastAsia="Times New Roman" w:hAnsi="Times New Roman"/>
          <w:sz w:val="16"/>
          <w:szCs w:val="16"/>
          <w:color w:val="auto"/>
        </w:rPr>
        <w:t>In December 2019, a novel coronavirus known as SARS-CoV-2 was first detected in Wuhan, Hubei Province, People’s Republic of China, causing outbreaks of the coronavirus disease, known as COVID-19, which has spread globally. On January 30, 2020, the World Health Organization (WHO) declared COVID-19 a public health emergency. The Secretary of Health and Human Services declared a public health emergency in the United States on January 31, 2020, under section 319 of the Public</w:t>
      </w:r>
    </w:p>
    <w:p>
      <w:pPr>
        <w:spacing w:after="0"/>
        <w:rPr>
          <w:sz w:val="20"/>
          <w:szCs w:val="20"/>
          <w:color w:val="auto"/>
        </w:rPr>
      </w:pPr>
      <w:r>
        <w:rPr>
          <w:rFonts w:ascii="Times New Roman" w:cs="Times New Roman" w:eastAsia="Times New Roman" w:hAnsi="Times New Roman"/>
          <w:sz w:val="16"/>
          <w:szCs w:val="16"/>
          <w:color w:val="auto"/>
        </w:rPr>
        <w:t>Health Service Act (42 U.S.C. 247d), in response to the COVID-19 outbreak. On March 11, 2020, the WHO declared COVID-19 a global pandemic.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Operations and Liquidity</w:t>
      </w:r>
    </w:p>
    <w:p>
      <w:pPr>
        <w:spacing w:after="0" w:line="223" w:lineRule="exact"/>
        <w:rPr>
          <w:sz w:val="20"/>
          <w:szCs w:val="20"/>
          <w:color w:val="auto"/>
        </w:rPr>
      </w:pPr>
    </w:p>
    <w:p>
      <w:pPr>
        <w:ind w:right="80" w:firstLine="749"/>
        <w:spacing w:after="0" w:line="231" w:lineRule="auto"/>
        <w:rPr>
          <w:sz w:val="20"/>
          <w:szCs w:val="20"/>
          <w:color w:val="auto"/>
        </w:rPr>
      </w:pPr>
      <w:r>
        <w:rPr>
          <w:rFonts w:ascii="Times New Roman" w:cs="Times New Roman" w:eastAsia="Times New Roman" w:hAnsi="Times New Roman"/>
          <w:sz w:val="16"/>
          <w:szCs w:val="16"/>
          <w:color w:val="auto"/>
        </w:rPr>
        <w:t>The full impact of the COVID-19 pandemic is still unknown and constantly evolving. While the potential economic impact brought by and over the duration of the COVID-19 pandemic may be difficult to assess or predict, the COVID-19 pandemic has resulted in significant disruption of global financial markets, which could in the</w:t>
      </w:r>
    </w:p>
    <w:p>
      <w:pPr>
        <w:spacing w:after="0" w:line="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6"/>
          <w:szCs w:val="16"/>
          <w:color w:val="auto"/>
        </w:rPr>
        <w:t>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w:t>
      </w:r>
    </w:p>
    <w:p>
      <w:pPr>
        <w:ind w:right="100"/>
        <w:spacing w:after="0" w:line="224" w:lineRule="auto"/>
        <w:rPr>
          <w:sz w:val="20"/>
          <w:szCs w:val="20"/>
          <w:color w:val="auto"/>
        </w:rPr>
      </w:pPr>
      <w:r>
        <w:rPr>
          <w:rFonts w:ascii="Times New Roman" w:cs="Times New Roman" w:eastAsia="Times New Roman" w:hAnsi="Times New Roman"/>
          <w:sz w:val="16"/>
          <w:szCs w:val="16"/>
          <w:color w:val="auto"/>
        </w:rPr>
        <w:t>determine that the COVID-19 pandemic is adequately contained for purposes of our business. We may take further actions as government authorities require or recommend or as we determine to be in the best interests of our employees. To date, the COVID-19 pandemic has not had significant effects on the progression of our clinical trials. Given the nature and type of our short-term investments, we do not believe that the COVID-19 pandemic will have a material impact on our current investment liquidity.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212529"/>
        </w:rPr>
        <w:t>Outlook</w:t>
      </w:r>
    </w:p>
    <w:p>
      <w:pPr>
        <w:spacing w:after="0" w:line="223" w:lineRule="exact"/>
        <w:rPr>
          <w:sz w:val="20"/>
          <w:szCs w:val="20"/>
          <w:color w:val="auto"/>
        </w:rPr>
      </w:pPr>
    </w:p>
    <w:p>
      <w:pPr>
        <w:ind w:right="240" w:firstLine="749"/>
        <w:spacing w:after="0" w:line="225" w:lineRule="auto"/>
        <w:rPr>
          <w:sz w:val="20"/>
          <w:szCs w:val="20"/>
          <w:color w:val="auto"/>
        </w:rPr>
      </w:pPr>
      <w:r>
        <w:rPr>
          <w:rFonts w:ascii="Times New Roman" w:cs="Times New Roman" w:eastAsia="Times New Roman" w:hAnsi="Times New Roman"/>
          <w:sz w:val="16"/>
          <w:szCs w:val="16"/>
          <w:color w:val="auto"/>
        </w:rPr>
        <w:t>Although there is uncertainty related to the continuous impact of the COVID-19 pandemic on our future results, we believe our current cash reserves, coupled with our access to additional capital through the March 2022 Sales Agreement and debt facility, leave us well-positioned to manage our business through this crisis as it continues to unfold. However, the impacts of the COVID-19 pandemic are broad-reaching and continuing and the financial impacts associated with the COVID-19</w:t>
      </w:r>
    </w:p>
    <w:p>
      <w:pPr>
        <w:spacing w:after="0"/>
        <w:rPr>
          <w:sz w:val="20"/>
          <w:szCs w:val="20"/>
          <w:color w:val="auto"/>
        </w:rPr>
      </w:pPr>
      <w:r>
        <w:rPr>
          <w:rFonts w:ascii="Times New Roman" w:cs="Times New Roman" w:eastAsia="Times New Roman" w:hAnsi="Times New Roman"/>
          <w:sz w:val="16"/>
          <w:szCs w:val="16"/>
          <w:color w:val="auto"/>
        </w:rPr>
        <w:t>pandemic are still uncertain.</w:t>
      </w:r>
    </w:p>
    <w:p>
      <w:pPr>
        <w:spacing w:after="0" w:line="352" w:lineRule="exact"/>
        <w:rPr>
          <w:sz w:val="20"/>
          <w:szCs w:val="20"/>
          <w:color w:val="auto"/>
        </w:rPr>
      </w:pPr>
    </w:p>
    <w:p>
      <w:pPr>
        <w:ind w:right="20" w:firstLine="749"/>
        <w:spacing w:after="0" w:line="232" w:lineRule="auto"/>
        <w:rPr>
          <w:sz w:val="20"/>
          <w:szCs w:val="20"/>
          <w:color w:val="auto"/>
        </w:rPr>
      </w:pPr>
      <w:r>
        <w:rPr>
          <w:rFonts w:ascii="Times New Roman" w:cs="Times New Roman" w:eastAsia="Times New Roman" w:hAnsi="Times New Roman"/>
          <w:sz w:val="16"/>
          <w:szCs w:val="16"/>
          <w:color w:val="auto"/>
        </w:rPr>
        <w:t>As a result of the ongoing COVID-19 pandemic and its dynamic nature, including uncertainties relating to the ultimate geographic spread of the virus, the severity of the disease, the duration of the pandemic, and actions that have been or may be taken by governmental authorities to contain the pandemic or to treat its impact, it is difficult to forecast the effects of the COVID-19 pandemic on our results for the fiscal year ending December 31, 2022.</w:t>
      </w:r>
    </w:p>
    <w:p>
      <w:pPr>
        <w:spacing w:after="0" w:line="182" w:lineRule="exact"/>
        <w:rPr>
          <w:sz w:val="20"/>
          <w:szCs w:val="20"/>
          <w:color w:val="auto"/>
        </w:rPr>
      </w:pPr>
    </w:p>
    <w:p>
      <w:pPr>
        <w:ind w:right="200" w:firstLine="749"/>
        <w:spacing w:after="0" w:line="231" w:lineRule="auto"/>
        <w:rPr>
          <w:sz w:val="20"/>
          <w:szCs w:val="20"/>
          <w:color w:val="auto"/>
        </w:rPr>
      </w:pPr>
      <w:r>
        <w:rPr>
          <w:rFonts w:ascii="Times New Roman" w:cs="Times New Roman" w:eastAsia="Times New Roman" w:hAnsi="Times New Roman"/>
          <w:sz w:val="16"/>
          <w:szCs w:val="16"/>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6"/>
          <w:szCs w:val="16"/>
          <w:color w:val="auto"/>
        </w:rPr>
        <w:t>we may take additional actions based on their recommendations. In these circumstances, there may be developments outside of our control requiring us to adjust our operating plan. As such, given the dynamic nature of this situation, we cannot reasonably estimate the impacts of the COVID-19 pandemic on our financial condition, results of operations or cash flows in the future.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did not have during the periods presented, and we do not currently have, any off-balance sheet arrangements, as defined by applicable SEC regulations.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210" w:lineRule="exact"/>
        <w:rPr>
          <w:sz w:val="20"/>
          <w:szCs w:val="20"/>
          <w:color w:val="auto"/>
        </w:rPr>
      </w:pPr>
    </w:p>
    <w:p>
      <w:pPr>
        <w:ind w:right="600" w:firstLine="749"/>
        <w:spacing w:after="0" w:line="245" w:lineRule="auto"/>
        <w:rPr>
          <w:sz w:val="20"/>
          <w:szCs w:val="20"/>
          <w:color w:val="auto"/>
        </w:rPr>
      </w:pPr>
      <w:r>
        <w:rPr>
          <w:rFonts w:ascii="Times New Roman" w:cs="Times New Roman" w:eastAsia="Times New Roman" w:hAnsi="Times New Roman"/>
          <w:sz w:val="16"/>
          <w:szCs w:val="16"/>
          <w:color w:val="auto"/>
        </w:rPr>
        <w:t>Refer to Note 2 –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 ABOUT MARKET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210"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16"/>
          <w:szCs w:val="16"/>
          <w:color w:val="auto"/>
        </w:rPr>
        <w:t>We are exposed to market risks in the ordinary course of our business and from changes in the interest rate on our debt borrowings. These market risks are principally limited to interest rate fluctuations. We had cash of $227.5 million and $86.5 million as of September 30, 2022 and December 31, 2021, respectively. The primary objective of our investment activities is to preserve principal and liquidity while maximizing income without significantly increasing risk. We do not enter into investments for trading or speculative purposes. Due to the short-term nature of our investment portfolio and debt agreement,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 Exchange Risk</w:t>
      </w:r>
    </w:p>
    <w:p>
      <w:pPr>
        <w:spacing w:after="0" w:line="223" w:lineRule="exact"/>
        <w:rPr>
          <w:sz w:val="20"/>
          <w:szCs w:val="20"/>
          <w:color w:val="auto"/>
        </w:rPr>
      </w:pPr>
    </w:p>
    <w:p>
      <w:pPr>
        <w:ind w:right="60" w:firstLine="749"/>
        <w:spacing w:after="0" w:line="263" w:lineRule="auto"/>
        <w:rPr>
          <w:sz w:val="20"/>
          <w:szCs w:val="20"/>
          <w:color w:val="auto"/>
        </w:rPr>
      </w:pPr>
      <w:r>
        <w:rPr>
          <w:rFonts w:ascii="Times New Roman" w:cs="Times New Roman" w:eastAsia="Times New Roman" w:hAnsi="Times New Roman"/>
          <w:sz w:val="16"/>
          <w:szCs w:val="16"/>
          <w:color w:val="auto"/>
        </w:rPr>
        <w:t>We contract with vendors and third-party manufactures located in Europe and certain invoices are denominated in foreign currencies.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do not believe a 10% change in these currencies on September 30, 2022 would have had a material effect on our results of operations or financial condition.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Inflation Risk</w:t>
      </w:r>
    </w:p>
    <w:p>
      <w:pPr>
        <w:spacing w:after="0" w:line="223" w:lineRule="exact"/>
        <w:rPr>
          <w:sz w:val="20"/>
          <w:szCs w:val="20"/>
          <w:color w:val="auto"/>
        </w:rPr>
      </w:pPr>
    </w:p>
    <w:p>
      <w:pPr>
        <w:ind w:right="200" w:firstLine="749"/>
        <w:spacing w:after="0" w:line="280" w:lineRule="auto"/>
        <w:rPr>
          <w:sz w:val="20"/>
          <w:szCs w:val="20"/>
          <w:color w:val="auto"/>
        </w:rPr>
      </w:pPr>
      <w:r>
        <w:rPr>
          <w:rFonts w:ascii="Times New Roman" w:cs="Times New Roman" w:eastAsia="Times New Roman" w:hAnsi="Times New Roman"/>
          <w:sz w:val="16"/>
          <w:szCs w:val="16"/>
          <w:color w:val="auto"/>
        </w:rPr>
        <w:t>Inflation generally affects us by increasing our cost of labor and pricing of contracts. We do not believe that inflation has had a material effect on our business, financial condition, or results of operations during the nine months ended September 30,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21"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i w:val="1"/>
          <w:iCs w:val="1"/>
          <w:color w:val="auto"/>
        </w:rPr>
        <w:t xml:space="preserve">Disclosure Controls and Procedures. </w:t>
      </w:r>
      <w:r>
        <w:rPr>
          <w:rFonts w:ascii="Times New Roman" w:cs="Times New Roman" w:eastAsia="Times New Roman" w:hAnsi="Times New Roman"/>
          <w:sz w:val="16"/>
          <w:szCs w:val="16"/>
          <w:color w:val="auto"/>
        </w:rPr>
        <w:t>Our management, with the participation of our principal executive officer and our principal financial officer, evaluated,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92"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Changes in Internal Control over Financial Reporting. </w:t>
      </w:r>
      <w:r>
        <w:rPr>
          <w:rFonts w:ascii="Times New Roman" w:cs="Times New Roman" w:eastAsia="Times New Roman" w:hAnsi="Times New Roman"/>
          <w:sz w:val="16"/>
          <w:szCs w:val="16"/>
          <w:color w:val="auto"/>
        </w:rPr>
        <w:t>During the quarter ended September 30, 2022, other than continuing changes to our internal control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process resulting from acquisition of Sunosi, there have been no changes in internal controls over financial reporting that have materially affected, or are reasonably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223" w:lineRule="exact"/>
        <w:rPr>
          <w:sz w:val="20"/>
          <w:szCs w:val="20"/>
          <w:color w:val="auto"/>
        </w:rPr>
      </w:pPr>
    </w:p>
    <w:p>
      <w:pPr>
        <w:ind w:right="400" w:firstLine="749"/>
        <w:spacing w:after="0" w:line="280" w:lineRule="auto"/>
        <w:rPr>
          <w:sz w:val="20"/>
          <w:szCs w:val="20"/>
          <w:color w:val="auto"/>
        </w:rPr>
      </w:pPr>
      <w:r>
        <w:rPr>
          <w:rFonts w:ascii="Times New Roman" w:cs="Times New Roman" w:eastAsia="Times New Roman" w:hAnsi="Times New Roman"/>
          <w:sz w:val="16"/>
          <w:szCs w:val="16"/>
          <w:color w:val="auto"/>
        </w:rPr>
        <w:t>Except as described herein,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Securities Class Action</w:t>
      </w:r>
    </w:p>
    <w:p>
      <w:pPr>
        <w:spacing w:after="0" w:line="318"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6"/>
          <w:szCs w:val="16"/>
          <w:color w:val="auto"/>
        </w:rPr>
        <w:t xml:space="preserve">On May 13, 2022, Evy Gru filed a putative class action complaint captioned Gru v. Axsome Therapeutics, Inc., et. al., in the U.S. District Court for the Southern District of New York against the Company and certain of its current and former officers and one director (the “Securities Class Action”). The complaint asserts claims under Sections 10(b) and 20(a) of the Securities Exchange Act of 1934, as amended, and Rule 10b-5 promulgated thereunder, and alleges, among other things, that the defendants made false statements and omissions concerning the Company’s Chemistry Manufacturing and Controls practices, and its New Drug Application with the FDA, with respect to one of its product candidates, AXS-07. The plaintiffs seek unspecified damages, fees, interest, and costs. On August 11, 2022, the Court appointed lead Plaintiffs in the </w:t>
      </w:r>
      <w:r>
        <w:rPr>
          <w:rFonts w:ascii="Times New Roman" w:cs="Times New Roman" w:eastAsia="Times New Roman" w:hAnsi="Times New Roman"/>
          <w:sz w:val="16"/>
          <w:szCs w:val="16"/>
          <w:i w:val="1"/>
          <w:iCs w:val="1"/>
          <w:color w:val="auto"/>
        </w:rPr>
        <w:t xml:space="preserve">Gru </w:t>
      </w:r>
      <w:r>
        <w:rPr>
          <w:rFonts w:ascii="Times New Roman" w:cs="Times New Roman" w:eastAsia="Times New Roman" w:hAnsi="Times New Roman"/>
          <w:sz w:val="16"/>
          <w:szCs w:val="16"/>
          <w:color w:val="auto"/>
        </w:rPr>
        <w:t>action. On October 7, 2022, the</w:t>
      </w:r>
      <w:r>
        <w:rPr>
          <w:rFonts w:ascii="Times New Roman" w:cs="Times New Roman" w:eastAsia="Times New Roman" w:hAnsi="Times New Roman"/>
          <w:sz w:val="16"/>
          <w:szCs w:val="16"/>
          <w:i w:val="1"/>
          <w:iCs w:val="1"/>
          <w:color w:val="auto"/>
        </w:rPr>
        <w:t xml:space="preserve"> Gru </w:t>
      </w:r>
      <w:r>
        <w:rPr>
          <w:rFonts w:ascii="Times New Roman" w:cs="Times New Roman" w:eastAsia="Times New Roman" w:hAnsi="Times New Roman"/>
          <w:sz w:val="16"/>
          <w:szCs w:val="16"/>
          <w:color w:val="auto"/>
        </w:rPr>
        <w:t>plaintiffs filed an Amended Complaint. On November 4, 2022, Defendants filed a pre-motion to dismiss letter with the Court.</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Shareholder Derivative Action</w:t>
      </w:r>
    </w:p>
    <w:p>
      <w:pPr>
        <w:spacing w:after="0" w:line="331" w:lineRule="exact"/>
        <w:rPr>
          <w:sz w:val="20"/>
          <w:szCs w:val="20"/>
          <w:color w:val="auto"/>
        </w:rPr>
      </w:pPr>
    </w:p>
    <w:p>
      <w:pPr>
        <w:ind w:right="80" w:firstLine="749"/>
        <w:spacing w:after="0" w:line="272" w:lineRule="auto"/>
        <w:rPr>
          <w:sz w:val="20"/>
          <w:szCs w:val="20"/>
          <w:color w:val="auto"/>
        </w:rPr>
      </w:pPr>
      <w:r>
        <w:rPr>
          <w:rFonts w:ascii="Times New Roman" w:cs="Times New Roman" w:eastAsia="Times New Roman" w:hAnsi="Times New Roman"/>
          <w:sz w:val="16"/>
          <w:szCs w:val="16"/>
          <w:color w:val="auto"/>
        </w:rPr>
        <w:t xml:space="preserve">On July 21, 2022, Daniel Engel filed a stockholder derivative complaint captioned Engel v. Herriot Tabuteau, et. al., in the U.S. District Court for the Southern District of New York against the Company’s current directors, certain of the Company’s current and former officers, and the Company (as nominal defendant). The complaint arises out of similar allegations as those made in the Securities Class Action. The plaintiff asserts claims for breach of fiduciary duties against all of the defendants and for contribution for violations of Section 10(b) and 21D of the Securities Exchange Act of 1934. The plaintiff seeks unspecified damages, fees, interest, and costs, as well as corporate governance changes. The </w:t>
      </w:r>
      <w:r>
        <w:rPr>
          <w:rFonts w:ascii="Times New Roman" w:cs="Times New Roman" w:eastAsia="Times New Roman" w:hAnsi="Times New Roman"/>
          <w:sz w:val="16"/>
          <w:szCs w:val="16"/>
          <w:i w:val="1"/>
          <w:iCs w:val="1"/>
          <w:color w:val="auto"/>
        </w:rPr>
        <w:t>Engel</w:t>
      </w:r>
      <w:r>
        <w:rPr>
          <w:rFonts w:ascii="Times New Roman" w:cs="Times New Roman" w:eastAsia="Times New Roman" w:hAnsi="Times New Roman"/>
          <w:sz w:val="16"/>
          <w:szCs w:val="16"/>
          <w:color w:val="auto"/>
        </w:rPr>
        <w:t xml:space="preserve"> matter is currently stayed pending further proceedings in the </w:t>
      </w:r>
      <w:r>
        <w:rPr>
          <w:rFonts w:ascii="Times New Roman" w:cs="Times New Roman" w:eastAsia="Times New Roman" w:hAnsi="Times New Roman"/>
          <w:sz w:val="16"/>
          <w:szCs w:val="16"/>
          <w:i w:val="1"/>
          <w:iCs w:val="1"/>
          <w:color w:val="auto"/>
        </w:rPr>
        <w:t>Gru</w:t>
      </w:r>
      <w:r>
        <w:rPr>
          <w:rFonts w:ascii="Times New Roman" w:cs="Times New Roman" w:eastAsia="Times New Roman" w:hAnsi="Times New Roman"/>
          <w:sz w:val="16"/>
          <w:szCs w:val="16"/>
          <w:color w:val="auto"/>
        </w:rPr>
        <w:t xml:space="preserve"> matter.</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21" w:lineRule="exact"/>
        <w:rPr>
          <w:sz w:val="20"/>
          <w:szCs w:val="20"/>
          <w:color w:val="auto"/>
        </w:rPr>
      </w:pPr>
    </w:p>
    <w:p>
      <w:pPr>
        <w:ind w:right="100" w:firstLine="674"/>
        <w:spacing w:after="0" w:line="251" w:lineRule="auto"/>
        <w:rPr>
          <w:sz w:val="20"/>
          <w:szCs w:val="20"/>
          <w:color w:val="auto"/>
        </w:rPr>
      </w:pPr>
      <w:r>
        <w:rPr>
          <w:rFonts w:ascii="Times New Roman" w:cs="Times New Roman" w:eastAsia="Times New Roman" w:hAnsi="Times New Roman"/>
          <w:sz w:val="16"/>
          <w:szCs w:val="16"/>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Factors Summary</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business is subject to a number of risks and uncertainties, including those risks discussed at length below. These risks include, among others, the following:</w:t>
      </w:r>
    </w:p>
    <w:p>
      <w:pPr>
        <w:spacing w:after="0" w:line="217" w:lineRule="exact"/>
        <w:rPr>
          <w:sz w:val="20"/>
          <w:szCs w:val="20"/>
          <w:color w:val="auto"/>
        </w:rPr>
      </w:pPr>
    </w:p>
    <w:p>
      <w:pPr>
        <w:ind w:left="760" w:right="140" w:hanging="378"/>
        <w:spacing w:after="0" w:line="286" w:lineRule="auto"/>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55" w:lineRule="exact"/>
        <w:rPr>
          <w:rFonts w:ascii="Times New Roman" w:cs="Times New Roman" w:eastAsia="Times New Roman" w:hAnsi="Times New Roman"/>
          <w:sz w:val="16"/>
          <w:szCs w:val="16"/>
          <w:color w:val="auto"/>
        </w:rPr>
      </w:pPr>
    </w:p>
    <w:p>
      <w:pPr>
        <w:ind w:left="760" w:right="160" w:hanging="378"/>
        <w:spacing w:after="0" w:line="268" w:lineRule="auto"/>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9" w:lineRule="exact"/>
        <w:rPr>
          <w:rFonts w:ascii="Times New Roman" w:cs="Times New Roman" w:eastAsia="Times New Roman" w:hAnsi="Times New Roman"/>
          <w:sz w:val="16"/>
          <w:szCs w:val="16"/>
          <w:color w:val="auto"/>
        </w:rPr>
      </w:pPr>
    </w:p>
    <w:p>
      <w:pPr>
        <w:ind w:left="760" w:right="60" w:hanging="378"/>
        <w:spacing w:after="0" w:line="286" w:lineRule="auto"/>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have a limited operating history and history of commercializing products, which may make it difficult to evaluate our business and prospects.</w:t>
      </w:r>
    </w:p>
    <w:p>
      <w:pPr>
        <w:spacing w:after="0" w:line="221" w:lineRule="exact"/>
        <w:rPr>
          <w:rFonts w:ascii="Times New Roman" w:cs="Times New Roman" w:eastAsia="Times New Roman" w:hAnsi="Times New Roman"/>
          <w:sz w:val="16"/>
          <w:szCs w:val="16"/>
          <w:color w:val="auto"/>
        </w:rPr>
      </w:pPr>
    </w:p>
    <w:p>
      <w:pPr>
        <w:ind w:left="760" w:right="340" w:hanging="378"/>
        <w:spacing w:after="0" w:line="268"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are substantially dependent on the success of our products and cannot guarantee that any of our products will successfully complete any planned or ongoing clinical trials, receive regulatory approval, or be successfully commercialized.</w:t>
      </w:r>
    </w:p>
    <w:p>
      <w:pPr>
        <w:spacing w:after="0" w:line="169" w:lineRule="exact"/>
        <w:rPr>
          <w:rFonts w:ascii="Times New Roman" w:cs="Times New Roman" w:eastAsia="Times New Roman" w:hAnsi="Times New Roman"/>
          <w:sz w:val="16"/>
          <w:szCs w:val="16"/>
          <w:color w:val="auto"/>
        </w:rPr>
      </w:pPr>
    </w:p>
    <w:p>
      <w:pPr>
        <w:ind w:left="760" w:right="100" w:hanging="378"/>
        <w:spacing w:after="0" w:line="266"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1" w:lineRule="exact"/>
        <w:rPr>
          <w:rFonts w:ascii="Times New Roman" w:cs="Times New Roman" w:eastAsia="Times New Roman" w:hAnsi="Times New Roman"/>
          <w:sz w:val="16"/>
          <w:szCs w:val="16"/>
          <w:color w:val="auto"/>
        </w:rPr>
      </w:pPr>
    </w:p>
    <w:p>
      <w:pPr>
        <w:jc w:val="both"/>
        <w:ind w:left="760" w:right="60" w:hanging="378"/>
        <w:spacing w:after="0" w:line="257"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78" w:lineRule="exact"/>
        <w:rPr>
          <w:rFonts w:ascii="Times New Roman" w:cs="Times New Roman" w:eastAsia="Times New Roman" w:hAnsi="Times New Roman"/>
          <w:sz w:val="16"/>
          <w:szCs w:val="16"/>
          <w:color w:val="auto"/>
        </w:rPr>
      </w:pPr>
    </w:p>
    <w:p>
      <w:pPr>
        <w:ind w:left="760" w:right="160" w:hanging="378"/>
        <w:spacing w:after="0" w:line="286"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5" w:lineRule="exact"/>
        <w:rPr>
          <w:rFonts w:ascii="Times New Roman" w:cs="Times New Roman" w:eastAsia="Times New Roman" w:hAnsi="Times New Roman"/>
          <w:sz w:val="16"/>
          <w:szCs w:val="16"/>
          <w:color w:val="auto"/>
        </w:rPr>
      </w:pPr>
    </w:p>
    <w:p>
      <w:pPr>
        <w:ind w:left="760" w:right="120" w:hanging="378"/>
        <w:spacing w:after="0" w:line="257"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Even if we obtain FDA approval of an NDA for our product candidates, if we are unable to establish effective marketing, sales and distribution capabilities or enter into agreements with third parties to market, sell and distribute our product candidates, if they are approved, we may be unable to generate substantial product revenues.</w:t>
      </w:r>
    </w:p>
    <w:p>
      <w:pPr>
        <w:spacing w:after="0" w:line="17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If any of our current or future product candidates do not achieve broad market acceptance, the revenues that we generate from their sales will be limited.</w:t>
      </w:r>
    </w:p>
    <w:p>
      <w:pPr>
        <w:spacing w:after="0" w:line="221" w:lineRule="exact"/>
        <w:rPr>
          <w:rFonts w:ascii="Times New Roman" w:cs="Times New Roman" w:eastAsia="Times New Roman" w:hAnsi="Times New Roman"/>
          <w:sz w:val="16"/>
          <w:szCs w:val="16"/>
          <w:color w:val="auto"/>
        </w:rPr>
      </w:pPr>
    </w:p>
    <w:p>
      <w:pPr>
        <w:ind w:left="760" w:right="140" w:hanging="378"/>
        <w:spacing w:after="0" w:line="286"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42" w:lineRule="exact"/>
        <w:rPr>
          <w:rFonts w:ascii="Times New Roman" w:cs="Times New Roman" w:eastAsia="Times New Roman" w:hAnsi="Times New Roman"/>
          <w:sz w:val="16"/>
          <w:szCs w:val="16"/>
          <w:color w:val="auto"/>
        </w:rPr>
      </w:pPr>
    </w:p>
    <w:p>
      <w:pPr>
        <w:ind w:left="760" w:right="480" w:hanging="378"/>
        <w:spacing w:after="0" w:line="266"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71" w:lineRule="exact"/>
        <w:rPr>
          <w:rFonts w:ascii="Times New Roman" w:cs="Times New Roman" w:eastAsia="Times New Roman" w:hAnsi="Times New Roman"/>
          <w:sz w:val="16"/>
          <w:szCs w:val="16"/>
          <w:color w:val="auto"/>
        </w:rPr>
      </w:pPr>
    </w:p>
    <w:p>
      <w:pPr>
        <w:ind w:left="760" w:hanging="378"/>
        <w:spacing w:after="0" w:line="286"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Our business operations, financial condition, results of operations and cash flows may be adversely affected by the effects of health epidemics, pandemics, or outbreaks of infectious diseases, including the ongoing COVID-19 pandemic.</w:t>
      </w:r>
    </w:p>
    <w:p>
      <w:pPr>
        <w:spacing w:after="0" w:line="142" w:lineRule="exact"/>
        <w:rPr>
          <w:rFonts w:ascii="Times New Roman" w:cs="Times New Roman" w:eastAsia="Times New Roman" w:hAnsi="Times New Roman"/>
          <w:sz w:val="16"/>
          <w:szCs w:val="16"/>
          <w:color w:val="auto"/>
        </w:rPr>
      </w:pPr>
    </w:p>
    <w:p>
      <w:pPr>
        <w:ind w:left="760" w:hanging="378"/>
        <w:spacing w:after="0" w:line="256"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66" w:lineRule="exact"/>
        <w:rPr>
          <w:rFonts w:ascii="Times New Roman" w:cs="Times New Roman" w:eastAsia="Times New Roman" w:hAnsi="Times New Roman"/>
          <w:sz w:val="16"/>
          <w:szCs w:val="16"/>
          <w:color w:val="auto"/>
        </w:rPr>
      </w:pPr>
    </w:p>
    <w:p>
      <w:pPr>
        <w:ind w:left="760" w:right="280" w:hanging="378"/>
        <w:spacing w:after="0" w:line="286"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are dependent on third parties to decide to utilize our products effectively, including by making them readily available at the point of care throughout their networks of pharmacies.</w:t>
      </w:r>
    </w:p>
    <w:p>
      <w:pPr>
        <w:spacing w:after="0" w:line="155" w:lineRule="exact"/>
        <w:rPr>
          <w:rFonts w:ascii="Times New Roman" w:cs="Times New Roman" w:eastAsia="Times New Roman" w:hAnsi="Times New Roman"/>
          <w:sz w:val="16"/>
          <w:szCs w:val="16"/>
          <w:color w:val="auto"/>
        </w:rPr>
      </w:pPr>
    </w:p>
    <w:p>
      <w:pPr>
        <w:ind w:left="760" w:right="160" w:hanging="378"/>
        <w:spacing w:after="0" w:line="286"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55" w:lineRule="exact"/>
        <w:rPr>
          <w:rFonts w:ascii="Times New Roman" w:cs="Times New Roman" w:eastAsia="Times New Roman" w:hAnsi="Times New Roman"/>
          <w:sz w:val="16"/>
          <w:szCs w:val="16"/>
          <w:color w:val="auto"/>
        </w:rPr>
      </w:pPr>
    </w:p>
    <w:p>
      <w:pPr>
        <w:ind w:left="760" w:right="320" w:hanging="378"/>
        <w:spacing w:after="0" w:line="268"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ind w:left="760" w:hanging="378"/>
        <w:spacing w:after="0" w:line="257" w:lineRule="auto"/>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78" w:lineRule="exact"/>
        <w:rPr>
          <w:rFonts w:ascii="Times New Roman" w:cs="Times New Roman" w:eastAsia="Times New Roman" w:hAnsi="Times New Roman"/>
          <w:sz w:val="16"/>
          <w:szCs w:val="16"/>
          <w:color w:val="auto"/>
        </w:rPr>
      </w:pPr>
    </w:p>
    <w:p>
      <w:pPr>
        <w:jc w:val="both"/>
        <w:ind w:left="760" w:right="20" w:hanging="378"/>
        <w:spacing w:after="0" w:line="266" w:lineRule="auto"/>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71" w:lineRule="exact"/>
        <w:rPr>
          <w:rFonts w:ascii="Times New Roman" w:cs="Times New Roman" w:eastAsia="Times New Roman" w:hAnsi="Times New Roman"/>
          <w:sz w:val="16"/>
          <w:szCs w:val="16"/>
          <w:color w:val="auto"/>
        </w:rPr>
      </w:pPr>
    </w:p>
    <w:p>
      <w:pPr>
        <w:ind w:left="760" w:right="60" w:hanging="378"/>
        <w:spacing w:after="0" w:line="268" w:lineRule="auto"/>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69" w:lineRule="exact"/>
        <w:rPr>
          <w:rFonts w:ascii="Times New Roman" w:cs="Times New Roman" w:eastAsia="Times New Roman" w:hAnsi="Times New Roman"/>
          <w:sz w:val="16"/>
          <w:szCs w:val="16"/>
          <w:color w:val="auto"/>
        </w:rPr>
      </w:pPr>
    </w:p>
    <w:p>
      <w:pPr>
        <w:ind w:left="760" w:right="20" w:hanging="378"/>
        <w:spacing w:after="0" w:line="286" w:lineRule="auto"/>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55" w:lineRule="exact"/>
        <w:rPr>
          <w:rFonts w:ascii="Times New Roman" w:cs="Times New Roman" w:eastAsia="Times New Roman" w:hAnsi="Times New Roman"/>
          <w:sz w:val="16"/>
          <w:szCs w:val="16"/>
          <w:color w:val="auto"/>
        </w:rPr>
      </w:pPr>
    </w:p>
    <w:p>
      <w:pPr>
        <w:ind w:left="760" w:right="220" w:hanging="378"/>
        <w:spacing w:after="0" w:line="286" w:lineRule="auto"/>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Our principal stockholders and management own a significant percentage of our stock and may be able to exert significant control over matters subject to stockholder approval.</w:t>
      </w:r>
    </w:p>
    <w:p>
      <w:pPr>
        <w:spacing w:after="0" w:line="14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The use of our net operating loss carryforwards and research tax credits may be limited.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FINANCIAL CONDITION AND CAPITAL REQUIREMENTS</w:t>
      </w:r>
    </w:p>
    <w:p>
      <w:pPr>
        <w:spacing w:after="0" w:line="21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74" w:lineRule="exact"/>
        <w:rPr>
          <w:sz w:val="20"/>
          <w:szCs w:val="20"/>
          <w:color w:val="auto"/>
        </w:rPr>
      </w:pPr>
    </w:p>
    <w:p>
      <w:pPr>
        <w:ind w:right="200" w:firstLine="749"/>
        <w:spacing w:after="0" w:line="264" w:lineRule="auto"/>
        <w:rPr>
          <w:sz w:val="20"/>
          <w:szCs w:val="20"/>
          <w:color w:val="auto"/>
        </w:rPr>
      </w:pPr>
      <w:r>
        <w:rPr>
          <w:rFonts w:ascii="Times New Roman" w:cs="Times New Roman" w:eastAsia="Times New Roman" w:hAnsi="Times New Roman"/>
          <w:sz w:val="16"/>
          <w:szCs w:val="16"/>
          <w:color w:val="auto"/>
        </w:rPr>
        <w:t>We are a biopharmaceutical company with a limited operating history. For the last several years, we have focused our efforts primarily on developing CNS product candidates, AXS-05, AXS-07, AXS-12, and AXS-14, with the goal of achieving regulatory approval and commercialization. Since inception, we have incurred significant operating losses. Our net losses were $125.9 million for the nine months ended September 30, 2022 and $130.4 million for the year ended December 31, 2021.</w:t>
      </w:r>
    </w:p>
    <w:p>
      <w:pPr>
        <w:spacing w:after="0" w:line="250" w:lineRule="auto"/>
        <w:rPr>
          <w:sz w:val="20"/>
          <w:szCs w:val="20"/>
          <w:color w:val="auto"/>
        </w:rPr>
      </w:pPr>
      <w:r>
        <w:rPr>
          <w:rFonts w:ascii="Times New Roman" w:cs="Times New Roman" w:eastAsia="Times New Roman" w:hAnsi="Times New Roman"/>
          <w:sz w:val="16"/>
          <w:szCs w:val="16"/>
          <w:color w:val="auto"/>
        </w:rPr>
        <w:t>As of September 30, 2022, we had an accumulated deficit of $535.1 million. To date, we have not received regulatory approvals for any of our product candidates apart from Auvelity. We recently begun commercial sale of Sunosi and Auvelity in the US. 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Sunosi, Auvelity, and our current and future product candidates, if they are approved by the FDA. As a result, we expect to continue to incur significant losses for the foreseeable future. We anticipate that our expenses will increase substantially as we:</w:t>
      </w:r>
    </w:p>
    <w:p>
      <w:pPr>
        <w:spacing w:after="0" w:line="163" w:lineRule="exact"/>
        <w:rPr>
          <w:sz w:val="20"/>
          <w:szCs w:val="20"/>
          <w:color w:val="auto"/>
        </w:rPr>
      </w:pPr>
    </w:p>
    <w:p>
      <w:pPr>
        <w:ind w:left="760" w:hanging="378"/>
        <w:spacing w:after="0" w:line="184" w:lineRule="exact"/>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 for any additional product candidates that successfully complete late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stage clinical trials;</w:t>
      </w:r>
    </w:p>
    <w:p>
      <w:pPr>
        <w:spacing w:after="0" w:line="23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additional commercial, clinical, medical, quality, regulatory, and scientific personnel;</w:t>
      </w:r>
    </w:p>
    <w:p>
      <w:pPr>
        <w:spacing w:after="0" w:line="221" w:lineRule="exact"/>
        <w:rPr>
          <w:rFonts w:ascii="Times New Roman" w:cs="Times New Roman" w:eastAsia="Times New Roman" w:hAnsi="Times New Roman"/>
          <w:sz w:val="16"/>
          <w:szCs w:val="16"/>
          <w:color w:val="auto"/>
        </w:rPr>
      </w:pPr>
    </w:p>
    <w:p>
      <w:pPr>
        <w:ind w:left="760" w:right="140" w:hanging="378"/>
        <w:spacing w:after="0" w:line="280"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operational, financial, and management information systems and personnel, including personnel to support our product candidate development and planned commercialization efforts;</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 establish a sales, marketing, and distribution infrastructure;</w:t>
      </w:r>
    </w:p>
    <w:p>
      <w:pPr>
        <w:spacing w:after="0" w:line="221" w:lineRule="exact"/>
        <w:rPr>
          <w:rFonts w:ascii="Times New Roman" w:cs="Times New Roman" w:eastAsia="Times New Roman" w:hAnsi="Times New Roman"/>
          <w:sz w:val="16"/>
          <w:szCs w:val="16"/>
          <w:color w:val="auto"/>
        </w:rPr>
      </w:pPr>
    </w:p>
    <w:p>
      <w:pPr>
        <w:ind w:left="760" w:right="140" w:hanging="378"/>
        <w:spacing w:after="0" w:line="263"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external manufacturing capabilities and production to commercialize any products for which we may obtain regulatory approval and that we choose not to license to a third-party;</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undertake additional manufacturing activities of our product candidates to satisfy FDA requirements for marketing application submissions;</w:t>
      </w:r>
    </w:p>
    <w:p>
      <w:pPr>
        <w:spacing w:after="0" w:line="195"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our clinical trials with AXS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05 AD agitation;</w:t>
      </w:r>
    </w:p>
    <w:p>
      <w:pPr>
        <w:spacing w:after="0" w:line="24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our clinical trials with AXS-12 in narcolepsy;</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evaluate, plan for, and conduct, clinical trials for AXS-05 as an aid to smoking cessation treatment and other CNS disorders;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evaluate, plan for, and conduct, clinical trials for Sunosi in attention-deficit/hyperactivity disorder ("ADHD");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evaluate, plan for, and potentially submit an NDA for AXS-14 in fibromyalgia;</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expand commercial sales of Sunosi and Auvelity;</w:t>
      </w:r>
    </w:p>
    <w:p>
      <w:pPr>
        <w:spacing w:after="0" w:line="195"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or acquire additional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late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stage clinical trials;</w:t>
      </w:r>
    </w:p>
    <w:p>
      <w:pPr>
        <w:spacing w:after="0" w:line="207"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additional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clinical studies with any product candidates;</w:t>
      </w:r>
    </w:p>
    <w:p>
      <w:pPr>
        <w:spacing w:after="0" w:line="24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clinical studies with any additional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larger quantities of product;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expand, and protect our intellectual property portfolio.</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16"/>
          <w:szCs w:val="16"/>
          <w:color w:val="auto"/>
        </w:rPr>
        <w:t>To become and remain profitable, we must succeed in developing and/or commercializing products that generate significant revenue.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91" w:lineRule="exact"/>
        <w:rPr>
          <w:sz w:val="20"/>
          <w:szCs w:val="20"/>
          <w:color w:val="auto"/>
        </w:rPr>
      </w:pPr>
    </w:p>
    <w:p>
      <w:pPr>
        <w:ind w:right="100" w:firstLine="749"/>
        <w:spacing w:after="0" w:line="252" w:lineRule="auto"/>
        <w:rPr>
          <w:sz w:val="20"/>
          <w:szCs w:val="20"/>
          <w:color w:val="auto"/>
        </w:rPr>
      </w:pPr>
      <w:r>
        <w:rPr>
          <w:rFonts w:ascii="Times New Roman" w:cs="Times New Roman" w:eastAsia="Times New Roman" w:hAnsi="Times New Roman"/>
          <w:sz w:val="16"/>
          <w:szCs w:val="16"/>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6" w:lineRule="exact"/>
        <w:rPr>
          <w:sz w:val="20"/>
          <w:szCs w:val="20"/>
          <w:color w:val="auto"/>
        </w:rPr>
      </w:pPr>
    </w:p>
    <w:p>
      <w:pPr>
        <w:ind w:right="420" w:firstLine="749"/>
        <w:spacing w:after="0" w:line="254" w:lineRule="auto"/>
        <w:rPr>
          <w:sz w:val="20"/>
          <w:szCs w:val="20"/>
          <w:color w:val="auto"/>
        </w:rPr>
      </w:pPr>
      <w:r>
        <w:rPr>
          <w:rFonts w:ascii="Times New Roman" w:cs="Times New Roman" w:eastAsia="Times New Roman" w:hAnsi="Times New Roman"/>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59" w:lineRule="exact"/>
        <w:rPr>
          <w:sz w:val="20"/>
          <w:szCs w:val="20"/>
          <w:color w:val="auto"/>
        </w:rPr>
      </w:pPr>
    </w:p>
    <w:p>
      <w:pPr>
        <w:ind w:right="540" w:firstLine="749"/>
        <w:spacing w:after="0" w:line="191" w:lineRule="exact"/>
        <w:rPr>
          <w:sz w:val="20"/>
          <w:szCs w:val="20"/>
          <w:color w:val="auto"/>
        </w:rPr>
      </w:pPr>
      <w:r>
        <w:rPr>
          <w:rFonts w:ascii="Times New Roman" w:cs="Times New Roman" w:eastAsia="Times New Roman" w:hAnsi="Times New Roman"/>
          <w:sz w:val="16"/>
          <w:szCs w:val="16"/>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consuming, expensive, and uncertain process that takes years to complete. We may need to raise additional capital to:</w:t>
      </w:r>
    </w:p>
    <w:p>
      <w:pPr>
        <w:spacing w:after="0" w:line="197" w:lineRule="exact"/>
        <w:rPr>
          <w:sz w:val="20"/>
          <w:szCs w:val="20"/>
          <w:color w:val="auto"/>
        </w:rPr>
      </w:pPr>
    </w:p>
    <w:p>
      <w:pPr>
        <w:ind w:left="760" w:right="320" w:hanging="378"/>
        <w:spacing w:after="0" w:line="280" w:lineRule="auto"/>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 our future clinical trials for our current product candidates, especially if we encounter any unforeseen delays or difficulties in our planned development activities;</w:t>
      </w:r>
    </w:p>
    <w:p>
      <w:pPr>
        <w:spacing w:after="0" w:line="164" w:lineRule="exact"/>
        <w:rPr>
          <w:rFonts w:ascii="Times New Roman" w:cs="Times New Roman" w:eastAsia="Times New Roman" w:hAnsi="Times New Roman"/>
          <w:sz w:val="16"/>
          <w:szCs w:val="16"/>
          <w:color w:val="auto"/>
        </w:rPr>
      </w:pPr>
    </w:p>
    <w:p>
      <w:pPr>
        <w:ind w:left="760" w:right="180" w:hanging="378"/>
        <w:spacing w:after="0" w:line="280" w:lineRule="auto"/>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 our operations and continue our efforts to hire additional personnel and expand our commercial infrastructure to prepare for the commercialization of our current and future product candidates, if approved by the FDA or other comparable foreign regulatory authorities;</w:t>
      </w:r>
    </w:p>
    <w:p>
      <w:pPr>
        <w:spacing w:after="0" w:line="125"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qualify and outsource the commercial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scale manufacturing of our products under current good manufacturing practices, or cGMP;</w:t>
      </w:r>
    </w:p>
    <w:p>
      <w:pPr>
        <w:spacing w:after="0" w:line="24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additional product candidates; and</w:t>
      </w:r>
    </w:p>
    <w:p>
      <w:pPr>
        <w:spacing w:after="0" w:line="195"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other product candidates.</w:t>
      </w:r>
    </w:p>
    <w:p>
      <w:pPr>
        <w:spacing w:after="0" w:line="247"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6"/>
          <w:szCs w:val="16"/>
          <w:color w:val="auto"/>
        </w:rPr>
        <w:t>We believe that our current available cash, along with the remaining committed capital from the $300 million term loan facility, is sufficient to fund anticipated operations into 2025, based on the current operating plan, which includes the commercialization of Auvelity and Sunosi. Our assumptions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89"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of progress and costs related to the development of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conducting additional clinical and non-clinical studies with any of our product candidates;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for delays in our efforts to seek regulatory approval for our product candidates, and any costs associated with such delays;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expanding commercial organization to sell, market, and distribute our product candidates;</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6" w:lineRule="exact"/>
        <w:rPr>
          <w:sz w:val="20"/>
          <w:szCs w:val="20"/>
          <w:color w:val="auto"/>
        </w:rPr>
      </w:pPr>
    </w:p>
    <w:p>
      <w:pPr>
        <w:ind w:left="760" w:right="140" w:hanging="378"/>
        <w:spacing w:after="0" w:line="213" w:lineRule="exact"/>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of progress and costs of our efforts to prepare for the submission of an NDA, for any product candidates that we may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or acquire in the future, and the potential that we may need to conduct additional clinical or preclinical trials to support applications for regulatory approval;</w:t>
      </w:r>
    </w:p>
    <w:p>
      <w:pPr>
        <w:spacing w:after="0" w:line="18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filing, prosecuting, defending, and enforcing any patent claims and other intellectual property rights associated with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timing of manufacturing, or having third parties manufacture, sufficient supplies of our product candidates in preparation for commercialization;</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if any, received from commercial sales of our product candidates, subject to the receipt of regulatory approval;</w:t>
      </w:r>
    </w:p>
    <w:p>
      <w:pPr>
        <w:spacing w:after="0" w:line="195"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timing of any collaborative, licensing, co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promotion, or other arrangements that we may establish; and</w:t>
      </w:r>
    </w:p>
    <w:p>
      <w:pPr>
        <w:spacing w:after="0" w:line="23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the commercialization of any of our current or future product candidates.</w:t>
      </w:r>
    </w:p>
    <w:p>
      <w:pPr>
        <w:spacing w:after="0" w:line="221"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59"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In September 2020, we entered into a Loan and Security Agreement, or the Loan Agreement, for a term loan of up to $225.0 million,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In October 2021, we entered into a First Amendment to the Loan Agreement to, among other things, increase the size of the 2020 Term Loan to $300.0 million. In March 2022, we entered into a Second Amendment to the 2020 Term Loan that among other things, changed the terms of the Term Loan Advances (as defined in the 2020 Term Loan) upon the consummation of the Acquisition. The Loan and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The covenants also include, upon the Second Amendment closing date, maintaining cash in an account or accounts in which the Lenders have a first priority security interest, in an aggregate amount greater than or equal to $40.0 million, plus the amount of our accounts payable under U.S generally accepted accounting principles not paid after the 180th day following the invoice for such account payable, which we refer to as the Qualified Cash A/P Account. The $40.0 million threshold decreased to $25.0 million upon achievement of the AXS-05 milestone. Further, effective upon the later of (i) the last calendar month of the calendar quarter that is nine months following the earlier of (x) the date that the AXS-05 Milestone is achieved (y) the date that the AXS-07 Milestone is achieved, or (z) the final closing date of the Sunosi acquisition, we are obligated to (A) ensure that at all times our market capitalization exceeds $1.0 billion, and that we maintain cash in an account in which the Lenders have a first priority security interest in an amount not less than 50% of the sum of the outstanding principal amount of the term loan advances plus the Qualified Cash A/P Amount, (B) ensure that at all times that we maintain cash in an account in which the Lenders have a first priority security interest in an amount not less than 85% of the sum of the outstanding principal amount of the term loan advances plus the Qualified Cash A/P Amount, or (C) achieve at least 60% of the net product revenue per our board of directors approved forecast solely from the sale of AXS-05, AXS-07, and Sunosi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180" w:lineRule="exact"/>
        <w:rPr>
          <w:sz w:val="20"/>
          <w:szCs w:val="20"/>
          <w:color w:val="auto"/>
        </w:rPr>
      </w:pPr>
    </w:p>
    <w:p>
      <w:pPr>
        <w:ind w:right="160" w:firstLine="749"/>
        <w:spacing w:after="0" w:line="263" w:lineRule="auto"/>
        <w:rPr>
          <w:sz w:val="20"/>
          <w:szCs w:val="20"/>
          <w:color w:val="auto"/>
        </w:rPr>
      </w:pPr>
      <w:r>
        <w:rPr>
          <w:rFonts w:ascii="Times New Roman" w:cs="Times New Roman" w:eastAsia="Times New Roman" w:hAnsi="Times New Roman"/>
          <w:sz w:val="16"/>
          <w:szCs w:val="16"/>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 limited operating history and history of commercializing products, which may make it difficult to evaluate our business and prospects.</w:t>
      </w:r>
    </w:p>
    <w:p>
      <w:pPr>
        <w:spacing w:after="0" w:line="198"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16"/>
          <w:szCs w:val="16"/>
          <w:color w:val="auto"/>
        </w:rPr>
        <w:t>We commenced operations in 2012, and our operations to date have been limited to organizing and staffing our company, business planning, raising capital, developing our product candidates, including undertaking preclinical studies and conducting clinical trials of our product candidates, our recent acquisition and commercialization of Sunosi, and launch of Auvelity. In addition, as a relatively nascent business, we may encounter unforeseen expenses, difficulties, complications, delays, and other known and unknown difficulties. If any of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could be materially adversely affected by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negative impact on the global economy and capital markets resulting from the conflict in Ukraine or any other geopolitical tensions.</w:t>
      </w:r>
    </w:p>
    <w:p>
      <w:pPr>
        <w:spacing w:after="0" w:line="176"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6"/>
          <w:szCs w:val="16"/>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8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6"/>
          <w:szCs w:val="16"/>
          <w:color w:val="auto"/>
        </w:rPr>
        <w:t>Additionally,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16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6"/>
          <w:szCs w:val="16"/>
          <w:color w:val="auto"/>
        </w:rPr>
        <w:t>Although our business has not been materially impacted by the ongoing military conflict between Russian and Ukraine to date, it is impossible to predict the extent to which our operations, or those of our suppliers and manufacturers, will be impacted in the short and long term, or the ways in which the conflict may impact our business. The extent and duration of the military action, sanctions and resulting market disruptions are impossible to predict, but could be substantial. Any such disruptions may also magnify the impact of other risks described herein.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Climate change or legal, regulatory or market measures to address climate change may negatively affect our business, results of operations, cash flows and prospects.</w:t>
      </w:r>
    </w:p>
    <w:p>
      <w:pPr>
        <w:spacing w:after="0" w:line="198"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6"/>
          <w:szCs w:val="16"/>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86"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6"/>
          <w:szCs w:val="16"/>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189"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6"/>
          <w:szCs w:val="16"/>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THE DEVELOPMENT OF OUR PRODUCT CANDIDATES</w:t>
      </w:r>
    </w:p>
    <w:p>
      <w:pPr>
        <w:spacing w:after="0" w:line="2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We are substantially dependent on the success of our products and cannot guarantee that any of our products will successfully complete any planned or ongoing clinical trials, receive regulatory approval, or be successfully commercialized.</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currently have two products approved for commercial distribution. We have invested a significant portion of our efforts and financial resources in the</w:t>
      </w:r>
    </w:p>
    <w:p>
      <w:pPr>
        <w:spacing w:after="0" w:line="10" w:lineRule="exact"/>
        <w:rPr>
          <w:sz w:val="20"/>
          <w:szCs w:val="20"/>
          <w:color w:val="auto"/>
        </w:rPr>
      </w:pPr>
    </w:p>
    <w:p>
      <w:pPr>
        <w:ind w:right="420"/>
        <w:spacing w:after="0" w:line="220" w:lineRule="auto"/>
        <w:rPr>
          <w:sz w:val="20"/>
          <w:szCs w:val="20"/>
          <w:color w:val="auto"/>
        </w:rPr>
      </w:pPr>
      <w:r>
        <w:rPr>
          <w:rFonts w:ascii="Times New Roman" w:cs="Times New Roman" w:eastAsia="Times New Roman" w:hAnsi="Times New Roman"/>
          <w:sz w:val="16"/>
          <w:szCs w:val="16"/>
          <w:color w:val="auto"/>
        </w:rPr>
        <w:t>development of our product candidates. Our business, including our ability to generate revenue, depends entirely on the successful commercialization of Sunosi and Auvelity and the successful development and commercialization of our product candidates, which may never occur. Furthermore, given the nature of our business, the</w:t>
      </w:r>
    </w:p>
    <w:p>
      <w:pPr>
        <w:ind w:right="60"/>
        <w:spacing w:after="0" w:line="224" w:lineRule="auto"/>
        <w:rPr>
          <w:sz w:val="20"/>
          <w:szCs w:val="20"/>
          <w:color w:val="auto"/>
        </w:rPr>
      </w:pPr>
      <w:r>
        <w:rPr>
          <w:rFonts w:ascii="Times New Roman" w:cs="Times New Roman" w:eastAsia="Times New Roman" w:hAnsi="Times New Roman"/>
          <w:sz w:val="16"/>
          <w:szCs w:val="16"/>
          <w:color w:val="auto"/>
        </w:rPr>
        <w:t>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such change in our business strategy could harm our business, cause uncertainty or confusion in the marketplace or harm the clinical prospects of our products.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product candidates will require additional clinical and non-clinical development, regulatory approval, commercial manufacturing arrangements, significant</w:t>
      </w:r>
    </w:p>
    <w:p>
      <w:pPr>
        <w:spacing w:after="0" w:line="10" w:lineRule="exact"/>
        <w:rPr>
          <w:sz w:val="20"/>
          <w:szCs w:val="20"/>
          <w:color w:val="auto"/>
        </w:rPr>
      </w:pPr>
    </w:p>
    <w:p>
      <w:pPr>
        <w:ind w:right="160"/>
        <w:spacing w:after="0" w:line="224" w:lineRule="auto"/>
        <w:rPr>
          <w:sz w:val="20"/>
          <w:szCs w:val="20"/>
          <w:color w:val="auto"/>
        </w:rPr>
      </w:pPr>
      <w:r>
        <w:rPr>
          <w:rFonts w:ascii="Times New Roman" w:cs="Times New Roman" w:eastAsia="Times New Roman" w:hAnsi="Times New Roman"/>
          <w:sz w:val="16"/>
          <w:szCs w:val="16"/>
          <w:color w:val="auto"/>
        </w:rPr>
        <w:t>marketing efforts, and further investment before we generate any revenues from the sale of such product candidates. A Phase 3 trial with AXS-05 in AD agitation and a Phase 3 trial with AXS-12 in narcolepsy are ongoing. As a result of one or more risks discussed in this section, we cannot assure you that we will meet projected timelines related to these trials.</w:t>
      </w:r>
    </w:p>
    <w:p>
      <w:pPr>
        <w:spacing w:after="0" w:line="182" w:lineRule="exact"/>
        <w:rPr>
          <w:sz w:val="20"/>
          <w:szCs w:val="20"/>
          <w:color w:val="auto"/>
        </w:rPr>
      </w:pPr>
    </w:p>
    <w:p>
      <w:pPr>
        <w:ind w:right="80" w:firstLine="749"/>
        <w:spacing w:after="0" w:line="231" w:lineRule="auto"/>
        <w:rPr>
          <w:sz w:val="20"/>
          <w:szCs w:val="20"/>
          <w:color w:val="auto"/>
        </w:rPr>
      </w:pPr>
      <w:r>
        <w:rPr>
          <w:rFonts w:ascii="Times New Roman" w:cs="Times New Roman" w:eastAsia="Times New Roman" w:hAnsi="Times New Roman"/>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w:t>
      </w:r>
    </w:p>
    <w:p>
      <w:pPr>
        <w:spacing w:after="0" w:line="1"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16"/>
          <w:szCs w:val="16"/>
          <w:color w:val="auto"/>
        </w:rPr>
        <w:t>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w:t>
      </w:r>
    </w:p>
    <w:p>
      <w:pPr>
        <w:ind w:right="20"/>
        <w:spacing w:after="0" w:line="220" w:lineRule="auto"/>
        <w:rPr>
          <w:sz w:val="20"/>
          <w:szCs w:val="20"/>
          <w:color w:val="auto"/>
        </w:rPr>
      </w:pPr>
      <w:r>
        <w:rPr>
          <w:rFonts w:ascii="Times New Roman" w:cs="Times New Roman" w:eastAsia="Times New Roman" w:hAnsi="Times New Roman"/>
          <w:sz w:val="16"/>
          <w:szCs w:val="16"/>
          <w:color w:val="auto"/>
        </w:rPr>
        <w:t>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w:t>
      </w:r>
    </w:p>
    <w:p>
      <w:pPr>
        <w:spacing w:after="0"/>
        <w:rPr>
          <w:sz w:val="20"/>
          <w:szCs w:val="20"/>
          <w:color w:val="auto"/>
        </w:rPr>
      </w:pPr>
      <w:r>
        <w:rPr>
          <w:rFonts w:ascii="Times New Roman" w:cs="Times New Roman" w:eastAsia="Times New Roman" w:hAnsi="Times New Roman"/>
          <w:sz w:val="16"/>
          <w:szCs w:val="16"/>
          <w:color w:val="auto"/>
        </w:rPr>
        <w:t>candidates will have a material adverse impact on our business and financial condition.</w:t>
      </w:r>
    </w:p>
    <w:p>
      <w:pPr>
        <w:spacing w:after="0" w:line="176" w:lineRule="exact"/>
        <w:rPr>
          <w:sz w:val="20"/>
          <w:szCs w:val="20"/>
          <w:color w:val="auto"/>
        </w:rPr>
      </w:pPr>
    </w:p>
    <w:p>
      <w:pPr>
        <w:ind w:right="260" w:firstLine="749"/>
        <w:spacing w:after="0" w:line="231" w:lineRule="auto"/>
        <w:rPr>
          <w:sz w:val="20"/>
          <w:szCs w:val="20"/>
          <w:color w:val="auto"/>
        </w:rPr>
      </w:pPr>
      <w:r>
        <w:rPr>
          <w:rFonts w:ascii="Times New Roman" w:cs="Times New Roman" w:eastAsia="Times New Roman" w:hAnsi="Times New Roman"/>
          <w:sz w:val="16"/>
          <w:szCs w:val="16"/>
          <w:color w:val="auto"/>
        </w:rPr>
        <w:t>Although we submitted NDAs to the FDA for Auvelity and for AXS-07 for the acute treatment of migraine, we have not otherwise submitted an NDA to the FDA, or similar drug approval filings to comparable foreign authorities, for any product candidate, and we cannot be certain that our current or future product candidates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will be successful in clinical trials or receive regulatory approval.</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product candidates are susceptible to the risks of failure inherent at any stage of product development, including the appearance of unexpected adverse</w:t>
      </w:r>
    </w:p>
    <w:p>
      <w:pPr>
        <w:spacing w:after="0" w:line="10"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6"/>
          <w:szCs w:val="16"/>
          <w:color w:val="auto"/>
        </w:rPr>
        <w:t>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w:t>
      </w:r>
    </w:p>
    <w:p>
      <w:pPr>
        <w:spacing w:after="0" w:line="224" w:lineRule="auto"/>
        <w:rPr>
          <w:sz w:val="20"/>
          <w:szCs w:val="20"/>
          <w:color w:val="auto"/>
        </w:rPr>
      </w:pPr>
      <w:r>
        <w:rPr>
          <w:rFonts w:ascii="Times New Roman" w:cs="Times New Roman" w:eastAsia="Times New Roman" w:hAnsi="Times New Roman"/>
          <w:sz w:val="16"/>
          <w:szCs w:val="16"/>
          <w:color w:val="auto"/>
        </w:rPr>
        <w:t>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If approved for marketing by applicable regulatory authorities, our ability to generate revenues from our product candidates depend on our ability to:</w:t>
      </w:r>
    </w:p>
    <w:p>
      <w:pPr>
        <w:spacing w:after="0" w:line="221" w:lineRule="exact"/>
        <w:rPr>
          <w:sz w:val="20"/>
          <w:szCs w:val="20"/>
          <w:color w:val="auto"/>
        </w:rPr>
      </w:pPr>
    </w:p>
    <w:p>
      <w:pPr>
        <w:ind w:left="760" w:right="680" w:hanging="378"/>
        <w:spacing w:after="0" w:line="263" w:lineRule="auto"/>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market demand for our product candidates through our own marketing and sales activities, and any other arrangements to promote these product candidates that we may otherwise establish;</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regulatory approval for claims that are necessary or desirable for successful marketing;</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train, and deploy a sales force to commercialize our product candidates;</w:t>
      </w:r>
    </w:p>
    <w:p>
      <w:pPr>
        <w:spacing w:after="0" w:line="221" w:lineRule="exact"/>
        <w:rPr>
          <w:rFonts w:ascii="Times New Roman" w:cs="Times New Roman" w:eastAsia="Times New Roman" w:hAnsi="Times New Roman"/>
          <w:sz w:val="16"/>
          <w:szCs w:val="16"/>
          <w:color w:val="auto"/>
        </w:rPr>
      </w:pPr>
    </w:p>
    <w:p>
      <w:pPr>
        <w:ind w:left="760" w:right="340" w:hanging="378"/>
        <w:spacing w:after="0" w:line="280" w:lineRule="auto"/>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manufacture (or have manufactured by third parties) our product candidates in sufficient quantities and at acceptable quality and manufacturing cost to meet commercial demand at launch and thereafter;</w:t>
      </w:r>
    </w:p>
    <w:p>
      <w:pPr>
        <w:spacing w:after="0" w:line="15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and maintain agreements with wholesalers, distributors, and group purchasing organizations on commercially reasonable terms;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partnerships with, or offer licenses to, third parties to promote and sell our product candidates in foreign markets where we receive marketing approval:</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patent and trade secret protection and regulatory exclusivity for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 commercial sales of our product candidates, whether alone or in collaboration with others;</w:t>
      </w:r>
    </w:p>
    <w:p>
      <w:pPr>
        <w:spacing w:after="0" w:line="195"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market acceptance of our product candidates by patients, the medical community, and government and private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w:t>
      </w:r>
    </w:p>
    <w:p>
      <w:pPr>
        <w:spacing w:after="0" w:line="23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appropriate reimbursement for our product candidates;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compete with other therapies;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 continued acceptable safety profile of our product candidates following launch.</w:t>
      </w:r>
    </w:p>
    <w:p>
      <w:pPr>
        <w:spacing w:after="0" w:line="20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60"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4"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ADHD, AXS-05 for the treatment of agitation associated with AD, and smoking cessation, AXS-07 for the acute treatment of migraine,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AXS-05, as well as two product candidates that are not currently in active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46" w:lineRule="exact"/>
        <w:rPr>
          <w:sz w:val="20"/>
          <w:szCs w:val="20"/>
          <w:color w:val="auto"/>
        </w:rPr>
      </w:pPr>
    </w:p>
    <w:p>
      <w:pPr>
        <w:ind w:right="260" w:firstLine="749"/>
        <w:spacing w:after="0" w:line="280" w:lineRule="auto"/>
        <w:rPr>
          <w:sz w:val="20"/>
          <w:szCs w:val="20"/>
          <w:color w:val="auto"/>
        </w:rPr>
      </w:pPr>
      <w:r>
        <w:rPr>
          <w:rFonts w:ascii="Times New Roman" w:cs="Times New Roman" w:eastAsia="Times New Roman" w:hAnsi="Times New Roman"/>
          <w:sz w:val="16"/>
          <w:szCs w:val="16"/>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65"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or inability to secure financing to fund business activities for such development;</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of our business and diversion of our management’s time and attention;</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than expected development costs;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unknown liabilities;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in managing multiple product development programs;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successfully develop new products or clinical failure.</w:t>
      </w:r>
    </w:p>
    <w:p>
      <w:pPr>
        <w:spacing w:after="0" w:line="20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6"/>
          <w:szCs w:val="16"/>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7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are not permitted to commercialize, market, promote, or sell any product candidate in the United States without obtaining marketing approval from the FDA.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Comparable foreign regulatory authorities, such as the European Medicines Agency, or EMA, impose similar restrictions.</w:t>
      </w:r>
    </w:p>
    <w:p>
      <w:pPr>
        <w:spacing w:after="0" w:line="203"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6"/>
          <w:szCs w:val="16"/>
          <w:color w:val="auto"/>
        </w:rPr>
        <w:t>In the United States, we currently plan to, at least initially, seek approval of most of our product candidates using the 505(b)(2) pathway, with the exception of AXS-12 and AXS-14.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89" w:lineRule="exact"/>
        <w:rPr>
          <w:sz w:val="20"/>
          <w:szCs w:val="20"/>
          <w:color w:val="auto"/>
        </w:rPr>
      </w:pPr>
    </w:p>
    <w:p>
      <w:pPr>
        <w:ind w:right="260" w:firstLine="749"/>
        <w:spacing w:after="0" w:line="194" w:lineRule="exact"/>
        <w:rPr>
          <w:sz w:val="20"/>
          <w:szCs w:val="20"/>
          <w:color w:val="auto"/>
        </w:rPr>
      </w:pPr>
      <w:r>
        <w:rPr>
          <w:rFonts w:ascii="Times New Roman" w:cs="Times New Roman" w:eastAsia="Times New Roman" w:hAnsi="Times New Roman"/>
          <w:sz w:val="16"/>
          <w:szCs w:val="16"/>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wide warnings. For instance, antidepressants, including Auvelity, include a class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wide black box warning regarding the increased risk of suicidal thoughts and behavior.</w:t>
      </w:r>
    </w:p>
    <w:p>
      <w:pPr>
        <w:spacing w:after="0" w:line="178" w:lineRule="exact"/>
        <w:rPr>
          <w:sz w:val="20"/>
          <w:szCs w:val="20"/>
          <w:color w:val="auto"/>
        </w:rPr>
      </w:pPr>
    </w:p>
    <w:p>
      <w:pPr>
        <w:ind w:firstLine="749"/>
        <w:spacing w:after="0" w:line="191" w:lineRule="exact"/>
        <w:rPr>
          <w:sz w:val="20"/>
          <w:szCs w:val="20"/>
          <w:color w:val="auto"/>
        </w:rPr>
      </w:pPr>
      <w:r>
        <w:rPr>
          <w:rFonts w:ascii="Times New Roman" w:cs="Times New Roman" w:eastAsia="Times New Roman" w:hAnsi="Times New Roman"/>
          <w:sz w:val="16"/>
          <w:szCs w:val="16"/>
          <w:color w:val="auto"/>
        </w:rPr>
        <w:t>Based on the side effects disclosed in FDA product labeling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containing or rizatriptan-containing products including Anjeso, Vivlodex, Mobic, and Maxalt.</w:t>
      </w:r>
    </w:p>
    <w:p>
      <w:pPr>
        <w:spacing w:after="0" w:line="182"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6"/>
          <w:szCs w:val="16"/>
          <w:color w:val="auto"/>
        </w:rPr>
        <w:t>Based on the side effects disclosed in EMA required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70"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16"/>
          <w:szCs w:val="16"/>
          <w:color w:val="auto"/>
        </w:rPr>
        <w:t>In addition, because we plan to file certain product candidates under an NDA submitted pursuant to 505(b)(2), we will rely, at least in part, upon a reference drug and published literature. For example, we intend to rely on third-party studies in the published literature as well as FDA findings of safety and efficacy for approved drug products containing the same active molecules in AXS-05 and AXS-07.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NDAs for AXS-05 and AXS-07 pursuant to the 505(b)(2) process, we have not conducted certain additional clinical trials for these product candidates and, as such, we will have less experience with actual testing of the product candidate.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6"/>
          <w:szCs w:val="16"/>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89"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6"/>
          <w:szCs w:val="16"/>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89" w:lineRule="exact"/>
        <w:rPr>
          <w:sz w:val="20"/>
          <w:szCs w:val="20"/>
          <w:color w:val="auto"/>
        </w:rPr>
      </w:pPr>
    </w:p>
    <w:p>
      <w:pPr>
        <w:ind w:firstLine="749"/>
        <w:spacing w:after="0" w:line="191" w:lineRule="exact"/>
        <w:rPr>
          <w:sz w:val="20"/>
          <w:szCs w:val="20"/>
          <w:color w:val="auto"/>
        </w:rPr>
      </w:pPr>
      <w:r>
        <w:rPr>
          <w:rFonts w:ascii="Times New Roman" w:cs="Times New Roman" w:eastAsia="Times New Roman" w:hAnsi="Times New Roman"/>
          <w:sz w:val="16"/>
          <w:szCs w:val="16"/>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192"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candidates.</w:t>
      </w:r>
    </w:p>
    <w:p>
      <w:pPr>
        <w:spacing w:after="0" w:line="174"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16"/>
          <w:szCs w:val="16"/>
          <w:color w:val="auto"/>
        </w:rPr>
        <w:t>Under the Hatch 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79"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6"/>
          <w:szCs w:val="16"/>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jc w:val="both"/>
        <w:ind w:right="30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82" w:lineRule="exact"/>
        <w:rPr>
          <w:sz w:val="20"/>
          <w:szCs w:val="20"/>
          <w:color w:val="auto"/>
        </w:rPr>
      </w:pPr>
    </w:p>
    <w:p>
      <w:pPr>
        <w:ind w:right="40" w:firstLine="749"/>
        <w:spacing w:after="0" w:line="248" w:lineRule="auto"/>
        <w:rPr>
          <w:sz w:val="20"/>
          <w:szCs w:val="20"/>
          <w:color w:val="auto"/>
        </w:rPr>
      </w:pPr>
      <w:r>
        <w:rPr>
          <w:rFonts w:ascii="Times New Roman" w:cs="Times New Roman" w:eastAsia="Times New Roman" w:hAnsi="Times New Roman"/>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Even though we have submitted two NDAs to the FDA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79" w:lineRule="exact"/>
        <w:rPr>
          <w:sz w:val="20"/>
          <w:szCs w:val="20"/>
          <w:color w:val="auto"/>
        </w:rPr>
      </w:pPr>
    </w:p>
    <w:p>
      <w:pPr>
        <w:ind w:firstLine="749"/>
        <w:spacing w:after="0" w:line="190" w:lineRule="exact"/>
        <w:rPr>
          <w:sz w:val="20"/>
          <w:szCs w:val="20"/>
          <w:color w:val="auto"/>
        </w:rPr>
      </w:pPr>
      <w:r>
        <w:rPr>
          <w:rFonts w:ascii="Times New Roman" w:cs="Times New Roman" w:eastAsia="Times New Roman" w:hAnsi="Times New Roman"/>
          <w:sz w:val="16"/>
          <w:szCs w:val="16"/>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200" w:lineRule="exact"/>
        <w:rPr>
          <w:sz w:val="20"/>
          <w:szCs w:val="20"/>
          <w:color w:val="auto"/>
        </w:rPr>
      </w:pPr>
    </w:p>
    <w:p>
      <w:pPr>
        <w:ind w:right="100" w:firstLine="749"/>
        <w:spacing w:after="0" w:line="191" w:lineRule="exact"/>
        <w:rPr>
          <w:sz w:val="20"/>
          <w:szCs w:val="20"/>
          <w:color w:val="auto"/>
        </w:rPr>
      </w:pPr>
      <w:r>
        <w:rPr>
          <w:rFonts w:ascii="Times New Roman" w:cs="Times New Roman" w:eastAsia="Times New Roman" w:hAnsi="Times New Roman"/>
          <w:sz w:val="16"/>
          <w:szCs w:val="16"/>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81" w:lineRule="exact"/>
        <w:rPr>
          <w:sz w:val="20"/>
          <w:szCs w:val="20"/>
          <w:color w:val="auto"/>
        </w:rPr>
      </w:pPr>
    </w:p>
    <w:p>
      <w:pPr>
        <w:ind w:firstLine="749"/>
        <w:spacing w:after="0" w:line="280" w:lineRule="auto"/>
        <w:rPr>
          <w:sz w:val="20"/>
          <w:szCs w:val="20"/>
          <w:color w:val="auto"/>
        </w:rPr>
      </w:pPr>
      <w:r>
        <w:rPr>
          <w:rFonts w:ascii="Times New Roman" w:cs="Times New Roman" w:eastAsia="Times New Roman" w:hAnsi="Times New Roman"/>
          <w:sz w:val="16"/>
          <w:szCs w:val="16"/>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65" w:lineRule="exact"/>
        <w:rPr>
          <w:sz w:val="20"/>
          <w:szCs w:val="20"/>
          <w:color w:val="auto"/>
        </w:rPr>
      </w:pPr>
    </w:p>
    <w:p>
      <w:pPr>
        <w:ind w:left="760" w:right="480" w:hanging="378"/>
        <w:spacing w:after="0" w:line="280"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or IRBs may not authorize us or our investigators to commence a clinical trial or conduct a clinical trial at a prospective trial site or amend trial protocols;</w:t>
      </w:r>
    </w:p>
    <w:p>
      <w:pPr>
        <w:spacing w:after="0" w:line="164" w:lineRule="exact"/>
        <w:rPr>
          <w:rFonts w:ascii="Times New Roman" w:cs="Times New Roman" w:eastAsia="Times New Roman" w:hAnsi="Times New Roman"/>
          <w:sz w:val="16"/>
          <w:szCs w:val="16"/>
          <w:color w:val="auto"/>
        </w:rPr>
      </w:pPr>
    </w:p>
    <w:p>
      <w:pPr>
        <w:ind w:left="760" w:right="160" w:hanging="378"/>
        <w:spacing w:after="0" w:line="263"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delays in reaching, or fail to reach, agreement on acceptable clinical trial contracts or clinical trial protocols with prospective trial sites and our CROs;</w:t>
      </w:r>
    </w:p>
    <w:p>
      <w:pPr>
        <w:spacing w:after="0" w:line="177" w:lineRule="exact"/>
        <w:rPr>
          <w:rFonts w:ascii="Times New Roman" w:cs="Times New Roman" w:eastAsia="Times New Roman" w:hAnsi="Times New Roman"/>
          <w:sz w:val="16"/>
          <w:szCs w:val="16"/>
          <w:color w:val="auto"/>
        </w:rPr>
      </w:pPr>
    </w:p>
    <w:p>
      <w:pPr>
        <w:ind w:left="760" w:right="60" w:hanging="378"/>
        <w:spacing w:after="0" w:line="280"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64" w:lineRule="exact"/>
        <w:rPr>
          <w:rFonts w:ascii="Times New Roman" w:cs="Times New Roman" w:eastAsia="Times New Roman" w:hAnsi="Times New Roman"/>
          <w:sz w:val="16"/>
          <w:szCs w:val="16"/>
          <w:color w:val="auto"/>
        </w:rPr>
      </w:pPr>
    </w:p>
    <w:p>
      <w:pPr>
        <w:ind w:left="760" w:right="120" w:hanging="378"/>
        <w:spacing w:after="0" w:line="263"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77" w:lineRule="exact"/>
        <w:rPr>
          <w:rFonts w:ascii="Times New Roman" w:cs="Times New Roman" w:eastAsia="Times New Roman" w:hAnsi="Times New Roman"/>
          <w:sz w:val="16"/>
          <w:szCs w:val="16"/>
          <w:color w:val="auto"/>
        </w:rPr>
      </w:pPr>
    </w:p>
    <w:p>
      <w:pPr>
        <w:ind w:left="760" w:right="280" w:hanging="378"/>
        <w:spacing w:after="0" w:line="263"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6" w:lineRule="exact"/>
        <w:rPr>
          <w:sz w:val="20"/>
          <w:szCs w:val="20"/>
          <w:color w:val="auto"/>
        </w:rPr>
      </w:pPr>
    </w:p>
    <w:p>
      <w:pPr>
        <w:ind w:left="760" w:right="240" w:hanging="378"/>
        <w:spacing w:after="0" w:line="199" w:lineRule="exact"/>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82" w:lineRule="exact"/>
        <w:rPr>
          <w:rFonts w:ascii="Times New Roman" w:cs="Times New Roman" w:eastAsia="Times New Roman" w:hAnsi="Times New Roman"/>
          <w:sz w:val="16"/>
          <w:szCs w:val="16"/>
          <w:color w:val="auto"/>
        </w:rPr>
      </w:pPr>
    </w:p>
    <w:p>
      <w:pPr>
        <w:ind w:left="760" w:right="200" w:hanging="378"/>
        <w:spacing w:after="0" w:line="231"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6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marketing approval policies during the development period rendering our data insufficient to obtain marketing approval;</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or the enactment of additional statutes or regulations;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regulatory review for each submitted product application;</w:t>
      </w:r>
    </w:p>
    <w:p>
      <w:pPr>
        <w:spacing w:after="0" w:line="194" w:lineRule="exact"/>
        <w:rPr>
          <w:rFonts w:ascii="Times New Roman" w:cs="Times New Roman" w:eastAsia="Times New Roman" w:hAnsi="Times New Roman"/>
          <w:sz w:val="16"/>
          <w:szCs w:val="16"/>
          <w:color w:val="auto"/>
        </w:rPr>
      </w:pPr>
    </w:p>
    <w:p>
      <w:pPr>
        <w:ind w:left="760" w:hanging="378"/>
        <w:spacing w:after="0" w:line="263"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50"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supply or quality of our product candidates or other materials necessary to conduct clinical trials of our product candidates may be insufficient or inadequate;</w:t>
      </w:r>
    </w:p>
    <w:p>
      <w:pPr>
        <w:spacing w:after="0" w:line="207" w:lineRule="exact"/>
        <w:rPr>
          <w:rFonts w:ascii="Times New Roman" w:cs="Times New Roman" w:eastAsia="Times New Roman" w:hAnsi="Times New Roman"/>
          <w:sz w:val="16"/>
          <w:szCs w:val="16"/>
          <w:color w:val="auto"/>
        </w:rPr>
      </w:pPr>
    </w:p>
    <w:p>
      <w:pPr>
        <w:ind w:left="760" w:right="20" w:hanging="378"/>
        <w:spacing w:after="0" w:line="227"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Phase 3 ADVANCE trial and one additional Phase 3 trial to support an NDA for AXS-05 for the treatment of AD agitation; the Phase 2 CONCERT trial and ongoing SYMPHONY trial to support an NDA for AXS-12 for the treatment of cataplexy and narcolepsy; and the completed Phase 2 trial and Phase 3 trial to support an NDA for AXS-14 for the management of fibromyalgia, the FDA could still require additional studies to support the approval of an NDA for these product candidates. The outcome of our studies may further necessitate additional clinical or preclinical work;</w:t>
      </w:r>
    </w:p>
    <w:p>
      <w:pPr>
        <w:spacing w:after="0" w:line="170"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fail to reach an agreement with regulators regarding the scope or design of our clinical trials;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have delays in adding new investigators or clinical trial sites, or we may experience a withdrawal of clinical trial sites;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delays in our clinical trials due to the ongoing COVID-19 pandemic;</w:t>
      </w:r>
    </w:p>
    <w:p>
      <w:pPr>
        <w:spacing w:after="0" w:line="221" w:lineRule="exact"/>
        <w:rPr>
          <w:rFonts w:ascii="Times New Roman" w:cs="Times New Roman" w:eastAsia="Times New Roman" w:hAnsi="Times New Roman"/>
          <w:sz w:val="16"/>
          <w:szCs w:val="16"/>
          <w:color w:val="auto"/>
        </w:rPr>
      </w:pPr>
    </w:p>
    <w:p>
      <w:pPr>
        <w:ind w:left="760" w:right="100" w:hanging="378"/>
        <w:spacing w:after="0" w:line="263"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regulatory questions regarding interpretations of data and results, or new information may emerge regarding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line="251"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377" w:lineRule="exact"/>
        <w:rPr>
          <w:rFonts w:ascii="Times New Roman" w:cs="Times New Roman" w:eastAsia="Times New Roman" w:hAnsi="Times New Roman"/>
          <w:sz w:val="16"/>
          <w:szCs w:val="16"/>
          <w:color w:val="auto"/>
        </w:rPr>
      </w:pPr>
    </w:p>
    <w:p>
      <w:pPr>
        <w:ind w:left="760" w:right="20" w:hanging="378"/>
        <w:spacing w:after="0" w:line="252"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not accept data from studies with clinical trial sites in foreign countries;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disagree with our intended indications;</w:t>
      </w:r>
    </w:p>
    <w:p>
      <w:pPr>
        <w:spacing w:after="0" w:line="207" w:lineRule="exact"/>
        <w:rPr>
          <w:rFonts w:ascii="Times New Roman" w:cs="Times New Roman" w:eastAsia="Times New Roman" w:hAnsi="Times New Roman"/>
          <w:sz w:val="16"/>
          <w:szCs w:val="16"/>
          <w:color w:val="auto"/>
        </w:rPr>
      </w:pPr>
    </w:p>
    <w:p>
      <w:pPr>
        <w:ind w:left="760" w:right="320" w:hanging="378"/>
        <w:spacing w:after="0" w:line="280" w:lineRule="auto"/>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fail to approve or subsequently find fault with the manufacturing processes or our manufacturing facilities for clinical and future commercial supplies;</w:t>
      </w:r>
    </w:p>
    <w:p>
      <w:pPr>
        <w:spacing w:after="0" w:line="164" w:lineRule="exact"/>
        <w:rPr>
          <w:rFonts w:ascii="Times New Roman" w:cs="Times New Roman" w:eastAsia="Times New Roman" w:hAnsi="Times New Roman"/>
          <w:sz w:val="16"/>
          <w:szCs w:val="16"/>
          <w:color w:val="auto"/>
        </w:rPr>
      </w:pPr>
    </w:p>
    <w:p>
      <w:pPr>
        <w:ind w:left="760" w:right="80" w:hanging="378"/>
        <w:spacing w:after="0" w:line="280" w:lineRule="auto"/>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chemistry, manufacturing, and controls (CMC) data necessary for our NDA filing and approval, we will need to conduct stability studies and provide stability data to establish appropriate retest or expiration dating period;</w:t>
      </w:r>
    </w:p>
    <w:p>
      <w:pPr>
        <w:spacing w:after="0" w:line="164" w:lineRule="exact"/>
        <w:rPr>
          <w:rFonts w:ascii="Times New Roman" w:cs="Times New Roman" w:eastAsia="Times New Roman" w:hAnsi="Times New Roman"/>
          <w:sz w:val="16"/>
          <w:szCs w:val="16"/>
          <w:color w:val="auto"/>
        </w:rPr>
      </w:pPr>
    </w:p>
    <w:p>
      <w:pPr>
        <w:ind w:left="760" w:right="40" w:hanging="378"/>
        <w:spacing w:after="0" w:line="252" w:lineRule="auto"/>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Our product candidates may not demonstrate sufficient long-term stability to support an NDA filing or obtain approval, or the product shelf life may be limited by stability results;</w:t>
      </w:r>
    </w:p>
    <w:p>
      <w:pPr>
        <w:spacing w:after="0" w:line="185" w:lineRule="exact"/>
        <w:rPr>
          <w:rFonts w:ascii="Times New Roman" w:cs="Times New Roman" w:eastAsia="Times New Roman" w:hAnsi="Times New Roman"/>
          <w:sz w:val="16"/>
          <w:szCs w:val="16"/>
          <w:color w:val="auto"/>
        </w:rPr>
      </w:pPr>
    </w:p>
    <w:p>
      <w:pPr>
        <w:ind w:left="760" w:hanging="378"/>
        <w:spacing w:after="0" w:line="263" w:lineRule="auto"/>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delays in the FDA’s ability to conduct necessary Pre-Approval Inspections, or PAIs, due to the COVID-19 pandemic or for other reasons, and more generally the FDA or comparable foreign regulatory authorities may take longer than we anticipate to make a decision on our product candidates; and</w:t>
      </w:r>
    </w:p>
    <w:p>
      <w:pPr>
        <w:spacing w:after="0" w:line="163" w:lineRule="exact"/>
        <w:rPr>
          <w:rFonts w:ascii="Times New Roman" w:cs="Times New Roman" w:eastAsia="Times New Roman" w:hAnsi="Times New Roman"/>
          <w:sz w:val="16"/>
          <w:szCs w:val="16"/>
          <w:color w:val="auto"/>
        </w:rPr>
      </w:pPr>
    </w:p>
    <w:p>
      <w:pPr>
        <w:ind w:left="760" w:right="240" w:hanging="378"/>
        <w:spacing w:after="0" w:line="263" w:lineRule="auto"/>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demonstrate that a product candidate provides an advantage over current standards of care or current or future competitive therapies in development.</w:t>
      </w:r>
    </w:p>
    <w:p>
      <w:pPr>
        <w:spacing w:after="0" w:line="177"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16"/>
          <w:szCs w:val="16"/>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77"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delayed in obtaining marketing approval for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obtain marketing approval at all;</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for indications or patient populations that are not as broad as intended or desired or are not covered by our intellectual property;</w:t>
      </w:r>
    </w:p>
    <w:p>
      <w:pPr>
        <w:spacing w:after="0" w:line="207" w:lineRule="exact"/>
        <w:rPr>
          <w:rFonts w:ascii="Times New Roman" w:cs="Times New Roman" w:eastAsia="Times New Roman" w:hAnsi="Times New Roman"/>
          <w:sz w:val="16"/>
          <w:szCs w:val="16"/>
          <w:color w:val="auto"/>
        </w:rPr>
      </w:pPr>
    </w:p>
    <w:p>
      <w:pPr>
        <w:ind w:left="760" w:right="600" w:hanging="378"/>
        <w:spacing w:after="0" w:line="246" w:lineRule="auto"/>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64"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additional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marketing testing and surveillance requirements, including REMS; or</w:t>
      </w:r>
    </w:p>
    <w:p>
      <w:pPr>
        <w:spacing w:after="0" w:line="23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the product removed from the market after obtaining marketing approval.</w:t>
      </w:r>
    </w:p>
    <w:p>
      <w:pPr>
        <w:spacing w:after="0" w:line="208"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16"/>
          <w:szCs w:val="16"/>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16"/>
          <w:szCs w:val="16"/>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Alzheimer's disease agitation or smoking cessation. As a result, we may experience delays in regulatory approval due to uncertainties in the approval process.</w:t>
      </w:r>
    </w:p>
    <w:p>
      <w:pPr>
        <w:spacing w:after="0" w:line="183" w:lineRule="exact"/>
        <w:rPr>
          <w:sz w:val="20"/>
          <w:szCs w:val="20"/>
          <w:color w:val="auto"/>
        </w:rPr>
      </w:pPr>
    </w:p>
    <w:p>
      <w:pPr>
        <w:ind w:right="20" w:firstLine="749"/>
        <w:spacing w:after="0" w:line="185" w:lineRule="exact"/>
        <w:rPr>
          <w:sz w:val="20"/>
          <w:szCs w:val="20"/>
          <w:color w:val="auto"/>
        </w:rPr>
      </w:pPr>
      <w:r>
        <w:rPr>
          <w:rFonts w:ascii="Times New Roman" w:cs="Times New Roman" w:eastAsia="Times New Roman" w:hAnsi="Times New Roman"/>
          <w:sz w:val="16"/>
          <w:szCs w:val="16"/>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83" w:lineRule="exact"/>
        <w:rPr>
          <w:sz w:val="20"/>
          <w:szCs w:val="20"/>
          <w:color w:val="auto"/>
        </w:rPr>
      </w:pPr>
    </w:p>
    <w:p>
      <w:pPr>
        <w:ind w:right="160" w:firstLine="749"/>
        <w:spacing w:after="0" w:line="263" w:lineRule="auto"/>
        <w:rPr>
          <w:sz w:val="20"/>
          <w:szCs w:val="20"/>
          <w:color w:val="auto"/>
        </w:rPr>
      </w:pPr>
      <w:r>
        <w:rPr>
          <w:rFonts w:ascii="Times New Roman" w:cs="Times New Roman" w:eastAsia="Times New Roman" w:hAnsi="Times New Roman"/>
          <w:sz w:val="16"/>
          <w:szCs w:val="16"/>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7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74" w:lineRule="exact"/>
        <w:rPr>
          <w:sz w:val="20"/>
          <w:szCs w:val="20"/>
          <w:color w:val="auto"/>
        </w:rPr>
      </w:pPr>
    </w:p>
    <w:p>
      <w:pPr>
        <w:ind w:right="80" w:firstLine="749"/>
        <w:spacing w:after="0" w:line="249" w:lineRule="auto"/>
        <w:rPr>
          <w:sz w:val="20"/>
          <w:szCs w:val="20"/>
          <w:color w:val="auto"/>
        </w:rPr>
      </w:pPr>
      <w:r>
        <w:rPr>
          <w:rFonts w:ascii="Times New Roman" w:cs="Times New Roman" w:eastAsia="Times New Roman" w:hAnsi="Times New Roman"/>
          <w:sz w:val="16"/>
          <w:szCs w:val="16"/>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91" w:lineRule="exact"/>
        <w:rPr>
          <w:sz w:val="20"/>
          <w:szCs w:val="20"/>
          <w:color w:val="auto"/>
        </w:rPr>
      </w:pPr>
    </w:p>
    <w:p>
      <w:pPr>
        <w:ind w:left="760" w:right="280" w:hanging="378"/>
        <w:spacing w:after="0" w:line="280" w:lineRule="auto"/>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preclinical or nonclinical testing may produce inconclusive or negative safety results, which may require us to conduct additional nonclinical testing or to abandon product candidates;</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 candidates may have unfavorable pharmacology or toxicity characteristics or suggest possible drug-drug interaction;</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 candidates may cause undesirable side effects;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other regulatory authorities may determine that additional safety testing is required.</w:t>
      </w:r>
    </w:p>
    <w:p>
      <w:pPr>
        <w:spacing w:after="0" w:line="221" w:lineRule="exact"/>
        <w:rPr>
          <w:sz w:val="20"/>
          <w:szCs w:val="20"/>
          <w:color w:val="auto"/>
        </w:rPr>
      </w:pPr>
    </w:p>
    <w:p>
      <w:pPr>
        <w:ind w:right="340" w:firstLine="749"/>
        <w:spacing w:after="0" w:line="280" w:lineRule="auto"/>
        <w:rPr>
          <w:sz w:val="20"/>
          <w:szCs w:val="20"/>
          <w:color w:val="auto"/>
        </w:rPr>
      </w:pPr>
      <w:r>
        <w:rPr>
          <w:rFonts w:ascii="Times New Roman" w:cs="Times New Roman" w:eastAsia="Times New Roman" w:hAnsi="Times New Roman"/>
          <w:sz w:val="16"/>
          <w:szCs w:val="16"/>
          <w:color w:val="auto"/>
        </w:rPr>
        <w:t>Any such events would increase our costs and could delay or prevent our ability to commercialize our product candidates, which could adversely impact our business, financial condition and results of operation.</w:t>
      </w:r>
    </w:p>
    <w:p>
      <w:pPr>
        <w:spacing w:after="0" w:line="161"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Undesirable side effects caused by our product candidates could cause us, IRBs, and other reviewing entities or regulatory authorities to interrupt, delay, or halt</w:t>
      </w:r>
    </w:p>
    <w:p>
      <w:pPr>
        <w:spacing w:after="0" w:line="10" w:lineRule="exact"/>
        <w:rPr>
          <w:sz w:val="20"/>
          <w:szCs w:val="20"/>
          <w:color w:val="auto"/>
        </w:rPr>
      </w:pPr>
    </w:p>
    <w:p>
      <w:pPr>
        <w:jc w:val="both"/>
        <w:ind w:right="200"/>
        <w:spacing w:after="0" w:line="217" w:lineRule="auto"/>
        <w:rPr>
          <w:sz w:val="20"/>
          <w:szCs w:val="20"/>
          <w:color w:val="auto"/>
        </w:rPr>
      </w:pPr>
      <w:r>
        <w:rPr>
          <w:rFonts w:ascii="Times New Roman" w:cs="Times New Roman" w:eastAsia="Times New Roman" w:hAnsi="Times New Roman"/>
          <w:sz w:val="16"/>
          <w:szCs w:val="16"/>
          <w:color w:val="auto"/>
        </w:rPr>
        <w:t>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w:t>
      </w:r>
    </w:p>
    <w:p>
      <w:pPr>
        <w:spacing w:after="0"/>
        <w:rPr>
          <w:sz w:val="20"/>
          <w:szCs w:val="20"/>
          <w:color w:val="auto"/>
        </w:rPr>
      </w:pPr>
      <w:r>
        <w:rPr>
          <w:rFonts w:ascii="Times New Roman" w:cs="Times New Roman" w:eastAsia="Times New Roman" w:hAnsi="Times New Roman"/>
          <w:sz w:val="16"/>
          <w:szCs w:val="16"/>
          <w:color w:val="auto"/>
        </w:rPr>
        <w:t>approve the drug.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120" w:firstLine="749"/>
        <w:spacing w:after="0" w:line="231" w:lineRule="auto"/>
        <w:rPr>
          <w:sz w:val="20"/>
          <w:szCs w:val="20"/>
          <w:color w:val="auto"/>
        </w:rPr>
      </w:pPr>
      <w:r>
        <w:rPr>
          <w:rFonts w:ascii="Times New Roman" w:cs="Times New Roman" w:eastAsia="Times New Roman" w:hAnsi="Times New Roman"/>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w:t>
      </w:r>
    </w:p>
    <w:p>
      <w:pPr>
        <w:spacing w:after="0" w:line="1" w:lineRule="exact"/>
        <w:rPr>
          <w:sz w:val="20"/>
          <w:szCs w:val="20"/>
          <w:color w:val="auto"/>
        </w:rPr>
      </w:pPr>
    </w:p>
    <w:p>
      <w:pPr>
        <w:spacing w:after="0" w:line="167" w:lineRule="exact"/>
        <w:rPr>
          <w:sz w:val="20"/>
          <w:szCs w:val="20"/>
          <w:color w:val="auto"/>
        </w:rPr>
      </w:pPr>
      <w:r>
        <w:rPr>
          <w:rFonts w:ascii="Times New Roman" w:cs="Times New Roman" w:eastAsia="Times New Roman" w:hAnsi="Times New Roman"/>
          <w:sz w:val="16"/>
          <w:szCs w:val="16"/>
          <w:color w:val="auto"/>
        </w:rPr>
        <w:t>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marketing testing and surveillance, or other</w:t>
      </w:r>
    </w:p>
    <w:p>
      <w:pPr>
        <w:ind w:right="100"/>
        <w:spacing w:after="0" w:line="231" w:lineRule="auto"/>
        <w:rPr>
          <w:sz w:val="20"/>
          <w:szCs w:val="20"/>
          <w:color w:val="auto"/>
        </w:rPr>
      </w:pPr>
      <w:r>
        <w:rPr>
          <w:rFonts w:ascii="Times New Roman" w:cs="Times New Roman" w:eastAsia="Times New Roman" w:hAnsi="Times New Roman"/>
          <w:sz w:val="16"/>
          <w:szCs w:val="16"/>
          <w:color w:val="auto"/>
        </w:rPr>
        <w:t>requirements, including REMS, to monitor the safety or efficacy of the products, and in turn prevent us from commercializing and generating revenues from the sale of any of our current or future product candidates.</w:t>
      </w:r>
    </w:p>
    <w:p>
      <w:pPr>
        <w:spacing w:after="0" w:line="18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6"/>
          <w:szCs w:val="16"/>
          <w:color w:val="auto"/>
        </w:rPr>
        <w:t>To date, the most commonly reported adverse events observed in the completed clinical trials of AXS-07 include nausea, dizziness, somnolence, and paresthesia. AXS-07 consists of meloxicam and rizatriptan, and this combination may exacerbate any known adverse events for each individual component or may result in new toxicities as compared to those of the individual components.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To date, the most commonly reported adverse events observed in the completed clinical trial of AXS-12 include anxiety, constipation, and insomnia.</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To date, the most commonly reported adverse events observed in the completed clinical trials of AXS-14 include anxiety, constipation, and insomnia.</w:t>
      </w:r>
    </w:p>
    <w:p>
      <w:pPr>
        <w:spacing w:after="0" w:line="221" w:lineRule="exact"/>
        <w:rPr>
          <w:sz w:val="20"/>
          <w:szCs w:val="20"/>
          <w:color w:val="auto"/>
        </w:rPr>
      </w:pPr>
    </w:p>
    <w:p>
      <w:pPr>
        <w:ind w:right="60" w:firstLine="749"/>
        <w:spacing w:after="0" w:line="173" w:lineRule="exact"/>
        <w:rPr>
          <w:sz w:val="20"/>
          <w:szCs w:val="20"/>
          <w:color w:val="auto"/>
        </w:rPr>
      </w:pPr>
      <w:r>
        <w:rPr>
          <w:rFonts w:ascii="Times New Roman" w:cs="Times New Roman" w:eastAsia="Times New Roman" w:hAnsi="Times New Roman"/>
          <w:sz w:val="16"/>
          <w:szCs w:val="16"/>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benefit perspective. The drug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side effects could affect patient recruitment or the ability of enrolled patients</w:t>
      </w:r>
    </w:p>
    <w:p>
      <w:pPr>
        <w:ind w:right="200"/>
        <w:spacing w:after="0" w:line="231" w:lineRule="auto"/>
        <w:rPr>
          <w:sz w:val="20"/>
          <w:szCs w:val="20"/>
          <w:color w:val="auto"/>
        </w:rPr>
      </w:pPr>
      <w:r>
        <w:rPr>
          <w:rFonts w:ascii="Times New Roman" w:cs="Times New Roman" w:eastAsia="Times New Roman" w:hAnsi="Times New Roman"/>
          <w:sz w:val="16"/>
          <w:szCs w:val="16"/>
          <w:color w:val="auto"/>
        </w:rPr>
        <w:t>to complete the trial or result in potential product liability claims. Any of these occurrences may significantly harm our business, financial condition, results of operations, and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experience delays or difficulties in the enrollment of patients in clinical trials, our receipt of necessary regulatory approvals could be delayed or prevented.</w:t>
      </w:r>
    </w:p>
    <w:p>
      <w:pPr>
        <w:spacing w:after="0" w:line="198"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6"/>
          <w:szCs w:val="16"/>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6"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and nature of the patient population;</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severity of the disease under investigation;</w:t>
      </w:r>
    </w:p>
    <w:p>
      <w:pPr>
        <w:spacing w:after="0" w:line="221" w:lineRule="exact"/>
        <w:rPr>
          <w:rFonts w:ascii="Times New Roman" w:cs="Times New Roman" w:eastAsia="Times New Roman" w:hAnsi="Times New Roman"/>
          <w:sz w:val="16"/>
          <w:szCs w:val="16"/>
          <w:color w:val="auto"/>
        </w:rPr>
      </w:pPr>
    </w:p>
    <w:p>
      <w:pPr>
        <w:ind w:left="760" w:right="540" w:hanging="378"/>
        <w:spacing w:after="0" w:line="245"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eligibility criteria for, and design of, the clinical trial in question, including factors such as frequency of required assessments, length of the study, and ongoing monitoring requirements;</w:t>
      </w:r>
    </w:p>
    <w:p>
      <w:pPr>
        <w:spacing w:after="0" w:line="177" w:lineRule="exact"/>
        <w:rPr>
          <w:rFonts w:ascii="Times New Roman" w:cs="Times New Roman" w:eastAsia="Times New Roman" w:hAnsi="Times New Roman"/>
          <w:sz w:val="16"/>
          <w:szCs w:val="16"/>
          <w:color w:val="auto"/>
        </w:rPr>
      </w:pPr>
    </w:p>
    <w:p>
      <w:pPr>
        <w:ind w:left="760" w:right="100" w:hanging="378"/>
        <w:spacing w:after="0" w:line="245"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in recruiting and enrolling patients in clinical trials;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efforts to facilitate timely enrollment in clinical trials;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patient referral practices of physicians;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effectiveness of publicity created by clinical trial sites regarding the trial;</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patients’ ability to comply with the specific instructions related to the trial protocol, proper documentation, and use of the drug product;</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obtain or maintain patient informed consents;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that enrolled patients will drop out before completion;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left="760" w:right="680" w:hanging="378"/>
        <w:spacing w:after="0" w:line="280" w:lineRule="auto"/>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identify patients for enrollment and maintain a sufficient level of patient participants in our clinical studies due to the ongoing COVID-19 pandemic;</w:t>
      </w:r>
    </w:p>
    <w:p>
      <w:pPr>
        <w:spacing w:after="0" w:line="15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monitor patients adequately during and after treatment;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proximity and availability of clinical trial sites for prospective patients.</w:t>
      </w:r>
    </w:p>
    <w:p>
      <w:pPr>
        <w:spacing w:after="0" w:line="221"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16"/>
          <w:szCs w:val="16"/>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91"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6"/>
          <w:szCs w:val="16"/>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8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Currently approved products containing meloxicam are subject to restrictive marketing and distribution regulations, which if applied to our product candidates could restrict their use and potentially reduce our ability to generate profits.</w:t>
      </w:r>
    </w:p>
    <w:p>
      <w:pPr>
        <w:spacing w:after="0" w:line="160" w:lineRule="exact"/>
        <w:rPr>
          <w:sz w:val="20"/>
          <w:szCs w:val="20"/>
          <w:color w:val="auto"/>
        </w:rPr>
      </w:pPr>
    </w:p>
    <w:p>
      <w:pPr>
        <w:ind w:right="120" w:firstLine="749"/>
        <w:spacing w:after="0" w:line="231" w:lineRule="auto"/>
        <w:rPr>
          <w:sz w:val="20"/>
          <w:szCs w:val="20"/>
          <w:color w:val="auto"/>
        </w:rPr>
      </w:pPr>
      <w:r>
        <w:rPr>
          <w:rFonts w:ascii="Times New Roman" w:cs="Times New Roman" w:eastAsia="Times New Roman" w:hAnsi="Times New Roman"/>
          <w:sz w:val="16"/>
          <w:szCs w:val="16"/>
          <w:color w:val="auto"/>
        </w:rPr>
        <w:t>Currently approved products containing meloxicam require medication guides. Medication guides can be required independently or as part of REMS programs. REMS programs, in addition to medication guides, may require special communication plans to healthcare professionals, or elements to assure safe use, such as restricted</w:t>
      </w:r>
    </w:p>
    <w:p>
      <w:pPr>
        <w:spacing w:after="0" w:line="1"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16"/>
          <w:szCs w:val="16"/>
          <w:color w:val="auto"/>
        </w:rPr>
        <w:t>distribution methods, distribution only to certain medical professionals, training for medical professionals prescribing our product candidates, patient registries, or other risk minimization tools. The FDA may determine that our product candidates will require a REMS program in addition to a medication guide. We cannot predict whether that will be required as part of the FDA’s approval of our product candidates. Any limitations on approval or marketing could restrict the commercial promotion, distribution,</w:t>
      </w:r>
    </w:p>
    <w:p>
      <w:pPr>
        <w:spacing w:after="0" w:line="220" w:lineRule="auto"/>
        <w:rPr>
          <w:sz w:val="20"/>
          <w:szCs w:val="20"/>
          <w:color w:val="auto"/>
        </w:rPr>
      </w:pPr>
      <w:r>
        <w:rPr>
          <w:rFonts w:ascii="Times New Roman" w:cs="Times New Roman" w:eastAsia="Times New Roman" w:hAnsi="Times New Roman"/>
          <w:sz w:val="16"/>
          <w:szCs w:val="16"/>
          <w:color w:val="auto"/>
        </w:rPr>
        <w:t>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w:t>
      </w:r>
    </w:p>
    <w:p>
      <w:pPr>
        <w:ind w:right="380"/>
        <w:spacing w:after="0" w:line="231" w:lineRule="auto"/>
        <w:rPr>
          <w:sz w:val="20"/>
          <w:szCs w:val="20"/>
          <w:color w:val="auto"/>
        </w:rPr>
      </w:pPr>
      <w:r>
        <w:rPr>
          <w:rFonts w:ascii="Times New Roman" w:cs="Times New Roman" w:eastAsia="Times New Roman" w:hAnsi="Times New Roman"/>
          <w:sz w:val="16"/>
          <w:szCs w:val="16"/>
          <w:color w:val="auto"/>
        </w:rPr>
        <w:t>candidates, if approved. Furthermore, risks of our product candidates that are not adequately addressed through proposed REMS or medication guides for such product candidates may also prevent or delay their approval for commercialization.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Development of combination product candidates may present more or different challenges than development of single agent product candidates.</w:t>
      </w:r>
    </w:p>
    <w:p>
      <w:pPr>
        <w:spacing w:after="0" w:line="212" w:lineRule="exact"/>
        <w:rPr>
          <w:sz w:val="20"/>
          <w:szCs w:val="20"/>
          <w:color w:val="auto"/>
        </w:rPr>
      </w:pPr>
    </w:p>
    <w:p>
      <w:pPr>
        <w:ind w:firstLine="749"/>
        <w:spacing w:after="0" w:line="231" w:lineRule="auto"/>
        <w:rPr>
          <w:sz w:val="20"/>
          <w:szCs w:val="20"/>
          <w:color w:val="auto"/>
        </w:rPr>
      </w:pPr>
      <w:r>
        <w:rPr>
          <w:rFonts w:ascii="Times New Roman" w:cs="Times New Roman" w:eastAsia="Times New Roman" w:hAnsi="Times New Roman"/>
          <w:sz w:val="16"/>
          <w:szCs w:val="16"/>
          <w:color w:val="auto"/>
        </w:rPr>
        <w:t>Certain product candidates of ours including AXS-05 and AXS-07 are combination therapies. A combination therapy is a single drug product that consists of two or more active ingredients, with each component making a contribution to the claimed effect of the drug. The development of combination drugs may be more complex than</w:t>
      </w:r>
    </w:p>
    <w:p>
      <w:pPr>
        <w:spacing w:after="0" w:line="1" w:lineRule="exact"/>
        <w:rPr>
          <w:sz w:val="20"/>
          <w:szCs w:val="20"/>
          <w:color w:val="auto"/>
        </w:rPr>
      </w:pPr>
    </w:p>
    <w:p>
      <w:pPr>
        <w:ind w:right="200"/>
        <w:spacing w:after="0" w:line="217" w:lineRule="auto"/>
        <w:rPr>
          <w:sz w:val="20"/>
          <w:szCs w:val="20"/>
          <w:color w:val="auto"/>
        </w:rPr>
      </w:pPr>
      <w:r>
        <w:rPr>
          <w:rFonts w:ascii="Times New Roman" w:cs="Times New Roman" w:eastAsia="Times New Roman" w:hAnsi="Times New Roman"/>
          <w:sz w:val="16"/>
          <w:szCs w:val="16"/>
          <w:color w:val="auto"/>
        </w:rPr>
        <w:t>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w:t>
      </w:r>
    </w:p>
    <w:p>
      <w:pPr>
        <w:spacing w:after="0"/>
        <w:rPr>
          <w:sz w:val="20"/>
          <w:szCs w:val="20"/>
          <w:color w:val="auto"/>
        </w:rPr>
      </w:pPr>
      <w:r>
        <w:rPr>
          <w:rFonts w:ascii="Times New Roman" w:cs="Times New Roman" w:eastAsia="Times New Roman" w:hAnsi="Times New Roman"/>
          <w:sz w:val="16"/>
          <w:szCs w:val="16"/>
          <w:color w:val="auto"/>
        </w:rPr>
        <w:t>Moreover, the applicable requirements for approval may differ from country to country.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product candidate manufacturing or formulation may result in additional costs or delay.</w:t>
      </w:r>
    </w:p>
    <w:p>
      <w:pPr>
        <w:spacing w:after="0" w:line="212" w:lineRule="exact"/>
        <w:rPr>
          <w:sz w:val="20"/>
          <w:szCs w:val="20"/>
          <w:color w:val="auto"/>
        </w:rPr>
      </w:pPr>
    </w:p>
    <w:p>
      <w:pPr>
        <w:ind w:right="100" w:firstLine="749"/>
        <w:spacing w:after="0" w:line="225" w:lineRule="auto"/>
        <w:rPr>
          <w:sz w:val="20"/>
          <w:szCs w:val="20"/>
          <w:color w:val="auto"/>
        </w:rPr>
      </w:pPr>
      <w:r>
        <w:rPr>
          <w:rFonts w:ascii="Times New Roman" w:cs="Times New Roman" w:eastAsia="Times New Roman" w:hAnsi="Times New Roman"/>
          <w:sz w:val="16"/>
          <w:szCs w:val="16"/>
          <w:color w:val="auto"/>
        </w:rPr>
        <w:t>As product candidates are developed through preclinical studies to late 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w:t>
      </w:r>
    </w:p>
    <w:p>
      <w:pPr>
        <w:ind w:right="40"/>
        <w:spacing w:after="0" w:line="220" w:lineRule="auto"/>
        <w:rPr>
          <w:sz w:val="20"/>
          <w:szCs w:val="20"/>
          <w:color w:val="auto"/>
        </w:rPr>
      </w:pPr>
      <w:r>
        <w:rPr>
          <w:rFonts w:ascii="Times New Roman" w:cs="Times New Roman" w:eastAsia="Times New Roman" w:hAnsi="Times New Roman"/>
          <w:sz w:val="16"/>
          <w:szCs w:val="16"/>
          <w:color w:val="auto"/>
        </w:rPr>
        <w:t>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w:t>
      </w:r>
    </w:p>
    <w:p>
      <w:pPr>
        <w:ind w:right="160"/>
        <w:spacing w:after="0" w:line="231" w:lineRule="auto"/>
        <w:rPr>
          <w:sz w:val="20"/>
          <w:szCs w:val="20"/>
          <w:color w:val="auto"/>
        </w:rPr>
      </w:pPr>
      <w:r>
        <w:rPr>
          <w:rFonts w:ascii="Times New Roman" w:cs="Times New Roman" w:eastAsia="Times New Roman" w:hAnsi="Times New Roman"/>
          <w:sz w:val="16"/>
          <w:szCs w:val="16"/>
          <w:color w:val="auto"/>
        </w:rPr>
        <w:t>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obtain marketing approval in international jurisdictions would prevent our products from being marketed abroad.</w:t>
      </w:r>
    </w:p>
    <w:p>
      <w:pPr>
        <w:spacing w:after="0" w:line="199" w:lineRule="exact"/>
        <w:rPr>
          <w:sz w:val="20"/>
          <w:szCs w:val="20"/>
          <w:color w:val="auto"/>
        </w:rPr>
      </w:pPr>
    </w:p>
    <w:p>
      <w:pPr>
        <w:ind w:firstLine="749"/>
        <w:spacing w:after="0" w:line="191" w:lineRule="exact"/>
        <w:rPr>
          <w:sz w:val="20"/>
          <w:szCs w:val="20"/>
          <w:color w:val="auto"/>
        </w:rPr>
      </w:pPr>
      <w:r>
        <w:rPr>
          <w:rFonts w:ascii="Times New Roman" w:cs="Times New Roman" w:eastAsia="Times New Roman" w:hAnsi="Times New Roman"/>
          <w:sz w:val="16"/>
          <w:szCs w:val="16"/>
          <w:color w:val="auto"/>
        </w:rPr>
        <w:t>In order to market and sell our products in the European Union, or EU, and many other jurisdictions, we or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9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46"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16"/>
          <w:szCs w:val="16"/>
          <w:color w:val="auto"/>
        </w:rPr>
        <w:t>We have received a Fast Track product designation for AXS-05 for both the treatment of TRD as well as for the treatment of AD agitation, and we may seek Fast Track designation for other of our current or future product candidates. Receipt of a designation to facilitate expedited review for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75"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We received Breakthrough Therapy designation for AXS-05 for both the treatment of MDD and the treatment of AD agitation.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92" w:lineRule="exact"/>
        <w:rPr>
          <w:sz w:val="20"/>
          <w:szCs w:val="20"/>
          <w:color w:val="auto"/>
        </w:rPr>
      </w:pPr>
    </w:p>
    <w:p>
      <w:pPr>
        <w:ind w:right="120" w:firstLine="749"/>
        <w:spacing w:after="0" w:line="249" w:lineRule="auto"/>
        <w:rPr>
          <w:sz w:val="20"/>
          <w:szCs w:val="20"/>
          <w:color w:val="auto"/>
        </w:rPr>
      </w:pPr>
      <w:r>
        <w:rPr>
          <w:rFonts w:ascii="Times New Roman" w:cs="Times New Roman" w:eastAsia="Times New Roman" w:hAnsi="Times New Roman"/>
          <w:sz w:val="16"/>
          <w:szCs w:val="16"/>
          <w:color w:val="auto"/>
        </w:rPr>
        <w:t>Designation as a breakthrough therapy is within the discretion of the FDA. The receipt of a Breakthrough Therapy designation for a product candidate may not ultimately result in a faster development process or review, and it does not in any way assure approval of product candidates by the FDA. In addition, the FDA may later decide to rescind the Breakthrough Therapy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ind w:right="240"/>
        <w:spacing w:after="0" w:line="199" w:lineRule="exact"/>
        <w:rPr>
          <w:sz w:val="20"/>
          <w:szCs w:val="20"/>
          <w:color w:val="auto"/>
        </w:rPr>
      </w:pPr>
      <w:r>
        <w:rPr>
          <w:rFonts w:ascii="Times New Roman" w:cs="Times New Roman" w:eastAsia="Times New Roman" w:hAnsi="Times New Roman"/>
          <w:sz w:val="16"/>
          <w:szCs w:val="16"/>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1535430</wp:posOffset>
            </wp:positionH>
            <wp:positionV relativeFrom="paragraph">
              <wp:posOffset>-89535</wp:posOffset>
            </wp:positionV>
            <wp:extent cx="6032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38100"/>
                    </a:xfrm>
                    <a:prstGeom prst="rect">
                      <a:avLst/>
                    </a:prstGeom>
                    <a:noFill/>
                  </pic:spPr>
                </pic:pic>
              </a:graphicData>
            </a:graphic>
          </wp:anchor>
        </w:drawing>
      </w:r>
    </w:p>
    <w:p>
      <w:pPr>
        <w:spacing w:after="0" w:line="158" w:lineRule="exact"/>
        <w:rPr>
          <w:sz w:val="20"/>
          <w:szCs w:val="20"/>
          <w:color w:val="auto"/>
        </w:rPr>
      </w:pPr>
    </w:p>
    <w:p>
      <w:pPr>
        <w:ind w:right="60" w:firstLine="749"/>
        <w:spacing w:after="0" w:line="191" w:lineRule="exact"/>
        <w:rPr>
          <w:sz w:val="20"/>
          <w:szCs w:val="20"/>
          <w:color w:val="auto"/>
        </w:rPr>
      </w:pPr>
      <w:r>
        <w:rPr>
          <w:rFonts w:ascii="Times New Roman" w:cs="Times New Roman" w:eastAsia="Times New Roman" w:hAnsi="Times New Roman"/>
          <w:sz w:val="16"/>
          <w:szCs w:val="16"/>
          <w:color w:val="auto"/>
        </w:rPr>
        <w:t>We, and any of our collaborators, must comply with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uses, and our business may be adversely affected. We further must be able to sufficiently substantiate any claims that we make for our products including claims comparing our products to other companies’ products.</w:t>
      </w:r>
    </w:p>
    <w:p>
      <w:pPr>
        <w:spacing w:after="0" w:line="195" w:lineRule="exact"/>
        <w:rPr>
          <w:sz w:val="20"/>
          <w:szCs w:val="20"/>
          <w:color w:val="auto"/>
        </w:rPr>
      </w:pPr>
    </w:p>
    <w:p>
      <w:pPr>
        <w:ind w:right="60" w:firstLine="749"/>
        <w:spacing w:after="0" w:line="191" w:lineRule="exact"/>
        <w:rPr>
          <w:sz w:val="20"/>
          <w:szCs w:val="20"/>
          <w:color w:val="auto"/>
        </w:rPr>
      </w:pPr>
      <w:r>
        <w:rPr>
          <w:rFonts w:ascii="Times New Roman" w:cs="Times New Roman" w:eastAsia="Times New Roman" w:hAnsi="Times New Roman"/>
          <w:sz w:val="16"/>
          <w:szCs w:val="16"/>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use.</w:t>
      </w:r>
    </w:p>
    <w:p>
      <w:pPr>
        <w:spacing w:after="0" w:line="196" w:lineRule="exact"/>
        <w:rPr>
          <w:sz w:val="20"/>
          <w:szCs w:val="20"/>
          <w:color w:val="auto"/>
        </w:rPr>
      </w:pPr>
    </w:p>
    <w:p>
      <w:pPr>
        <w:jc w:val="both"/>
        <w:ind w:right="140" w:firstLine="749"/>
        <w:spacing w:after="0" w:line="171" w:lineRule="exact"/>
        <w:rPr>
          <w:sz w:val="20"/>
          <w:szCs w:val="20"/>
          <w:color w:val="auto"/>
        </w:rPr>
      </w:pPr>
      <w:r>
        <w:rPr>
          <w:rFonts w:ascii="Times New Roman" w:cs="Times New Roman" w:eastAsia="Times New Roman" w:hAnsi="Times New Roman"/>
          <w:sz w:val="16"/>
          <w:szCs w:val="16"/>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uses, and a company that is found to have improperly promoted a product may be subject to significant sanctions. The federal government has levied large civil and criminal fines against companies for</w:t>
      </w:r>
    </w:p>
    <w:p>
      <w:pPr>
        <w:spacing w:after="0" w:line="1" w:lineRule="exact"/>
        <w:rPr>
          <w:sz w:val="20"/>
          <w:szCs w:val="20"/>
          <w:color w:val="auto"/>
        </w:rPr>
      </w:pPr>
    </w:p>
    <w:p>
      <w:pPr>
        <w:ind w:right="100"/>
        <w:spacing w:after="0" w:line="172" w:lineRule="exact"/>
        <w:rPr>
          <w:sz w:val="20"/>
          <w:szCs w:val="20"/>
          <w:color w:val="auto"/>
        </w:rPr>
      </w:pPr>
      <w:r>
        <w:rPr>
          <w:rFonts w:ascii="Times New Roman" w:cs="Times New Roman" w:eastAsia="Times New Roman" w:hAnsi="Times New Roman"/>
          <w:sz w:val="16"/>
          <w:szCs w:val="16"/>
          <w:color w:val="auto"/>
        </w:rPr>
        <w:t>alleged improper promotion and has enjoined several companies from engaging in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w:t>
      </w:r>
    </w:p>
    <w:p>
      <w:pPr>
        <w:spacing w:after="0"/>
        <w:rPr>
          <w:sz w:val="20"/>
          <w:szCs w:val="20"/>
          <w:color w:val="auto"/>
        </w:rPr>
      </w:pPr>
      <w:r>
        <w:rPr>
          <w:rFonts w:ascii="Times New Roman" w:cs="Times New Roman" w:eastAsia="Times New Roman" w:hAnsi="Times New Roman"/>
          <w:sz w:val="16"/>
          <w:szCs w:val="16"/>
          <w:color w:val="auto"/>
        </w:rPr>
        <w:t>products we develop for indications or uses for which they are not approved.</w:t>
      </w:r>
    </w:p>
    <w:p>
      <w:pPr>
        <w:spacing w:after="0" w:line="150" w:lineRule="exact"/>
        <w:rPr>
          <w:sz w:val="20"/>
          <w:szCs w:val="20"/>
          <w:color w:val="auto"/>
        </w:rPr>
      </w:pPr>
    </w:p>
    <w:p>
      <w:pPr>
        <w:ind w:right="40" w:firstLine="749"/>
        <w:spacing w:after="0" w:line="191" w:lineRule="exact"/>
        <w:rPr>
          <w:sz w:val="20"/>
          <w:szCs w:val="20"/>
          <w:color w:val="auto"/>
        </w:rPr>
      </w:pPr>
      <w:r>
        <w:rPr>
          <w:rFonts w:ascii="Times New Roman" w:cs="Times New Roman" w:eastAsia="Times New Roman" w:hAnsi="Times New Roman"/>
          <w:sz w:val="16"/>
          <w:szCs w:val="16"/>
          <w:color w:val="auto"/>
        </w:rPr>
        <w:t>In the United States, engaging in the impermissible promotion of our products, following approval, for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uses can also subject us to false claims and other litigation under federal and state statutes, including fraud and abuse and consumer protection laws, which can lead to civil and criminal penalties and fines, agreements with</w:t>
      </w:r>
    </w:p>
    <w:p>
      <w:pPr>
        <w:spacing w:after="0" w:line="1" w:lineRule="exact"/>
        <w:rPr>
          <w:sz w:val="20"/>
          <w:szCs w:val="20"/>
          <w:color w:val="auto"/>
        </w:rPr>
      </w:pPr>
    </w:p>
    <w:p>
      <w:pPr>
        <w:ind w:right="380"/>
        <w:spacing w:after="0" w:line="220" w:lineRule="auto"/>
        <w:rPr>
          <w:sz w:val="20"/>
          <w:szCs w:val="20"/>
          <w:color w:val="auto"/>
        </w:rPr>
      </w:pPr>
      <w:r>
        <w:rPr>
          <w:rFonts w:ascii="Times New Roman" w:cs="Times New Roman" w:eastAsia="Times New Roman" w:hAnsi="Times New Roman"/>
          <w:sz w:val="16"/>
          <w:szCs w:val="16"/>
          <w:color w:val="auto"/>
        </w:rPr>
        <w:t>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w:t>
      </w:r>
    </w:p>
    <w:p>
      <w:pPr>
        <w:spacing w:after="0" w:line="217" w:lineRule="auto"/>
        <w:rPr>
          <w:sz w:val="20"/>
          <w:szCs w:val="20"/>
          <w:color w:val="auto"/>
        </w:rPr>
      </w:pPr>
      <w:r>
        <w:rPr>
          <w:rFonts w:ascii="Times New Roman" w:cs="Times New Roman" w:eastAsia="Times New Roman" w:hAnsi="Times New Roman"/>
          <w:sz w:val="16"/>
          <w:szCs w:val="16"/>
          <w:color w:val="auto"/>
        </w:rPr>
        <w:t>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w:t>
      </w:r>
    </w:p>
    <w:p>
      <w:pPr>
        <w:ind w:right="60"/>
        <w:spacing w:after="0" w:line="220" w:lineRule="auto"/>
        <w:rPr>
          <w:sz w:val="20"/>
          <w:szCs w:val="20"/>
          <w:color w:val="auto"/>
        </w:rPr>
      </w:pPr>
      <w:r>
        <w:rPr>
          <w:rFonts w:ascii="Times New Roman" w:cs="Times New Roman" w:eastAsia="Times New Roman" w:hAnsi="Times New Roman"/>
          <w:sz w:val="16"/>
          <w:szCs w:val="16"/>
          <w:color w:val="auto"/>
        </w:rPr>
        <w:t>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w:t>
      </w:r>
    </w:p>
    <w:p>
      <w:pPr>
        <w:ind w:right="140"/>
        <w:spacing w:after="0" w:line="167" w:lineRule="exact"/>
        <w:rPr>
          <w:sz w:val="20"/>
          <w:szCs w:val="20"/>
          <w:color w:val="auto"/>
        </w:rPr>
      </w:pPr>
      <w:r>
        <w:rPr>
          <w:rFonts w:ascii="Times New Roman" w:cs="Times New Roman" w:eastAsia="Times New Roman" w:hAnsi="Times New Roman"/>
          <w:sz w:val="16"/>
          <w:szCs w:val="16"/>
          <w:color w:val="auto"/>
        </w:rPr>
        <w:t>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drug uses. This growth in litigation has</w:t>
      </w:r>
    </w:p>
    <w:p>
      <w:pPr>
        <w:ind w:right="80"/>
        <w:spacing w:after="0" w:line="220" w:lineRule="auto"/>
        <w:rPr>
          <w:sz w:val="20"/>
          <w:szCs w:val="20"/>
          <w:color w:val="auto"/>
        </w:rPr>
      </w:pPr>
      <w:r>
        <w:rPr>
          <w:rFonts w:ascii="Times New Roman" w:cs="Times New Roman" w:eastAsia="Times New Roman" w:hAnsi="Times New Roman"/>
          <w:sz w:val="16"/>
          <w:szCs w:val="16"/>
          <w:color w:val="auto"/>
        </w:rPr>
        <w:t>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w:t>
      </w:r>
    </w:p>
    <w:p>
      <w:pPr>
        <w:ind w:right="240"/>
        <w:spacing w:after="0" w:line="231" w:lineRule="auto"/>
        <w:rPr>
          <w:sz w:val="20"/>
          <w:szCs w:val="20"/>
          <w:color w:val="auto"/>
        </w:rPr>
      </w:pPr>
      <w:r>
        <w:rPr>
          <w:rFonts w:ascii="Times New Roman" w:cs="Times New Roman" w:eastAsia="Times New Roman" w:hAnsi="Times New Roman"/>
          <w:sz w:val="16"/>
          <w:szCs w:val="16"/>
          <w:color w:val="auto"/>
        </w:rPr>
        <w:t>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68"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6"/>
          <w:szCs w:val="16"/>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82"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Our product(s) are and will be subject to extensive and ongoing requirements of and review by the FDA and other regulatory authorities, including requirements related to the manufacturing processes, post 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 approval. Even if marketing approval of a product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post-market requirements or restrictions. Any such restrictions could limit sales of the product.</w:t>
      </w:r>
    </w:p>
    <w:p>
      <w:pPr>
        <w:spacing w:after="0" w:line="382" w:lineRule="exact"/>
        <w:rPr>
          <w:sz w:val="20"/>
          <w:szCs w:val="20"/>
          <w:color w:val="auto"/>
        </w:rPr>
      </w:pPr>
    </w:p>
    <w:p>
      <w:pPr>
        <w:ind w:right="100" w:firstLine="749"/>
        <w:spacing w:after="0" w:line="263" w:lineRule="auto"/>
        <w:rPr>
          <w:sz w:val="20"/>
          <w:szCs w:val="20"/>
          <w:color w:val="auto"/>
        </w:rPr>
      </w:pPr>
      <w:r>
        <w:rPr>
          <w:rFonts w:ascii="Times New Roman" w:cs="Times New Roman" w:eastAsia="Times New Roman" w:hAnsi="Times New Roman"/>
          <w:sz w:val="16"/>
          <w:szCs w:val="16"/>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178" w:lineRule="exact"/>
        <w:rPr>
          <w:sz w:val="20"/>
          <w:szCs w:val="20"/>
          <w:color w:val="auto"/>
        </w:rPr>
      </w:pPr>
    </w:p>
    <w:p>
      <w:pPr>
        <w:ind w:right="120" w:firstLine="749"/>
        <w:spacing w:after="0" w:line="263" w:lineRule="auto"/>
        <w:rPr>
          <w:sz w:val="20"/>
          <w:szCs w:val="20"/>
          <w:color w:val="auto"/>
        </w:rPr>
      </w:pPr>
      <w:r>
        <w:rPr>
          <w:rFonts w:ascii="Times New Roman" w:cs="Times New Roman" w:eastAsia="Times New Roman" w:hAnsi="Times New Roman"/>
          <w:sz w:val="16"/>
          <w:szCs w:val="16"/>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77"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manufacturing or distribution, or marketing of such products;</w:t>
      </w:r>
    </w:p>
    <w:p>
      <w:pPr>
        <w:spacing w:after="0" w:line="221" w:lineRule="exact"/>
        <w:rPr>
          <w:rFonts w:ascii="Times New Roman" w:cs="Times New Roman" w:eastAsia="Times New Roman" w:hAnsi="Times New Roman"/>
          <w:sz w:val="16"/>
          <w:szCs w:val="16"/>
          <w:color w:val="auto"/>
        </w:rPr>
      </w:pPr>
    </w:p>
    <w:p>
      <w:pPr>
        <w:ind w:left="760" w:right="100" w:hanging="378"/>
        <w:spacing w:after="0" w:line="280" w:lineRule="auto"/>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labeling, including required additional warnings, such as black box warnings, contraindications, precautions, and restrictions on the approved indication or use;</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modifications to promotional pieces;</w:t>
      </w:r>
    </w:p>
    <w:p>
      <w:pPr>
        <w:spacing w:after="0" w:line="181"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to conduct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marketing studies or clinical trials; clinical holds or termination of clinical trials;</w:t>
      </w:r>
    </w:p>
    <w:p>
      <w:pPr>
        <w:spacing w:after="0" w:line="247" w:lineRule="exact"/>
        <w:rPr>
          <w:rFonts w:ascii="Times New Roman" w:cs="Times New Roman" w:eastAsia="Times New Roman" w:hAnsi="Times New Roman"/>
          <w:sz w:val="16"/>
          <w:szCs w:val="16"/>
          <w:color w:val="auto"/>
        </w:rPr>
      </w:pPr>
    </w:p>
    <w:p>
      <w:pPr>
        <w:jc w:val="both"/>
        <w:ind w:left="760" w:right="60" w:hanging="378"/>
        <w:spacing w:after="0" w:line="263" w:lineRule="auto"/>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7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the way the drug is administered;</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liability for harm caused to patients or subjects;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reputational harm;</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drug becoming less competitive;</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warning; or untitled letters;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suspension of marketing or withdrawal of the products from the market;</w:t>
      </w:r>
    </w:p>
    <w:p>
      <w:pPr>
        <w:spacing w:after="0" w:line="207" w:lineRule="exact"/>
        <w:rPr>
          <w:rFonts w:ascii="Times New Roman" w:cs="Times New Roman" w:eastAsia="Times New Roman" w:hAnsi="Times New Roman"/>
          <w:sz w:val="16"/>
          <w:szCs w:val="16"/>
          <w:color w:val="auto"/>
        </w:rPr>
      </w:pPr>
    </w:p>
    <w:p>
      <w:pPr>
        <w:ind w:left="760" w:right="420" w:hanging="378"/>
        <w:spacing w:after="0" w:line="280" w:lineRule="auto"/>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authority issuance of safety alerts, Dear Healthcare Provider letters, press releases, or other communications containing warnings or other safety information about the drug;</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approve pending applications or supplements to approved applications that we submit;</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recall of products;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damages, restitution, or disgorgement of profits or revenues;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suspension or withdrawal of marketing approvals;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permit the import or export of our products;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 or detention;</w:t>
      </w:r>
    </w:p>
    <w:p>
      <w:pPr>
        <w:spacing w:after="0" w:line="221" w:lineRule="exact"/>
        <w:rPr>
          <w:rFonts w:ascii="Times New Roman" w:cs="Times New Roman" w:eastAsia="Times New Roman" w:hAnsi="Times New Roman"/>
          <w:sz w:val="16"/>
          <w:szCs w:val="16"/>
          <w:color w:val="auto"/>
        </w:rPr>
      </w:pPr>
    </w:p>
    <w:p>
      <w:pPr>
        <w:ind w:left="760" w:right="480" w:hanging="378"/>
        <w:spacing w:after="0" w:line="280" w:lineRule="auto"/>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or criminal penalties, including imprisonment.</w:t>
      </w:r>
    </w:p>
    <w:p>
      <w:pPr>
        <w:spacing w:after="0" w:line="208"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6"/>
          <w:szCs w:val="16"/>
          <w:color w:val="auto"/>
        </w:rPr>
        <w:t>Any of these events could prevent us from achieving or maintaining market acceptance of the particular products,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1" w:lineRule="exact"/>
        <w:rPr>
          <w:sz w:val="20"/>
          <w:szCs w:val="20"/>
          <w:color w:val="auto"/>
        </w:rPr>
      </w:pPr>
    </w:p>
    <w:p>
      <w:pPr>
        <w:ind w:right="200" w:firstLine="749"/>
        <w:spacing w:after="0" w:line="252" w:lineRule="auto"/>
        <w:rPr>
          <w:sz w:val="20"/>
          <w:szCs w:val="20"/>
          <w:color w:val="auto"/>
        </w:rPr>
      </w:pPr>
      <w:r>
        <w:rPr>
          <w:rFonts w:ascii="Times New Roman" w:cs="Times New Roman" w:eastAsia="Times New Roman" w:hAnsi="Times New Roman"/>
          <w:sz w:val="16"/>
          <w:szCs w:val="16"/>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86" w:lineRule="exact"/>
        <w:rPr>
          <w:sz w:val="20"/>
          <w:szCs w:val="20"/>
          <w:color w:val="auto"/>
        </w:rPr>
      </w:pPr>
    </w:p>
    <w:p>
      <w:pPr>
        <w:ind w:right="560" w:firstLine="749"/>
        <w:spacing w:after="0" w:line="209" w:lineRule="exact"/>
        <w:rPr>
          <w:sz w:val="20"/>
          <w:szCs w:val="20"/>
          <w:color w:val="auto"/>
        </w:rPr>
      </w:pPr>
      <w:r>
        <w:rPr>
          <w:rFonts w:ascii="Times New Roman" w:cs="Times New Roman" w:eastAsia="Times New Roman" w:hAnsi="Times New Roman"/>
          <w:sz w:val="16"/>
          <w:szCs w:val="16"/>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approval regulations may have a negative effect on our operating results and financial condition.</w:t>
      </w:r>
    </w:p>
    <w:p>
      <w:pPr>
        <w:spacing w:after="0" w:line="15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Timelines for the review of our regulatory submissions by the FDA and other regulatory agencies are subject to change and uncertainty, which may delay the potential approval of any product candidates we seek to develop or commercialize.</w:t>
      </w:r>
    </w:p>
    <w:p>
      <w:pPr>
        <w:spacing w:after="0" w:line="160"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6"/>
          <w:szCs w:val="16"/>
          <w:color w:val="auto"/>
        </w:rPr>
        <w:t>We cannot predict the timeline for review of submissions to any regulatory authorities or when any of our product candidates will receive marketing approval, if at all. The timeline for regulatory approval can be affected by a variety of factors, including disruptive effects of the COVID-19 pandemic, budget and funding levels, agency staffing, and statutory, regulatory and policy changes. Delays or uncertainty in the timing of regulatory action in response to our submissions could adversely impact our development and commercialization efforts and our business prospects.</w:t>
      </w:r>
    </w:p>
    <w:p>
      <w:pPr>
        <w:spacing w:after="0" w:line="3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obtain approval to commercialize our products or product candidates outside of the United States, a variety of risks associated with international operations could materially adversely affect our business.</w:t>
      </w:r>
    </w:p>
    <w:p>
      <w:pPr>
        <w:spacing w:after="0" w:line="160" w:lineRule="exact"/>
        <w:rPr>
          <w:sz w:val="20"/>
          <w:szCs w:val="20"/>
          <w:color w:val="auto"/>
        </w:rPr>
      </w:pPr>
    </w:p>
    <w:p>
      <w:pPr>
        <w:ind w:right="80" w:firstLine="749"/>
        <w:spacing w:after="0" w:line="263" w:lineRule="auto"/>
        <w:rPr>
          <w:sz w:val="20"/>
          <w:szCs w:val="20"/>
          <w:color w:val="auto"/>
        </w:rPr>
      </w:pPr>
      <w:r>
        <w:rPr>
          <w:rFonts w:ascii="Times New Roman" w:cs="Times New Roman" w:eastAsia="Times New Roman" w:hAnsi="Times New Roman"/>
          <w:sz w:val="16"/>
          <w:szCs w:val="16"/>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77"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 regulatory requirements for approval of drugs in foreign countries;</w:t>
      </w:r>
    </w:p>
    <w:p>
      <w:pPr>
        <w:spacing w:after="0" w:line="195" w:lineRule="exact"/>
        <w:rPr>
          <w:rFonts w:ascii="Times New Roman" w:cs="Times New Roman" w:eastAsia="Times New Roman" w:hAnsi="Times New Roman"/>
          <w:sz w:val="16"/>
          <w:szCs w:val="16"/>
          <w:color w:val="auto"/>
        </w:rPr>
      </w:pPr>
    </w:p>
    <w:p>
      <w:pPr>
        <w:ind w:left="760" w:hanging="378"/>
        <w:spacing w:after="0" w:line="205" w:lineRule="exact"/>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for so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81" w:lineRule="exact"/>
        <w:rPr>
          <w:rFonts w:ascii="Times New Roman" w:cs="Times New Roman" w:eastAsia="Times New Roman" w:hAnsi="Times New Roman"/>
          <w:sz w:val="16"/>
          <w:szCs w:val="16"/>
          <w:color w:val="auto"/>
        </w:rPr>
      </w:pPr>
    </w:p>
    <w:p>
      <w:pPr>
        <w:ind w:left="760" w:right="220" w:hanging="378"/>
        <w:spacing w:after="0" w:line="280" w:lineRule="auto"/>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64" w:lineRule="exact"/>
        <w:rPr>
          <w:rFonts w:ascii="Times New Roman" w:cs="Times New Roman" w:eastAsia="Times New Roman" w:hAnsi="Times New Roman"/>
          <w:sz w:val="16"/>
          <w:szCs w:val="16"/>
          <w:color w:val="auto"/>
        </w:rPr>
      </w:pPr>
    </w:p>
    <w:p>
      <w:pPr>
        <w:ind w:left="760" w:right="300" w:hanging="378"/>
        <w:spacing w:after="0" w:line="280" w:lineRule="auto"/>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tariffs, trade barriers, and regulatory requirements and in the health care policies of foreign jurisdictions;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 or political instability in particular foreign economies and markets;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taxes, including withholding of payroll taxes;</w:t>
      </w:r>
    </w:p>
    <w:p>
      <w:pPr>
        <w:spacing w:after="0" w:line="221" w:lineRule="exact"/>
        <w:rPr>
          <w:rFonts w:ascii="Times New Roman" w:cs="Times New Roman" w:eastAsia="Times New Roman" w:hAnsi="Times New Roman"/>
          <w:sz w:val="16"/>
          <w:szCs w:val="16"/>
          <w:color w:val="auto"/>
        </w:rPr>
      </w:pPr>
    </w:p>
    <w:p>
      <w:pPr>
        <w:ind w:left="760" w:right="440" w:hanging="378"/>
        <w:spacing w:after="0" w:line="280" w:lineRule="auto"/>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fluctuations, which could result in increased operating expenses and reduced revenues, and other obligations incident to doing business in another country;</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staffing and managing foreign operations;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in countries where labor unrest is more common than in the United States and worker rights tend to be stronger;</w:t>
      </w:r>
    </w:p>
    <w:p>
      <w:pPr>
        <w:spacing w:after="0" w:line="221" w:lineRule="exact"/>
        <w:rPr>
          <w:rFonts w:ascii="Times New Roman" w:cs="Times New Roman" w:eastAsia="Times New Roman" w:hAnsi="Times New Roman"/>
          <w:sz w:val="16"/>
          <w:szCs w:val="16"/>
          <w:color w:val="auto"/>
        </w:rPr>
      </w:pPr>
    </w:p>
    <w:p>
      <w:pPr>
        <w:ind w:left="760" w:hanging="378"/>
        <w:spacing w:after="0" w:line="280" w:lineRule="auto"/>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compliance with U.S. laws and regulations for foreign operations, including the Foreign Corrupt Practices Act or comparable foreign regulations, and the risks and costs of noncompliance;</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shortages resulting from any events affecting raw material supply or manufacturing capabilities abroad; and</w:t>
      </w:r>
    </w:p>
    <w:p>
      <w:pPr>
        <w:spacing w:after="0" w:line="221" w:lineRule="exact"/>
        <w:rPr>
          <w:rFonts w:ascii="Times New Roman" w:cs="Times New Roman" w:eastAsia="Times New Roman" w:hAnsi="Times New Roman"/>
          <w:sz w:val="16"/>
          <w:szCs w:val="16"/>
          <w:color w:val="auto"/>
        </w:rPr>
      </w:pPr>
    </w:p>
    <w:p>
      <w:pPr>
        <w:ind w:left="760" w:right="300" w:hanging="378"/>
        <w:spacing w:after="0" w:line="516" w:lineRule="auto"/>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resulting from geopolitical actions, including war and terrorism, or natural disasters including earthquakes, typhoons, floods, and fires. These and other risks associated with our international operations may materially adversely affect our ability to attain or maintain profitable operations.</w:t>
      </w:r>
    </w:p>
    <w:p>
      <w:pPr>
        <w:spacing w:after="0" w:line="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59"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COMMERCIALIZATION OF OUR PRODUCTS</w:t>
      </w:r>
    </w:p>
    <w:p>
      <w:pPr>
        <w:spacing w:after="0" w:line="219"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60"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6"/>
          <w:szCs w:val="16"/>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Eli Lilly and Company; H. Lundbeck A/S; Harmony Biosciences; Intra-Cellular Therapies, Inc.; Janssen; Jazz Pharmaceuticals plc; Otsuka Pharmaceutical Co. Ltd.; Pfizer Inc.; Relmada Therapeutics Inc.; Sage Therapeutics, Inc.; and Takeda Pharmaceutical Company Limited.</w:t>
      </w:r>
    </w:p>
    <w:p>
      <w:pPr>
        <w:spacing w:after="0" w:line="189" w:lineRule="exact"/>
        <w:rPr>
          <w:sz w:val="20"/>
          <w:szCs w:val="20"/>
          <w:color w:val="auto"/>
        </w:rPr>
      </w:pPr>
    </w:p>
    <w:p>
      <w:pPr>
        <w:ind w:right="20" w:firstLine="749"/>
        <w:spacing w:after="0" w:line="191" w:lineRule="exact"/>
        <w:rPr>
          <w:sz w:val="20"/>
          <w:szCs w:val="20"/>
          <w:color w:val="auto"/>
        </w:rPr>
      </w:pPr>
      <w:r>
        <w:rPr>
          <w:rFonts w:ascii="Times New Roman" w:cs="Times New Roman" w:eastAsia="Times New Roman" w:hAnsi="Times New Roman"/>
          <w:sz w:val="16"/>
          <w:szCs w:val="16"/>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96"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16"/>
          <w:szCs w:val="16"/>
          <w:color w:val="auto"/>
        </w:rPr>
        <w:t>Generic forms of the active ingredients of our product candidates, including zoledronic acid, dextromethorphan, bupropion, meloxicam, rizatriptan, reboxetine, and esomeprazole,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78"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82" w:lineRule="exact"/>
        <w:rPr>
          <w:sz w:val="20"/>
          <w:szCs w:val="20"/>
          <w:color w:val="auto"/>
        </w:rPr>
      </w:pPr>
    </w:p>
    <w:p>
      <w:pPr>
        <w:ind w:firstLine="749"/>
        <w:spacing w:after="0" w:line="185" w:lineRule="exact"/>
        <w:rPr>
          <w:sz w:val="20"/>
          <w:szCs w:val="20"/>
          <w:color w:val="auto"/>
        </w:rPr>
      </w:pPr>
      <w:r>
        <w:rPr>
          <w:rFonts w:ascii="Times New Roman" w:cs="Times New Roman" w:eastAsia="Times New Roman" w:hAnsi="Times New Roman"/>
          <w:sz w:val="16"/>
          <w:szCs w:val="16"/>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Thus, following the introduction of a generic drug, a significant percentage of the sales of any branded product or reference listed drug is typically lost to the generic product.</w:t>
      </w:r>
    </w:p>
    <w:p>
      <w:pPr>
        <w:spacing w:after="0" w:line="19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6"/>
          <w:szCs w:val="16"/>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72" w:lineRule="exact"/>
        <w:rPr>
          <w:sz w:val="20"/>
          <w:szCs w:val="20"/>
          <w:color w:val="auto"/>
        </w:rPr>
      </w:pPr>
    </w:p>
    <w:p>
      <w:pPr>
        <w:ind w:right="20" w:firstLine="749"/>
        <w:spacing w:after="0" w:line="188" w:lineRule="exact"/>
        <w:rPr>
          <w:sz w:val="20"/>
          <w:szCs w:val="20"/>
          <w:color w:val="auto"/>
        </w:rPr>
      </w:pPr>
      <w:r>
        <w:rPr>
          <w:rFonts w:ascii="Times New Roman" w:cs="Times New Roman" w:eastAsia="Times New Roman" w:hAnsi="Times New Roman"/>
          <w:sz w:val="16"/>
          <w:szCs w:val="16"/>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6"/>
          <w:szCs w:val="16"/>
          <w:color w:val="auto"/>
        </w:rPr>
        <w:t>We currently anticipate that we may be eligible for three years of non-patent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third-party payors from reimbursing for them, since providers are not prohibited from prescribing medications for indications other than the approved indications listed on the label. Moreover, a 505(b)(2) applicant could rely on a reference listed drug that is not one of our product candidates, or published literature, in which case any periods of patent or non-patent protection may not prevent FDA making an approval effective.</w:t>
      </w:r>
    </w:p>
    <w:p>
      <w:pPr>
        <w:spacing w:after="0" w:line="196" w:lineRule="exact"/>
        <w:rPr>
          <w:sz w:val="20"/>
          <w:szCs w:val="20"/>
          <w:color w:val="auto"/>
        </w:rPr>
      </w:pPr>
    </w:p>
    <w:p>
      <w:pPr>
        <w:ind w:right="80" w:firstLine="749"/>
        <w:spacing w:after="0" w:line="280" w:lineRule="auto"/>
        <w:rPr>
          <w:sz w:val="20"/>
          <w:szCs w:val="20"/>
          <w:color w:val="auto"/>
        </w:rPr>
      </w:pPr>
      <w:r>
        <w:rPr>
          <w:rFonts w:ascii="Times New Roman" w:cs="Times New Roman" w:eastAsia="Times New Roman" w:hAnsi="Times New Roman"/>
          <w:sz w:val="16"/>
          <w:szCs w:val="16"/>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75" w:lineRule="exact"/>
        <w:rPr>
          <w:sz w:val="20"/>
          <w:szCs w:val="20"/>
          <w:color w:val="auto"/>
        </w:rPr>
      </w:pPr>
    </w:p>
    <w:p>
      <w:pPr>
        <w:ind w:right="200" w:firstLine="749"/>
        <w:spacing w:after="0" w:line="280" w:lineRule="auto"/>
        <w:rPr>
          <w:sz w:val="20"/>
          <w:szCs w:val="20"/>
          <w:color w:val="auto"/>
        </w:rPr>
      </w:pPr>
      <w:r>
        <w:rPr>
          <w:rFonts w:ascii="Times New Roman" w:cs="Times New Roman" w:eastAsia="Times New Roman" w:hAnsi="Times New Roman"/>
          <w:sz w:val="16"/>
          <w:szCs w:val="16"/>
          <w:color w:val="auto"/>
        </w:rPr>
        <w:t>AXS-12 received Orphan Drug Designation from FDA for the treatment of narcolepsy. We may also seek Orphan Drug Designation for our other products, as appropriate.</w:t>
      </w:r>
    </w:p>
    <w:p>
      <w:pPr>
        <w:spacing w:after="0" w:line="151"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16"/>
          <w:szCs w:val="16"/>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89" w:lineRule="exact"/>
        <w:rPr>
          <w:sz w:val="20"/>
          <w:szCs w:val="20"/>
          <w:color w:val="auto"/>
        </w:rPr>
      </w:pPr>
    </w:p>
    <w:p>
      <w:pPr>
        <w:ind w:right="40" w:firstLine="749"/>
        <w:spacing w:after="0" w:line="191" w:lineRule="exact"/>
        <w:rPr>
          <w:sz w:val="20"/>
          <w:szCs w:val="20"/>
          <w:color w:val="auto"/>
        </w:rPr>
      </w:pPr>
      <w:r>
        <w:rPr>
          <w:rFonts w:ascii="Times New Roman" w:cs="Times New Roman" w:eastAsia="Times New Roman" w:hAnsi="Times New Roman"/>
          <w:sz w:val="16"/>
          <w:szCs w:val="16"/>
          <w:color w:val="auto"/>
        </w:rPr>
        <w:t>The FDA or the EMA may grant orphan exclusivity to two different sponsors for the same compound or active molecule and for the same indication. For example, if another sponsor had received FDA approval for a reboxetine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containing product for the treatment of narcolepsy before we had obtained FDA approval for AXS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12 for the treatment of narcolepsy, we would have been prevented from launching our product in the United States for this indication for a period of at least 7 years. If another sponsor had received EMA approval for a reboxetine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containing product for the treatment of narcolepsy before we had obtained EMA approval for AXS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12 for the treatment of narcolepsy, we would have been prevented from launching our product in the EU for this indication for a period of at least 10 to 12 years.</w:t>
      </w:r>
    </w:p>
    <w:p>
      <w:pPr>
        <w:spacing w:after="0" w:line="197" w:lineRule="exact"/>
        <w:rPr>
          <w:sz w:val="20"/>
          <w:szCs w:val="20"/>
          <w:color w:val="auto"/>
        </w:rPr>
      </w:pPr>
    </w:p>
    <w:p>
      <w:pPr>
        <w:ind w:right="140" w:firstLine="749"/>
        <w:spacing w:after="0" w:line="252" w:lineRule="auto"/>
        <w:rPr>
          <w:sz w:val="20"/>
          <w:szCs w:val="20"/>
          <w:color w:val="auto"/>
        </w:rPr>
      </w:pPr>
      <w:r>
        <w:rPr>
          <w:rFonts w:ascii="Times New Roman" w:cs="Times New Roman" w:eastAsia="Times New Roman" w:hAnsi="Times New Roman"/>
          <w:sz w:val="16"/>
          <w:szCs w:val="16"/>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Even if we obtain FDA approval of an NDA for our product candidates, if we are unable to establish effective marketing, sales and distribution capabilities or enter into agreements with third parties to market, sell and distribute our product candidates, if they are approved, we may be unable to generate substantial product revenues.</w:t>
      </w:r>
    </w:p>
    <w:p>
      <w:pPr>
        <w:spacing w:after="0" w:line="160"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6"/>
          <w:szCs w:val="16"/>
          <w:color w:val="auto"/>
        </w:rPr>
        <w:t>We are currently expanding our commercial infrastructure for the marketing, sale, and distribution of pharmaceutical products, which include the creation of a sales force to launch our product candidates throughout the United States. This may require additional compliance with a range of federal and state laws. If we commercialize our product candidates outside the United States, we intend to partner with marketing and sales collaborators, rather than with our own sales force.</w:t>
      </w:r>
    </w:p>
    <w:p>
      <w:pPr>
        <w:spacing w:after="0" w:line="185"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16"/>
          <w:szCs w:val="16"/>
          <w:color w:val="auto"/>
        </w:rPr>
        <w:t>We have limited experience in the marketing, sale, and distribution of pharmaceutical products, and there are significant risks involved in the building and managing of a commercial infrastructure. Our role as an NDA holder and a virtual manufacturer along with the establishment and development of our commercial infrastructure, our own sales force, and related compliance plans to market any products we may develop, will be expensive and time consuming and could delay any product launch, and we may not be able to successfully develop these capabilities. We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revenue from those product candidates. Factors that may inhibit our efforts to commercialize any of our products on our own include:</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2"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recruit, train, manage, and retain adequate numbers of effective sales and marketing personnel;</w:t>
      </w:r>
    </w:p>
    <w:p>
      <w:pPr>
        <w:spacing w:after="0" w:line="221" w:lineRule="exact"/>
        <w:rPr>
          <w:rFonts w:ascii="Times New Roman" w:cs="Times New Roman" w:eastAsia="Times New Roman" w:hAnsi="Times New Roman"/>
          <w:sz w:val="16"/>
          <w:szCs w:val="16"/>
          <w:color w:val="auto"/>
        </w:rPr>
      </w:pPr>
    </w:p>
    <w:p>
      <w:pPr>
        <w:ind w:left="760" w:right="460" w:hanging="378"/>
        <w:spacing w:after="0" w:line="263" w:lineRule="auto"/>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sales personnel to obtain access to physicians or persuade adequate numbers of physicians to prescribe any of our current or future product candidates;</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sales personnel to travel and/or arrange in-person meetings with physicians due to the ongoing COVID-19 pandemic;</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effectively oversee a geographically dispersed sales and marketing team;</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of federal and state drug distribution and supply chain requirements to our business;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training sales and marketing personnel on legal and regulatory compliance matters and monitoring their actions;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inability to secure adequate coverage and reimbursement by government and private health plans;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indications and labeled claims for which the product is approved;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or warnings, including distribution or use restrictions, contained in the product’s approved labeling;</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distribution and use restrictions imposed by the FDA or to which we agree as part of a mandatory REMS or voluntary risk management plan;</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liability for sales or marketing personnel who fail to comply with the applicable legal and regulatory requirements;</w:t>
      </w:r>
    </w:p>
    <w:p>
      <w:pPr>
        <w:spacing w:after="0" w:line="194" w:lineRule="exact"/>
        <w:rPr>
          <w:rFonts w:ascii="Times New Roman" w:cs="Times New Roman" w:eastAsia="Times New Roman" w:hAnsi="Times New Roman"/>
          <w:sz w:val="16"/>
          <w:szCs w:val="16"/>
          <w:color w:val="auto"/>
        </w:rPr>
      </w:pPr>
    </w:p>
    <w:p>
      <w:pPr>
        <w:ind w:left="760" w:right="40" w:hanging="378"/>
        <w:spacing w:after="0" w:line="245" w:lineRule="auto"/>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lack of complementary products to be offered by sales personnel, which may put us at a competitive disadvantage relative to companies with more extensive product lines; and</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costs and expenses associated with creating an independent sales and marketing organization or engaging a contract sales organization.</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As we expand our commercial infrastructure, we will incur expenses prior to product launch in recruiting this sales force and developing a compliant marketing</w:t>
      </w:r>
    </w:p>
    <w:p>
      <w:pPr>
        <w:spacing w:after="0" w:line="10"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6"/>
          <w:szCs w:val="16"/>
          <w:color w:val="auto"/>
        </w:rPr>
        <w:t>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any of our current or future product candidates do not achieve broad market acceptance, the revenues that we generate from their sales will be limited.</w:t>
      </w:r>
    </w:p>
    <w:p>
      <w:pPr>
        <w:spacing w:after="0" w:line="225"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6"/>
          <w:szCs w:val="16"/>
          <w:color w:val="auto"/>
        </w:rPr>
        <w:t>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third-party payors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193" w:lineRule="exact"/>
        <w:rPr>
          <w:sz w:val="20"/>
          <w:szCs w:val="20"/>
          <w:color w:val="auto"/>
        </w:rPr>
      </w:pPr>
    </w:p>
    <w:p>
      <w:pPr>
        <w:ind w:firstLine="749"/>
        <w:spacing w:after="0" w:line="231" w:lineRule="auto"/>
        <w:rPr>
          <w:sz w:val="20"/>
          <w:szCs w:val="20"/>
          <w:color w:val="auto"/>
        </w:rPr>
      </w:pPr>
      <w:r>
        <w:rPr>
          <w:rFonts w:ascii="Times New Roman" w:cs="Times New Roman" w:eastAsia="Times New Roman" w:hAnsi="Times New Roman"/>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become profitable. The degree of market acceptance of any of our product candidates will depend on a number of factors, including:</w:t>
      </w:r>
    </w:p>
    <w:p>
      <w:pPr>
        <w:spacing w:after="0" w:line="176"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of our product candidates;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prevalence and severity of adverse events associated with such product candidate;</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indications for which the product is approved and the approved claims that we may make for the product;</w:t>
      </w:r>
    </w:p>
    <w:p>
      <w:pPr>
        <w:spacing w:after="0" w:line="168" w:lineRule="exact"/>
        <w:rPr>
          <w:rFonts w:ascii="Times New Roman" w:cs="Times New Roman" w:eastAsia="Times New Roman" w:hAnsi="Times New Roman"/>
          <w:sz w:val="16"/>
          <w:szCs w:val="16"/>
          <w:color w:val="auto"/>
        </w:rPr>
      </w:pPr>
    </w:p>
    <w:p>
      <w:pPr>
        <w:ind w:left="760" w:right="160" w:hanging="378"/>
        <w:spacing w:after="0" w:line="206" w:lineRule="exact"/>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or warnings contained in the product’s FDA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approved labeling, including potential limitations or warnings for such product candidate, that may be more restrictive than other competitive products;</w:t>
      </w:r>
    </w:p>
    <w:p>
      <w:pPr>
        <w:spacing w:after="0" w:line="168" w:lineRule="exact"/>
        <w:rPr>
          <w:rFonts w:ascii="Times New Roman" w:cs="Times New Roman" w:eastAsia="Times New Roman" w:hAnsi="Times New Roman"/>
          <w:sz w:val="16"/>
          <w:szCs w:val="16"/>
          <w:color w:val="auto"/>
        </w:rPr>
      </w:pPr>
    </w:p>
    <w:p>
      <w:pPr>
        <w:ind w:left="760" w:right="260" w:hanging="378"/>
        <w:spacing w:after="0" w:line="245" w:lineRule="auto"/>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standard of care for the targeted indications for such product candidate, which could reduce the marketing impact of any claims that we could make following FDA approval, if obtained;</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relative convenience and ease of administration of such product candidate;</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of treatment versus economic and clinical benefit in relation to alternative treatments or therapies;</w:t>
      </w:r>
    </w:p>
    <w:p>
      <w:pPr>
        <w:spacing w:after="0" w:line="207" w:lineRule="exact"/>
        <w:rPr>
          <w:rFonts w:ascii="Times New Roman" w:cs="Times New Roman" w:eastAsia="Times New Roman" w:hAnsi="Times New Roman"/>
          <w:sz w:val="16"/>
          <w:szCs w:val="16"/>
          <w:color w:val="auto"/>
        </w:rPr>
      </w:pPr>
    </w:p>
    <w:p>
      <w:pPr>
        <w:ind w:left="760" w:hanging="378"/>
        <w:spacing w:after="0" w:line="245" w:lineRule="auto"/>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adequate coverage or reimbursement by third parties, such as insurance companies and other healthcare payors, and by government healthcare programs, including Medicare and Medicaid;</w:t>
      </w:r>
    </w:p>
    <w:p>
      <w:pPr>
        <w:spacing w:after="0" w:line="16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third-party payors to prefer similar but less expensive products even if not approved for our product’s indication;</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and strength of our marketing and distribution of such product candidate;</w:t>
      </w:r>
    </w:p>
    <w:p>
      <w:pPr>
        <w:spacing w:after="0" w:line="194" w:lineRule="exact"/>
        <w:rPr>
          <w:rFonts w:ascii="Times New Roman" w:cs="Times New Roman" w:eastAsia="Times New Roman" w:hAnsi="Times New Roman"/>
          <w:sz w:val="16"/>
          <w:szCs w:val="16"/>
          <w:color w:val="auto"/>
        </w:rPr>
      </w:pPr>
    </w:p>
    <w:p>
      <w:pPr>
        <w:ind w:left="760" w:right="340" w:hanging="378"/>
        <w:spacing w:after="0" w:line="263" w:lineRule="auto"/>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safety, efficacy, and other potential advantages over, and availability of, alternative treatments already used or that may later be approved for any of our intended indications;</w:t>
      </w:r>
    </w:p>
    <w:p>
      <w:pPr>
        <w:spacing w:after="0" w:line="150" w:lineRule="exact"/>
        <w:rPr>
          <w:rFonts w:ascii="Times New Roman" w:cs="Times New Roman" w:eastAsia="Times New Roman" w:hAnsi="Times New Roman"/>
          <w:sz w:val="16"/>
          <w:szCs w:val="16"/>
          <w:color w:val="auto"/>
        </w:rPr>
      </w:pPr>
    </w:p>
    <w:p>
      <w:pPr>
        <w:ind w:left="760" w:right="280" w:hanging="378"/>
        <w:spacing w:after="0" w:line="245" w:lineRule="auto"/>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 and use restrictions imposed by the FDA with respect to such product candidate or to which we agree as part of a mandatory risk evaluation and mitigation strategy or voluntary risk management plan;</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market introduction of such product candidate, as well as competitive products;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offer such product candidate for sale at competitive prices, including prices that are competitive with generic products;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target patient population to try new therapies and of physicians to prescribe these therapies;</w:t>
      </w:r>
    </w:p>
    <w:p>
      <w:pPr>
        <w:spacing w:after="0" w:line="168" w:lineRule="exact"/>
        <w:rPr>
          <w:rFonts w:ascii="Times New Roman" w:cs="Times New Roman" w:eastAsia="Times New Roman" w:hAnsi="Times New Roman"/>
          <w:sz w:val="16"/>
          <w:szCs w:val="16"/>
          <w:color w:val="auto"/>
        </w:rPr>
      </w:pPr>
    </w:p>
    <w:p>
      <w:pPr>
        <w:ind w:left="760" w:hanging="378"/>
        <w:spacing w:after="0" w:line="184" w:lineRule="exact"/>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and strength of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 and supplier support;</w:t>
      </w:r>
    </w:p>
    <w:p>
      <w:pPr>
        <w:spacing w:after="0" w:line="23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other new products for the same indications;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2"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publicity about the product or favorable publicity about competitive products; and</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product liability claims.</w:t>
      </w:r>
    </w:p>
    <w:p>
      <w:pPr>
        <w:spacing w:after="0" w:line="182" w:lineRule="exact"/>
        <w:rPr>
          <w:sz w:val="20"/>
          <w:szCs w:val="20"/>
          <w:color w:val="auto"/>
        </w:rPr>
      </w:pPr>
    </w:p>
    <w:p>
      <w:pPr>
        <w:ind w:firstLine="749"/>
        <w:spacing w:after="0" w:line="181" w:lineRule="exact"/>
        <w:rPr>
          <w:sz w:val="20"/>
          <w:szCs w:val="20"/>
          <w:color w:val="auto"/>
        </w:rPr>
      </w:pPr>
      <w:r>
        <w:rPr>
          <w:rFonts w:ascii="Times New Roman" w:cs="Times New Roman" w:eastAsia="Times New Roman" w:hAnsi="Times New Roman"/>
          <w:sz w:val="16"/>
          <w:szCs w:val="16"/>
          <w:color w:val="auto"/>
        </w:rPr>
        <w:t>Our efforts to educate the medical community and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w:t>
      </w:r>
    </w:p>
    <w:p>
      <w:pPr>
        <w:spacing w:after="0" w:line="1" w:lineRule="exact"/>
        <w:rPr>
          <w:sz w:val="20"/>
          <w:szCs w:val="20"/>
          <w:color w:val="auto"/>
        </w:rPr>
      </w:pPr>
    </w:p>
    <w:p>
      <w:pPr>
        <w:jc w:val="both"/>
        <w:ind w:right="140"/>
        <w:spacing w:after="0" w:line="216" w:lineRule="auto"/>
        <w:rPr>
          <w:sz w:val="20"/>
          <w:szCs w:val="20"/>
          <w:color w:val="auto"/>
        </w:rPr>
      </w:pPr>
      <w:r>
        <w:rPr>
          <w:rFonts w:ascii="Times New Roman" w:cs="Times New Roman" w:eastAsia="Times New Roman" w:hAnsi="Times New Roman"/>
          <w:sz w:val="16"/>
          <w:szCs w:val="16"/>
          <w:color w:val="auto"/>
        </w:rPr>
        <w:t>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w:t>
      </w:r>
    </w:p>
    <w:p>
      <w:pPr>
        <w:jc w:val="both"/>
        <w:ind w:right="160"/>
        <w:spacing w:after="0" w:line="175" w:lineRule="exact"/>
        <w:rPr>
          <w:sz w:val="20"/>
          <w:szCs w:val="20"/>
          <w:color w:val="auto"/>
        </w:rPr>
      </w:pPr>
      <w:r>
        <w:rPr>
          <w:rFonts w:ascii="Times New Roman" w:cs="Times New Roman" w:eastAsia="Times New Roman" w:hAnsi="Times New Roman"/>
          <w:sz w:val="16"/>
          <w:szCs w:val="16"/>
          <w:color w:val="auto"/>
        </w:rPr>
        <w:t>certain of our product candidates among physicians, patients, and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we may not generate meaningful revenues from our product candidates, and we may not become profitable.</w:t>
      </w:r>
    </w:p>
    <w:p>
      <w:pPr>
        <w:spacing w:after="0" w:line="181" w:lineRule="exact"/>
        <w:rPr>
          <w:sz w:val="20"/>
          <w:szCs w:val="20"/>
          <w:color w:val="auto"/>
        </w:rPr>
      </w:pPr>
    </w:p>
    <w:p>
      <w:pPr>
        <w:ind w:right="80" w:firstLine="749"/>
        <w:spacing w:after="0" w:line="191" w:lineRule="exact"/>
        <w:rPr>
          <w:sz w:val="20"/>
          <w:szCs w:val="20"/>
          <w:color w:val="auto"/>
        </w:rPr>
      </w:pPr>
      <w:r>
        <w:rPr>
          <w:rFonts w:ascii="Times New Roman" w:cs="Times New Roman" w:eastAsia="Times New Roman" w:hAnsi="Times New Roman"/>
          <w:sz w:val="16"/>
          <w:szCs w:val="16"/>
          <w:color w:val="auto"/>
        </w:rPr>
        <w:t>The ability of patients to purchase certain of the active ingredients of our product candidates in generic form could put us at a competitive disadvantage. For example, in some foreign jurisdictions, generic oral forms of dextromethorphan and bupropion are currently available individually for consumer purchase. In addition, physicians may prescribe generic zoledronic acid for the treatment of pain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Any use of these generic forms of the active molecules of our product candidates could adversely affect our business and our results of operations.</w:t>
      </w:r>
    </w:p>
    <w:p>
      <w:pPr>
        <w:spacing w:after="0" w:line="195" w:lineRule="exact"/>
        <w:rPr>
          <w:sz w:val="20"/>
          <w:szCs w:val="20"/>
          <w:color w:val="auto"/>
        </w:rPr>
      </w:pPr>
    </w:p>
    <w:p>
      <w:pPr>
        <w:ind w:right="180" w:firstLine="749"/>
        <w:spacing w:after="0" w:line="191" w:lineRule="exact"/>
        <w:rPr>
          <w:sz w:val="20"/>
          <w:szCs w:val="20"/>
          <w:color w:val="auto"/>
        </w:rPr>
      </w:pPr>
      <w:r>
        <w:rPr>
          <w:rFonts w:ascii="Times New Roman" w:cs="Times New Roman" w:eastAsia="Times New Roman" w:hAnsi="Times New Roman"/>
          <w:sz w:val="16"/>
          <w:szCs w:val="16"/>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face potential product liability exposure, and if successful claims are brought against us, we may incur substantial liability for any of our current or future products and may have to limit their commercialization.</w:t>
      </w:r>
    </w:p>
    <w:p>
      <w:pPr>
        <w:spacing w:after="0" w:line="160" w:lineRule="exact"/>
        <w:rPr>
          <w:sz w:val="20"/>
          <w:szCs w:val="20"/>
          <w:color w:val="auto"/>
        </w:rPr>
      </w:pPr>
    </w:p>
    <w:p>
      <w:pPr>
        <w:ind w:right="160" w:firstLine="749"/>
        <w:spacing w:after="0" w:line="225" w:lineRule="auto"/>
        <w:rPr>
          <w:sz w:val="20"/>
          <w:szCs w:val="20"/>
          <w:color w:val="auto"/>
        </w:rPr>
      </w:pPr>
      <w:r>
        <w:rPr>
          <w:rFonts w:ascii="Times New Roman" w:cs="Times New Roman" w:eastAsia="Times New Roman" w:hAnsi="Times New Roman"/>
          <w:sz w:val="16"/>
          <w:szCs w:val="16"/>
          <w:color w:val="auto"/>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will face an even greater risk if we commercially sell any of our products. For example, we may be sued if any products we develop allegedly causes injury or is found to be otherwise unsuitable during clinical testing,</w:t>
      </w:r>
    </w:p>
    <w:p>
      <w:pPr>
        <w:ind w:right="340"/>
        <w:spacing w:after="0" w:line="220" w:lineRule="auto"/>
        <w:rPr>
          <w:sz w:val="20"/>
          <w:szCs w:val="20"/>
          <w:color w:val="auto"/>
        </w:rPr>
      </w:pPr>
      <w:r>
        <w:rPr>
          <w:rFonts w:ascii="Times New Roman" w:cs="Times New Roman" w:eastAsia="Times New Roman" w:hAnsi="Times New Roman"/>
          <w:sz w:val="16"/>
          <w:szCs w:val="16"/>
          <w:color w:val="auto"/>
        </w:rPr>
        <w:t>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w:t>
      </w:r>
    </w:p>
    <w:p>
      <w:pPr>
        <w:jc w:val="both"/>
        <w:ind w:right="160"/>
        <w:spacing w:after="0" w:line="224" w:lineRule="auto"/>
        <w:rPr>
          <w:sz w:val="20"/>
          <w:szCs w:val="20"/>
          <w:color w:val="auto"/>
        </w:rPr>
      </w:pPr>
      <w:r>
        <w:rPr>
          <w:rFonts w:ascii="Times New Roman" w:cs="Times New Roman" w:eastAsia="Times New Roman" w:hAnsi="Times New Roman"/>
          <w:sz w:val="16"/>
          <w:szCs w:val="16"/>
          <w:color w:val="auto"/>
        </w:rPr>
        <w:t>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from including from:</w:t>
      </w:r>
    </w:p>
    <w:p>
      <w:pPr>
        <w:spacing w:after="0" w:line="182"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for our products and/or product candidates;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of our business reputation or financial stability;</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related litigation;</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patients or other claimants;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management attention;</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revenues;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of clinical trial participants and potential termination of clinical trial sites or entire clinical programs;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commercialize our product candidates;</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negative media attention;</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in our stock price;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2"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initiation of investigations and enforcement actions by regulators; and</w:t>
      </w:r>
    </w:p>
    <w:p>
      <w:pPr>
        <w:spacing w:after="0" w:line="19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recalls, withdrawals, or labeling, marketing, or promotional restrictions.</w:t>
      </w:r>
    </w:p>
    <w:p>
      <w:pPr>
        <w:spacing w:after="0" w:line="208" w:lineRule="exact"/>
        <w:rPr>
          <w:sz w:val="20"/>
          <w:szCs w:val="20"/>
          <w:color w:val="auto"/>
        </w:rPr>
      </w:pPr>
    </w:p>
    <w:p>
      <w:pPr>
        <w:ind w:firstLine="749"/>
        <w:spacing w:after="0" w:line="225" w:lineRule="auto"/>
        <w:rPr>
          <w:sz w:val="20"/>
          <w:szCs w:val="20"/>
          <w:color w:val="auto"/>
        </w:rPr>
      </w:pPr>
      <w:r>
        <w:rPr>
          <w:rFonts w:ascii="Times New Roman" w:cs="Times New Roman" w:eastAsia="Times New Roman" w:hAnsi="Times New Roman"/>
          <w:sz w:val="16"/>
          <w:szCs w:val="16"/>
          <w:color w:val="auto"/>
        </w:rPr>
        <w:t>We have obtained limited product liability insurance coverage for our products and our clinical trials with a $10.0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w:t>
      </w:r>
    </w:p>
    <w:p>
      <w:pPr>
        <w:jc w:val="both"/>
        <w:spacing w:after="0" w:line="220" w:lineRule="auto"/>
        <w:rPr>
          <w:sz w:val="20"/>
          <w:szCs w:val="20"/>
          <w:color w:val="auto"/>
        </w:rPr>
      </w:pPr>
      <w:r>
        <w:rPr>
          <w:rFonts w:ascii="Times New Roman" w:cs="Times New Roman" w:eastAsia="Times New Roman" w:hAnsi="Times New Roman"/>
          <w:sz w:val="16"/>
          <w:szCs w:val="16"/>
          <w:color w:val="auto"/>
        </w:rPr>
        <w:t>insurance coverage at a reasonable cost or in sufficient amounts to protect us against losses due to liability. fOn occasion, large judgments have been awarded in class action lawsuits based on drugs that had unanticipated side effects. A successful product liability claim or series of claims brought against us could cause our stock price to fall and,</w:t>
      </w:r>
    </w:p>
    <w:p>
      <w:pPr>
        <w:spacing w:after="0"/>
        <w:rPr>
          <w:sz w:val="20"/>
          <w:szCs w:val="20"/>
          <w:color w:val="auto"/>
        </w:rPr>
      </w:pPr>
      <w:r>
        <w:rPr>
          <w:rFonts w:ascii="Times New Roman" w:cs="Times New Roman" w:eastAsia="Times New Roman" w:hAnsi="Times New Roman"/>
          <w:sz w:val="16"/>
          <w:szCs w:val="16"/>
          <w:color w:val="auto"/>
        </w:rPr>
        <w:t>if judgments exceed our insurance coverage, could decrease our cash and adversely affect our business and our prospects.</w:t>
      </w:r>
    </w:p>
    <w:p>
      <w:pPr>
        <w:spacing w:after="0" w:line="172"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growth prospects.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Sunosi contains controlled substances as defined in the Federal Controlled Substances Act, or CSA. Controlled substances are subject to a number of</w:t>
      </w:r>
    </w:p>
    <w:p>
      <w:pPr>
        <w:spacing w:after="0" w:line="10"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16"/>
          <w:szCs w:val="16"/>
          <w:color w:val="auto"/>
        </w:rPr>
        <w:t>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no currently “accepted medical use” in the U.S., lack accepted safety for use under medical</w:t>
      </w:r>
    </w:p>
    <w:p>
      <w:pPr>
        <w:ind w:right="40"/>
        <w:spacing w:after="0" w:line="220" w:lineRule="auto"/>
        <w:rPr>
          <w:sz w:val="20"/>
          <w:szCs w:val="20"/>
          <w:color w:val="auto"/>
        </w:rPr>
      </w:pPr>
      <w:r>
        <w:rPr>
          <w:rFonts w:ascii="Times New Roman" w:cs="Times New Roman" w:eastAsia="Times New Roman" w:hAnsi="Times New Roman"/>
          <w:sz w:val="16"/>
          <w:szCs w:val="16"/>
          <w:color w:val="auto"/>
        </w:rPr>
        <w:t>supervision, and may not be prescribed, marketed or sold in the U.S. Pharmaceutical products approved for use in the U.S. which contain a controlled substance are listed as Schedule II, III, IV or V, with</w:t>
      </w:r>
    </w:p>
    <w:p>
      <w:pPr>
        <w:ind w:right="160"/>
        <w:spacing w:after="0" w:line="244" w:lineRule="auto"/>
        <w:rPr>
          <w:sz w:val="20"/>
          <w:szCs w:val="20"/>
          <w:color w:val="auto"/>
        </w:rPr>
      </w:pPr>
      <w:r>
        <w:rPr>
          <w:rFonts w:ascii="Times New Roman" w:cs="Times New Roman" w:eastAsia="Times New Roman" w:hAnsi="Times New Roman"/>
          <w:sz w:val="16"/>
          <w:szCs w:val="16"/>
          <w:color w:val="auto"/>
        </w:rPr>
        <w:t>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192" w:lineRule="exact"/>
        <w:rPr>
          <w:sz w:val="20"/>
          <w:szCs w:val="20"/>
          <w:color w:val="auto"/>
        </w:rPr>
      </w:pPr>
    </w:p>
    <w:p>
      <w:pPr>
        <w:ind w:right="20" w:firstLine="749"/>
        <w:spacing w:after="0" w:line="231" w:lineRule="auto"/>
        <w:rPr>
          <w:sz w:val="20"/>
          <w:szCs w:val="20"/>
          <w:color w:val="auto"/>
        </w:rPr>
      </w:pPr>
      <w:r>
        <w:rPr>
          <w:rFonts w:ascii="Times New Roman" w:cs="Times New Roman" w:eastAsia="Times New Roman" w:hAnsi="Times New Roman"/>
          <w:sz w:val="16"/>
          <w:szCs w:val="16"/>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w:t>
      </w:r>
    </w:p>
    <w:p>
      <w:pPr>
        <w:spacing w:after="0" w:line="1" w:lineRule="exact"/>
        <w:rPr>
          <w:sz w:val="20"/>
          <w:szCs w:val="20"/>
          <w:color w:val="auto"/>
        </w:rPr>
      </w:pPr>
    </w:p>
    <w:p>
      <w:pPr>
        <w:ind w:right="760"/>
        <w:spacing w:after="0" w:line="231" w:lineRule="auto"/>
        <w:rPr>
          <w:sz w:val="20"/>
          <w:szCs w:val="20"/>
          <w:color w:val="auto"/>
        </w:rPr>
      </w:pPr>
      <w:r>
        <w:rPr>
          <w:rFonts w:ascii="Times New Roman" w:cs="Times New Roman" w:eastAsia="Times New Roman" w:hAnsi="Times New Roman"/>
          <w:sz w:val="16"/>
          <w:szCs w:val="16"/>
          <w:color w:val="auto"/>
        </w:rPr>
        <w:t>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81" w:lineRule="exact"/>
        <w:rPr>
          <w:sz w:val="20"/>
          <w:szCs w:val="20"/>
          <w:color w:val="auto"/>
        </w:rPr>
      </w:pPr>
    </w:p>
    <w:p>
      <w:pPr>
        <w:jc w:val="both"/>
        <w:ind w:right="420" w:firstLine="749"/>
        <w:spacing w:after="0" w:line="225" w:lineRule="auto"/>
        <w:rPr>
          <w:sz w:val="20"/>
          <w:szCs w:val="20"/>
          <w:color w:val="auto"/>
        </w:rPr>
      </w:pPr>
      <w:r>
        <w:rPr>
          <w:rFonts w:ascii="Times New Roman" w:cs="Times New Roman" w:eastAsia="Times New Roman" w:hAnsi="Times New Roman"/>
          <w:sz w:val="16"/>
          <w:szCs w:val="16"/>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w:t>
      </w:r>
    </w:p>
    <w:p>
      <w:pPr>
        <w:ind w:right="40"/>
        <w:spacing w:after="0" w:line="220" w:lineRule="auto"/>
        <w:rPr>
          <w:sz w:val="20"/>
          <w:szCs w:val="20"/>
          <w:color w:val="auto"/>
        </w:rPr>
      </w:pPr>
      <w:r>
        <w:rPr>
          <w:rFonts w:ascii="Times New Roman" w:cs="Times New Roman" w:eastAsia="Times New Roman" w:hAnsi="Times New Roman"/>
          <w:sz w:val="16"/>
          <w:szCs w:val="16"/>
          <w:color w:val="auto"/>
        </w:rPr>
        <w:t>maintaining the necessary registrations and complying with the regulatory obligations may result in delay of the importation, manufacturing, distribution or clinical research of our products and products candidates. Furthermore, failure to maintain compliance with the CSA and DEA and state regulations by us or any of our contractors,</w:t>
      </w:r>
    </w:p>
    <w:p>
      <w:pPr>
        <w:jc w:val="both"/>
        <w:ind w:right="200"/>
        <w:spacing w:after="0" w:line="217" w:lineRule="auto"/>
        <w:rPr>
          <w:sz w:val="20"/>
          <w:szCs w:val="20"/>
          <w:color w:val="auto"/>
        </w:rPr>
      </w:pPr>
      <w:r>
        <w:rPr>
          <w:rFonts w:ascii="Times New Roman" w:cs="Times New Roman" w:eastAsia="Times New Roman" w:hAnsi="Times New Roman"/>
          <w:sz w:val="16"/>
          <w:szCs w:val="16"/>
          <w:color w:val="auto"/>
        </w:rPr>
        <w:t>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which could have a material adverse</w:t>
      </w:r>
    </w:p>
    <w:p>
      <w:pPr>
        <w:spacing w:after="0"/>
        <w:rPr>
          <w:sz w:val="20"/>
          <w:szCs w:val="20"/>
          <w:color w:val="auto"/>
        </w:rPr>
      </w:pPr>
      <w:r>
        <w:rPr>
          <w:rFonts w:ascii="Times New Roman" w:cs="Times New Roman" w:eastAsia="Times New Roman" w:hAnsi="Times New Roman"/>
          <w:sz w:val="16"/>
          <w:szCs w:val="16"/>
          <w:color w:val="auto"/>
        </w:rPr>
        <w:t>effect on our business, results of operations, financial condition and growth prospects.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DEPENDENCE ON THIRD PARTIES</w:t>
      </w:r>
    </w:p>
    <w:p>
      <w:pPr>
        <w:spacing w:after="0" w:line="206"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35" w:lineRule="exact"/>
        <w:rPr>
          <w:sz w:val="20"/>
          <w:szCs w:val="20"/>
          <w:color w:val="auto"/>
        </w:rPr>
      </w:pPr>
    </w:p>
    <w:p>
      <w:pPr>
        <w:ind w:left="760"/>
        <w:spacing w:after="0" w:line="184" w:lineRule="exact"/>
        <w:rPr>
          <w:sz w:val="20"/>
          <w:szCs w:val="20"/>
          <w:color w:val="auto"/>
        </w:rPr>
      </w:pPr>
      <w:r>
        <w:rPr>
          <w:rFonts w:ascii="Times New Roman" w:cs="Times New Roman" w:eastAsia="Times New Roman" w:hAnsi="Times New Roman"/>
          <w:sz w:val="16"/>
          <w:szCs w:val="16"/>
          <w:color w:val="auto"/>
        </w:rPr>
        <w:t>We rely on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CROs to conduct, supervise, and monitor our preclinical studies and certain clinical trials for our product candidates and do not currently</w:t>
      </w:r>
    </w:p>
    <w:p>
      <w:pPr>
        <w:spacing w:after="0" w:line="36" w:lineRule="exact"/>
        <w:rPr>
          <w:sz w:val="20"/>
          <w:szCs w:val="20"/>
          <w:color w:val="auto"/>
        </w:rPr>
      </w:pPr>
    </w:p>
    <w:p>
      <w:pPr>
        <w:ind w:right="260"/>
        <w:spacing w:after="0" w:line="220" w:lineRule="auto"/>
        <w:rPr>
          <w:sz w:val="20"/>
          <w:szCs w:val="20"/>
          <w:color w:val="auto"/>
        </w:rPr>
      </w:pPr>
      <w:r>
        <w:rPr>
          <w:rFonts w:ascii="Times New Roman" w:cs="Times New Roman" w:eastAsia="Times New Roman" w:hAnsi="Times New Roman"/>
          <w:sz w:val="16"/>
          <w:szCs w:val="16"/>
          <w:color w:val="auto"/>
        </w:rPr>
        <w:t>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w:t>
      </w:r>
    </w:p>
    <w:p>
      <w:pPr>
        <w:spacing w:after="0" w:line="217" w:lineRule="auto"/>
        <w:rPr>
          <w:sz w:val="20"/>
          <w:szCs w:val="20"/>
          <w:color w:val="auto"/>
        </w:rPr>
      </w:pPr>
      <w:r>
        <w:rPr>
          <w:rFonts w:ascii="Times New Roman" w:cs="Times New Roman" w:eastAsia="Times New Roman" w:hAnsi="Times New Roman"/>
          <w:sz w:val="16"/>
          <w:szCs w:val="16"/>
          <w:color w:val="auto"/>
        </w:rPr>
        <w:t>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w:t>
      </w:r>
    </w:p>
    <w:p>
      <w:pPr>
        <w:spacing w:after="0"/>
        <w:rPr>
          <w:sz w:val="20"/>
          <w:szCs w:val="20"/>
          <w:color w:val="auto"/>
        </w:rPr>
      </w:pPr>
      <w:r>
        <w:rPr>
          <w:rFonts w:ascii="Times New Roman" w:cs="Times New Roman" w:eastAsia="Times New Roman" w:hAnsi="Times New Roman"/>
          <w:sz w:val="16"/>
          <w:szCs w:val="16"/>
          <w:color w:val="auto"/>
        </w:rPr>
        <w:t>third parties. If we need to enter into alternative arrangements, that could delay our product development activities and adversely affect our business.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2"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67" w:lineRule="exact"/>
        <w:rPr>
          <w:sz w:val="20"/>
          <w:szCs w:val="20"/>
          <w:color w:val="auto"/>
        </w:rPr>
      </w:pPr>
    </w:p>
    <w:p>
      <w:pPr>
        <w:ind w:right="20" w:firstLine="749"/>
        <w:spacing w:after="0" w:line="196" w:lineRule="exact"/>
        <w:rPr>
          <w:sz w:val="20"/>
          <w:szCs w:val="20"/>
          <w:color w:val="auto"/>
        </w:rPr>
      </w:pPr>
      <w:r>
        <w:rPr>
          <w:rFonts w:ascii="Times New Roman" w:cs="Times New Roman" w:eastAsia="Times New Roman" w:hAnsi="Times New Roman"/>
          <w:sz w:val="16"/>
          <w:szCs w:val="16"/>
          <w:color w:val="auto"/>
        </w:rPr>
        <w:t>In addition, when we submit an NDA for review, we are required to report certain financial interests of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96" w:lineRule="exact"/>
        <w:rPr>
          <w:sz w:val="20"/>
          <w:szCs w:val="20"/>
          <w:color w:val="auto"/>
        </w:rPr>
      </w:pPr>
    </w:p>
    <w:p>
      <w:pPr>
        <w:ind w:right="160" w:firstLine="749"/>
        <w:spacing w:after="0" w:line="191" w:lineRule="exact"/>
        <w:rPr>
          <w:sz w:val="20"/>
          <w:szCs w:val="20"/>
          <w:color w:val="auto"/>
        </w:rPr>
      </w:pPr>
      <w:r>
        <w:rPr>
          <w:rFonts w:ascii="Times New Roman" w:cs="Times New Roman" w:eastAsia="Times New Roman" w:hAnsi="Times New Roman"/>
          <w:sz w:val="16"/>
          <w:szCs w:val="16"/>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sponsored database, ClinicalTrials.gov, within specified timeframes. Failure to do so or to meet the related submission requirements can result in enforcement actions, including civil monetary penalties and adverse publicity.</w:t>
      </w:r>
    </w:p>
    <w:p>
      <w:pPr>
        <w:spacing w:after="0" w:line="197" w:lineRule="exact"/>
        <w:rPr>
          <w:sz w:val="20"/>
          <w:szCs w:val="20"/>
          <w:color w:val="auto"/>
        </w:rPr>
      </w:pPr>
    </w:p>
    <w:p>
      <w:pPr>
        <w:ind w:right="20" w:firstLine="749"/>
        <w:spacing w:after="0" w:line="191" w:lineRule="exact"/>
        <w:rPr>
          <w:sz w:val="20"/>
          <w:szCs w:val="20"/>
          <w:color w:val="auto"/>
        </w:rPr>
      </w:pPr>
      <w:r>
        <w:rPr>
          <w:rFonts w:ascii="Times New Roman" w:cs="Times New Roman" w:eastAsia="Times New Roman" w:hAnsi="Times New Roman"/>
          <w:sz w:val="16"/>
          <w:szCs w:val="16"/>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service providers in the future, our business may be materially and adversely affected.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76" w:lineRule="exact"/>
        <w:rPr>
          <w:sz w:val="20"/>
          <w:szCs w:val="20"/>
          <w:color w:val="auto"/>
        </w:rPr>
      </w:pPr>
    </w:p>
    <w:p>
      <w:pPr>
        <w:ind w:right="220" w:firstLine="749"/>
        <w:spacing w:after="0" w:line="196" w:lineRule="exact"/>
        <w:rPr>
          <w:sz w:val="20"/>
          <w:szCs w:val="20"/>
          <w:color w:val="auto"/>
        </w:rPr>
      </w:pPr>
      <w:r>
        <w:rPr>
          <w:rFonts w:ascii="Times New Roman" w:cs="Times New Roman" w:eastAsia="Times New Roman" w:hAnsi="Times New Roman"/>
          <w:sz w:val="16"/>
          <w:szCs w:val="16"/>
          <w:color w:val="auto"/>
        </w:rPr>
        <w:t>If any of our relationships with these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9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82"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6"/>
          <w:szCs w:val="16"/>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89" w:lineRule="exact"/>
        <w:rPr>
          <w:sz w:val="20"/>
          <w:szCs w:val="20"/>
          <w:color w:val="auto"/>
        </w:rPr>
      </w:pPr>
    </w:p>
    <w:p>
      <w:pPr>
        <w:ind w:right="80" w:firstLine="749"/>
        <w:spacing w:after="0" w:line="190" w:lineRule="exact"/>
        <w:rPr>
          <w:sz w:val="20"/>
          <w:szCs w:val="20"/>
          <w:color w:val="auto"/>
        </w:rPr>
      </w:pPr>
      <w:r>
        <w:rPr>
          <w:rFonts w:ascii="Times New Roman" w:cs="Times New Roman" w:eastAsia="Times New Roman" w:hAnsi="Times New Roman"/>
          <w:sz w:val="16"/>
          <w:szCs w:val="16"/>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manufacturers may breach, terminate, or not renew these agreements.</w:t>
      </w:r>
    </w:p>
    <w:p>
      <w:pPr>
        <w:spacing w:after="0" w:line="174" w:lineRule="exact"/>
        <w:rPr>
          <w:sz w:val="20"/>
          <w:szCs w:val="20"/>
          <w:color w:val="auto"/>
        </w:rPr>
      </w:pPr>
    </w:p>
    <w:p>
      <w:pPr>
        <w:ind w:right="80" w:firstLine="749"/>
        <w:spacing w:after="0" w:line="191" w:lineRule="exact"/>
        <w:rPr>
          <w:sz w:val="20"/>
          <w:szCs w:val="20"/>
          <w:color w:val="auto"/>
        </w:rPr>
      </w:pPr>
      <w:r>
        <w:rPr>
          <w:rFonts w:ascii="Times New Roman" w:cs="Times New Roman" w:eastAsia="Times New Roman" w:hAnsi="Times New Roman"/>
          <w:sz w:val="16"/>
          <w:szCs w:val="16"/>
          <w:color w:val="auto"/>
        </w:rPr>
        <w:t>Any problems or delays we experience in preparing for commercial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200" w:lineRule="exact"/>
        <w:rPr>
          <w:sz w:val="20"/>
          <w:szCs w:val="20"/>
          <w:color w:val="auto"/>
        </w:rPr>
      </w:pPr>
    </w:p>
    <w:p>
      <w:pPr>
        <w:ind w:firstLine="749"/>
        <w:spacing w:after="0" w:line="191" w:lineRule="exact"/>
        <w:rPr>
          <w:sz w:val="20"/>
          <w:szCs w:val="20"/>
          <w:color w:val="auto"/>
        </w:rPr>
      </w:pPr>
      <w:r>
        <w:rPr>
          <w:rFonts w:ascii="Times New Roman" w:cs="Times New Roman" w:eastAsia="Times New Roman" w:hAnsi="Times New Roman"/>
          <w:sz w:val="16"/>
          <w:szCs w:val="16"/>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6"/>
          <w:szCs w:val="16"/>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182" w:lineRule="exact"/>
        <w:rPr>
          <w:sz w:val="20"/>
          <w:szCs w:val="20"/>
          <w:color w:val="auto"/>
        </w:rPr>
      </w:pPr>
    </w:p>
    <w:p>
      <w:pPr>
        <w:ind w:right="80" w:firstLine="749"/>
        <w:spacing w:after="0" w:line="263" w:lineRule="auto"/>
        <w:rPr>
          <w:sz w:val="20"/>
          <w:szCs w:val="20"/>
          <w:color w:val="auto"/>
        </w:rPr>
      </w:pPr>
      <w:r>
        <w:rPr>
          <w:rFonts w:ascii="Times New Roman" w:cs="Times New Roman" w:eastAsia="Times New Roman" w:hAnsi="Times New Roman"/>
          <w:sz w:val="16"/>
          <w:szCs w:val="16"/>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7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business operations, financial condition, results of operations and cash flows may be adversely affected by the effects of health epidemics, pandemics, or outbreaks of infectious diseases, including the ongoing COVID-19 pandemic.</w:t>
      </w:r>
    </w:p>
    <w:p>
      <w:pPr>
        <w:spacing w:after="0" w:line="146" w:lineRule="exact"/>
        <w:rPr>
          <w:sz w:val="20"/>
          <w:szCs w:val="20"/>
          <w:color w:val="auto"/>
        </w:rPr>
      </w:pPr>
    </w:p>
    <w:p>
      <w:pPr>
        <w:ind w:right="360" w:firstLine="749"/>
        <w:spacing w:after="0" w:line="280" w:lineRule="auto"/>
        <w:rPr>
          <w:sz w:val="20"/>
          <w:szCs w:val="20"/>
          <w:color w:val="auto"/>
        </w:rPr>
      </w:pPr>
      <w:r>
        <w:rPr>
          <w:rFonts w:ascii="Times New Roman" w:cs="Times New Roman" w:eastAsia="Times New Roman" w:hAnsi="Times New Roman"/>
          <w:sz w:val="16"/>
          <w:szCs w:val="16"/>
          <w:color w:val="auto"/>
        </w:rPr>
        <w:t>Our business could be adversely affected by health epidemics in regions where we have concentrations of clinical trial sites or other business operations and could cause significant disruption in the operations of third-party manufacturers and CROs upon whom we rely.</w:t>
      </w:r>
    </w:p>
    <w:p>
      <w:pPr>
        <w:spacing w:after="0" w:line="165" w:lineRule="exact"/>
        <w:rPr>
          <w:sz w:val="20"/>
          <w:szCs w:val="20"/>
          <w:color w:val="auto"/>
        </w:rPr>
      </w:pPr>
    </w:p>
    <w:p>
      <w:pPr>
        <w:ind w:right="20" w:firstLine="749"/>
        <w:spacing w:after="0" w:line="231" w:lineRule="auto"/>
        <w:rPr>
          <w:sz w:val="20"/>
          <w:szCs w:val="20"/>
          <w:color w:val="auto"/>
        </w:rPr>
      </w:pPr>
      <w:r>
        <w:rPr>
          <w:rFonts w:ascii="Times New Roman" w:cs="Times New Roman" w:eastAsia="Times New Roman" w:hAnsi="Times New Roman"/>
          <w:sz w:val="16"/>
          <w:szCs w:val="16"/>
          <w:color w:val="auto"/>
        </w:rPr>
        <w:t>For example, in December 2019, a novel strain of coronavirus, COVID-19, was identified in Wuhan, China. This virus continues to spread globally and in March 2020, the World Health Organization declared COVID-19 a pandemic. The COVID-19 pandemic has negatively impacted the global economy, disrupted global supply</w:t>
      </w:r>
    </w:p>
    <w:p>
      <w:pPr>
        <w:spacing w:after="0" w:line="1"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6"/>
          <w:szCs w:val="16"/>
          <w:color w:val="auto"/>
        </w:rPr>
        <w:t>chains and created significant volatility and disruption of financial markets. The evolving COVID-19 pandemic may impact the pace of enrollment in clinical trials, and we may be affected by similar delays as patients may avoid or may not be able to travel to healthcare facilities and physicians’ offices unless due to a health emergency and</w:t>
      </w:r>
    </w:p>
    <w:p>
      <w:pPr>
        <w:ind w:right="320"/>
        <w:spacing w:after="0" w:line="217" w:lineRule="auto"/>
        <w:rPr>
          <w:sz w:val="20"/>
          <w:szCs w:val="20"/>
          <w:color w:val="auto"/>
        </w:rPr>
      </w:pPr>
      <w:r>
        <w:rPr>
          <w:rFonts w:ascii="Times New Roman" w:cs="Times New Roman" w:eastAsia="Times New Roman" w:hAnsi="Times New Roman"/>
          <w:sz w:val="16"/>
          <w:szCs w:val="16"/>
          <w:color w:val="auto"/>
        </w:rPr>
        <w:t>clinical trial staff can no longer get to the clinic. Such facilities and offices have been and may continue to be required to focus limited resources on non-clinical trial matters, including treatment of COVID-19 patients, thereby decreasing availability, in whole or in part, for clinical trial services. In addition, employee disruptions and remote working environments related to the COVID-19 pandemic and the federal, state and local responses to such virus, has impacted and could continue to impact the</w:t>
      </w:r>
    </w:p>
    <w:p>
      <w:pPr>
        <w:ind w:right="60"/>
        <w:spacing w:after="0" w:line="231" w:lineRule="auto"/>
        <w:rPr>
          <w:sz w:val="20"/>
          <w:szCs w:val="20"/>
          <w:color w:val="auto"/>
        </w:rPr>
      </w:pPr>
      <w:r>
        <w:rPr>
          <w:rFonts w:ascii="Times New Roman" w:cs="Times New Roman" w:eastAsia="Times New Roman" w:hAnsi="Times New Roman"/>
          <w:sz w:val="16"/>
          <w:szCs w:val="16"/>
          <w:color w:val="auto"/>
        </w:rPr>
        <w:t>efficiency and pace with which we work and develop our product candidates and our manufacturing capabilities. In addition, the COVID-19 pandemic has affected and may continue to affect the operations of the FDA and other health authorities, which could result in delays of reviews and approvals.</w:t>
      </w:r>
    </w:p>
    <w:p>
      <w:pPr>
        <w:spacing w:after="0" w:line="181" w:lineRule="exact"/>
        <w:rPr>
          <w:sz w:val="20"/>
          <w:szCs w:val="20"/>
          <w:color w:val="auto"/>
        </w:rPr>
      </w:pPr>
    </w:p>
    <w:p>
      <w:pPr>
        <w:ind w:right="200" w:firstLine="749"/>
        <w:spacing w:after="0" w:line="225" w:lineRule="auto"/>
        <w:rPr>
          <w:sz w:val="20"/>
          <w:szCs w:val="20"/>
          <w:color w:val="auto"/>
        </w:rPr>
      </w:pPr>
      <w:r>
        <w:rPr>
          <w:rFonts w:ascii="Times New Roman" w:cs="Times New Roman" w:eastAsia="Times New Roman" w:hAnsi="Times New Roman"/>
          <w:sz w:val="16"/>
          <w:szCs w:val="16"/>
          <w:color w:val="auto"/>
        </w:rPr>
        <w:t>We utilize contract manufacturers to manufacture our investigational products and plan to utilize contract manufacturers if and when we obtain FDA approval. The FDA announced it would resume domestic facility inspections, after a previous temporary delay, and more recently the agency stated that it is transitioning back to standard operations for conducting domestic facility inspections. The agency continues its general suspension of foreign facility inspections (other than “mission-critical”</w:t>
      </w:r>
    </w:p>
    <w:p>
      <w:pPr>
        <w:ind w:right="40"/>
        <w:spacing w:after="0" w:line="220" w:lineRule="auto"/>
        <w:rPr>
          <w:sz w:val="20"/>
          <w:szCs w:val="20"/>
          <w:color w:val="auto"/>
        </w:rPr>
      </w:pPr>
      <w:r>
        <w:rPr>
          <w:rFonts w:ascii="Times New Roman" w:cs="Times New Roman" w:eastAsia="Times New Roman" w:hAnsi="Times New Roman"/>
          <w:sz w:val="16"/>
          <w:szCs w:val="16"/>
          <w:color w:val="auto"/>
        </w:rPr>
        <w:t>inspections). Because of the global pandemic, decision-making around facility inspections by the FDA (including Pre-Approval and for cause inspections) continues to evolve. Due to the uncertainty of the COVID-19 pandemic and the FDA’s related internal policies, this could impact future applications and approval of product candidates.</w:t>
      </w:r>
    </w:p>
    <w:p>
      <w:pPr>
        <w:jc w:val="both"/>
        <w:ind w:right="100"/>
        <w:spacing w:after="0" w:line="224" w:lineRule="auto"/>
        <w:rPr>
          <w:sz w:val="20"/>
          <w:szCs w:val="20"/>
          <w:color w:val="auto"/>
        </w:rPr>
      </w:pPr>
      <w:r>
        <w:rPr>
          <w:rFonts w:ascii="Times New Roman" w:cs="Times New Roman" w:eastAsia="Times New Roman" w:hAnsi="Times New Roman"/>
          <w:sz w:val="16"/>
          <w:szCs w:val="16"/>
          <w:color w:val="auto"/>
        </w:rPr>
        <w:t>The FDA has indicated that under certain circumstances it will utilize remote interactive evaluations which include inspection activities “in advance of or in lieu of” on-site drug inspections. Nevertheless, we cannot predict at this time whether this or other developments will cause delays or cause other situations that may adversely impact our business.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6"/>
          <w:szCs w:val="16"/>
          <w:color w:val="auto"/>
        </w:rPr>
        <w:t>The FDA continues to periodically update its guidance, Conduct of Clinical Trials of Medical Products During the COVID-19 Public Health Emergency, which was implemented to assist sponsors in assuring the safety of trial participants, maintaining compliance with GCP, and minimizing risks to trial integrity during the COVID-19 Pandemic, or the COVID-19 Guidelines. The policy is intended to remain in effect only for the duration of the public health emergency related to COVID-19 declared by the Department of Health and Human Services on January 31, 2020. We have implemented several procedures in accordance with the COVID-19 Guidelines to address patient safety and clinical trial conduct during the COVID-19 pandemic, including remote monitoring of patients through telemedical visits, remote monitoring of sites by our clinical trial monitors, remote data entry, and follow-up visits at sites other than the site where the patient was initially treated. Our implementation of the COVID-19 Guidelines and potential disruptions to patient follow up, site monitoring or the timely completion of our trials may have a negative effect on our ability to complete trials and associated regulatory filings.</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6"/>
          <w:szCs w:val="16"/>
          <w:color w:val="auto"/>
        </w:rPr>
        <w:t>The ultimate impact of the COVID-19 pandemic is highly uncertain and subject to change. We do not yet know the full extent of potential delays or impacts on our business, financing or clinical trial activities or on healthcare systems or the global economy as a whole. However, these effects may have a material impact on our liquidity, capital resources, operations and business and those of the third parties on which we rely and a recession or market correction resulting from the spread of COVID-19 could materially affect our business and the value of our common stock. We will continue to monitor the COVID-19 situation closely.</w:t>
      </w:r>
    </w:p>
    <w:p>
      <w:pPr>
        <w:spacing w:after="0" w:line="16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6" w:lineRule="exact"/>
        <w:rPr>
          <w:sz w:val="20"/>
          <w:szCs w:val="20"/>
          <w:color w:val="auto"/>
        </w:rPr>
      </w:pPr>
    </w:p>
    <w:p>
      <w:pPr>
        <w:ind w:right="120" w:firstLine="749"/>
        <w:spacing w:after="0" w:line="179" w:lineRule="exact"/>
        <w:rPr>
          <w:sz w:val="20"/>
          <w:szCs w:val="20"/>
          <w:color w:val="auto"/>
        </w:rPr>
      </w:pPr>
      <w:r>
        <w:rPr>
          <w:rFonts w:ascii="Times New Roman" w:cs="Times New Roman" w:eastAsia="Times New Roman" w:hAnsi="Times New Roman"/>
          <w:sz w:val="16"/>
          <w:szCs w:val="16"/>
          <w:color w:val="auto"/>
        </w:rPr>
        <w:t>We may retain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service providers to perform a variety of functions related to the sale and distribution of any of our current or future products,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w:t>
      </w:r>
    </w:p>
    <w:p>
      <w:pPr>
        <w:spacing w:after="0" w:line="2" w:lineRule="exact"/>
        <w:rPr>
          <w:sz w:val="20"/>
          <w:szCs w:val="20"/>
          <w:color w:val="auto"/>
        </w:rPr>
      </w:pPr>
    </w:p>
    <w:p>
      <w:pPr>
        <w:ind w:right="80"/>
        <w:spacing w:after="0" w:line="172" w:lineRule="exact"/>
        <w:rPr>
          <w:sz w:val="20"/>
          <w:szCs w:val="20"/>
          <w:color w:val="auto"/>
        </w:rPr>
      </w:pPr>
      <w:r>
        <w:rPr>
          <w:rFonts w:ascii="Times New Roman" w:cs="Times New Roman" w:eastAsia="Times New Roman" w:hAnsi="Times New Roman"/>
          <w:sz w:val="16"/>
          <w:szCs w:val="16"/>
          <w:color w:val="auto"/>
        </w:rPr>
        <w:t>maintained by one such service provider. If we retain a service provider, we would substantially rely on it as well as other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providers that perform services for us, including entrusting our inventories of products to their care and handling. If these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service providers fail to comply with applicable laws and regulations, fail to</w:t>
      </w:r>
    </w:p>
    <w:p>
      <w:pPr>
        <w:jc w:val="both"/>
        <w:ind w:right="80"/>
        <w:spacing w:after="0" w:line="231" w:lineRule="auto"/>
        <w:rPr>
          <w:sz w:val="20"/>
          <w:szCs w:val="20"/>
          <w:color w:val="auto"/>
        </w:rPr>
      </w:pPr>
      <w:r>
        <w:rPr>
          <w:rFonts w:ascii="Times New Roman" w:cs="Times New Roman" w:eastAsia="Times New Roman" w:hAnsi="Times New Roman"/>
          <w:sz w:val="16"/>
          <w:szCs w:val="16"/>
          <w:color w:val="auto"/>
        </w:rPr>
        <w:t>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In addition, we may engage third parties to perform various other services for us relating to adverse event reporting, safety database management, fulfillment of</w:t>
      </w:r>
    </w:p>
    <w:p>
      <w:pPr>
        <w:spacing w:after="0" w:line="10"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16"/>
          <w:szCs w:val="16"/>
          <w:color w:val="auto"/>
        </w:rPr>
        <w:t>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1" w:lineRule="exact"/>
        <w:rPr>
          <w:sz w:val="20"/>
          <w:szCs w:val="20"/>
          <w:color w:val="auto"/>
        </w:rPr>
      </w:pPr>
    </w:p>
    <w:p>
      <w:pPr>
        <w:jc w:val="both"/>
        <w:ind w:right="60" w:firstLine="749"/>
        <w:spacing w:after="0" w:line="232" w:lineRule="auto"/>
        <w:rPr>
          <w:sz w:val="20"/>
          <w:szCs w:val="20"/>
          <w:color w:val="auto"/>
        </w:rPr>
      </w:pPr>
      <w:r>
        <w:rPr>
          <w:rFonts w:ascii="Times New Roman" w:cs="Times New Roman" w:eastAsia="Times New Roman" w:hAnsi="Times New Roman"/>
          <w:sz w:val="16"/>
          <w:szCs w:val="16"/>
          <w:color w:val="auto"/>
        </w:rPr>
        <w:t>Additionally, if a third-party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74" w:lineRule="exact"/>
        <w:rPr>
          <w:sz w:val="20"/>
          <w:szCs w:val="20"/>
          <w:color w:val="auto"/>
        </w:rPr>
      </w:pPr>
    </w:p>
    <w:p>
      <w:pPr>
        <w:ind w:right="40" w:firstLine="749"/>
        <w:spacing w:after="0" w:line="222" w:lineRule="auto"/>
        <w:rPr>
          <w:sz w:val="20"/>
          <w:szCs w:val="20"/>
          <w:color w:val="auto"/>
        </w:rPr>
      </w:pPr>
      <w:r>
        <w:rPr>
          <w:rFonts w:ascii="Times New Roman" w:cs="Times New Roman" w:eastAsia="Times New Roman" w:hAnsi="Times New Roman"/>
          <w:sz w:val="16"/>
          <w:szCs w:val="16"/>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w:t>
      </w:r>
    </w:p>
    <w:p>
      <w:pPr>
        <w:spacing w:after="0" w:line="1" w:lineRule="exact"/>
        <w:rPr>
          <w:sz w:val="20"/>
          <w:szCs w:val="20"/>
          <w:color w:val="auto"/>
        </w:rPr>
      </w:pPr>
    </w:p>
    <w:p>
      <w:pPr>
        <w:ind w:right="160"/>
        <w:spacing w:after="0" w:line="172" w:lineRule="exact"/>
        <w:rPr>
          <w:sz w:val="20"/>
          <w:szCs w:val="20"/>
          <w:color w:val="auto"/>
        </w:rPr>
      </w:pPr>
      <w:r>
        <w:rPr>
          <w:rFonts w:ascii="Times New Roman" w:cs="Times New Roman" w:eastAsia="Times New Roman" w:hAnsi="Times New Roman"/>
          <w:sz w:val="16"/>
          <w:szCs w:val="16"/>
          <w:color w:val="auto"/>
        </w:rPr>
        <w:t>treatment, which was completed in April 2019. We currently have not entered into any sub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agreements. Our current and future collaboration arrangements may not be successful, and the success of them will depend heavily on the efforts and activities of our collaborators. Collaborators generally have significant discretion in</w:t>
      </w:r>
    </w:p>
    <w:p>
      <w:pPr>
        <w:spacing w:after="0" w:line="217" w:lineRule="auto"/>
        <w:rPr>
          <w:sz w:val="20"/>
          <w:szCs w:val="20"/>
          <w:color w:val="auto"/>
        </w:rPr>
      </w:pPr>
      <w:r>
        <w:rPr>
          <w:rFonts w:ascii="Times New Roman" w:cs="Times New Roman" w:eastAsia="Times New Roman" w:hAnsi="Times New Roman"/>
          <w:sz w:val="16"/>
          <w:szCs w:val="16"/>
          <w:color w:val="auto"/>
        </w:rPr>
        <w:t>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w:t>
      </w:r>
    </w:p>
    <w:p>
      <w:pPr>
        <w:ind w:right="240"/>
        <w:spacing w:after="0" w:line="231" w:lineRule="auto"/>
        <w:rPr>
          <w:sz w:val="20"/>
          <w:szCs w:val="20"/>
          <w:color w:val="auto"/>
        </w:rPr>
      </w:pPr>
      <w:r>
        <w:rPr>
          <w:rFonts w:ascii="Times New Roman" w:cs="Times New Roman" w:eastAsia="Times New Roman" w:hAnsi="Times New Roman"/>
          <w:sz w:val="16"/>
          <w:szCs w:val="16"/>
          <w:color w:val="auto"/>
        </w:rPr>
        <w:t>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81" w:lineRule="exact"/>
        <w:rPr>
          <w:sz w:val="20"/>
          <w:szCs w:val="20"/>
          <w:color w:val="auto"/>
        </w:rPr>
      </w:pPr>
    </w:p>
    <w:p>
      <w:pPr>
        <w:ind w:right="380" w:firstLine="749"/>
        <w:spacing w:after="0" w:line="254" w:lineRule="auto"/>
        <w:rPr>
          <w:sz w:val="20"/>
          <w:szCs w:val="20"/>
          <w:color w:val="auto"/>
        </w:rPr>
      </w:pPr>
      <w:r>
        <w:rPr>
          <w:rFonts w:ascii="Times New Roman" w:cs="Times New Roman" w:eastAsia="Times New Roman" w:hAnsi="Times New Roman"/>
          <w:sz w:val="16"/>
          <w:szCs w:val="16"/>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85" w:lineRule="exact"/>
        <w:rPr>
          <w:sz w:val="20"/>
          <w:szCs w:val="20"/>
          <w:color w:val="auto"/>
        </w:rPr>
      </w:pPr>
    </w:p>
    <w:p>
      <w:pPr>
        <w:ind w:right="440" w:firstLine="749"/>
        <w:spacing w:after="0" w:line="263" w:lineRule="auto"/>
        <w:rPr>
          <w:sz w:val="20"/>
          <w:szCs w:val="20"/>
          <w:color w:val="auto"/>
        </w:rPr>
      </w:pPr>
      <w:r>
        <w:rPr>
          <w:rFonts w:ascii="Times New Roman" w:cs="Times New Roman" w:eastAsia="Times New Roman" w:hAnsi="Times New Roman"/>
          <w:sz w:val="16"/>
          <w:szCs w:val="16"/>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65"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perform their obligations as expected;</w:t>
      </w:r>
    </w:p>
    <w:p>
      <w:pPr>
        <w:spacing w:after="0" w:line="221" w:lineRule="exact"/>
        <w:rPr>
          <w:rFonts w:ascii="Times New Roman" w:cs="Times New Roman" w:eastAsia="Times New Roman" w:hAnsi="Times New Roman"/>
          <w:sz w:val="16"/>
          <w:szCs w:val="16"/>
          <w:color w:val="auto"/>
        </w:rPr>
      </w:pPr>
    </w:p>
    <w:p>
      <w:pPr>
        <w:jc w:val="both"/>
        <w:ind w:left="760" w:right="180" w:hanging="378"/>
        <w:spacing w:after="0" w:line="263"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8" w:lineRule="exact"/>
        <w:rPr>
          <w:rFonts w:ascii="Times New Roman" w:cs="Times New Roman" w:eastAsia="Times New Roman" w:hAnsi="Times New Roman"/>
          <w:sz w:val="16"/>
          <w:szCs w:val="16"/>
          <w:color w:val="auto"/>
        </w:rPr>
      </w:pPr>
    </w:p>
    <w:p>
      <w:pPr>
        <w:ind w:left="760" w:right="400" w:hanging="378"/>
        <w:spacing w:after="0" w:line="263"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could fail to make timely regulatory submissions for a product candidate;</w:t>
      </w:r>
    </w:p>
    <w:p>
      <w:pPr>
        <w:spacing w:after="0" w:line="221" w:lineRule="exact"/>
        <w:rPr>
          <w:rFonts w:ascii="Times New Roman" w:cs="Times New Roman" w:eastAsia="Times New Roman" w:hAnsi="Times New Roman"/>
          <w:sz w:val="16"/>
          <w:szCs w:val="16"/>
          <w:color w:val="auto"/>
        </w:rPr>
      </w:pPr>
    </w:p>
    <w:p>
      <w:pPr>
        <w:ind w:left="760" w:right="760" w:hanging="378"/>
        <w:spacing w:after="0" w:line="280"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comply with all applicable regulatory requirements or may fail to report safety data in accordance with all applicable regulatory requirements;</w:t>
      </w:r>
    </w:p>
    <w:p>
      <w:pPr>
        <w:spacing w:after="0" w:line="164" w:lineRule="exact"/>
        <w:rPr>
          <w:rFonts w:ascii="Times New Roman" w:cs="Times New Roman" w:eastAsia="Times New Roman" w:hAnsi="Times New Roman"/>
          <w:sz w:val="16"/>
          <w:szCs w:val="16"/>
          <w:color w:val="auto"/>
        </w:rPr>
      </w:pPr>
    </w:p>
    <w:p>
      <w:pPr>
        <w:ind w:left="760" w:right="160" w:hanging="378"/>
        <w:spacing w:after="0" w:line="254"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5" w:lineRule="exact"/>
        <w:rPr>
          <w:rFonts w:ascii="Times New Roman" w:cs="Times New Roman" w:eastAsia="Times New Roman" w:hAnsi="Times New Roman"/>
          <w:sz w:val="16"/>
          <w:szCs w:val="16"/>
          <w:color w:val="auto"/>
        </w:rPr>
      </w:pPr>
    </w:p>
    <w:p>
      <w:pPr>
        <w:ind w:left="760" w:right="100" w:hanging="378"/>
        <w:spacing w:after="0" w:line="280"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4" w:lineRule="exact"/>
        <w:rPr>
          <w:rFonts w:ascii="Times New Roman" w:cs="Times New Roman" w:eastAsia="Times New Roman" w:hAnsi="Times New Roman"/>
          <w:sz w:val="16"/>
          <w:szCs w:val="16"/>
          <w:color w:val="auto"/>
        </w:rPr>
      </w:pPr>
    </w:p>
    <w:p>
      <w:pPr>
        <w:ind w:left="760" w:right="520" w:hanging="378"/>
        <w:spacing w:after="0" w:line="263"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77" w:lineRule="exact"/>
        <w:rPr>
          <w:rFonts w:ascii="Times New Roman" w:cs="Times New Roman" w:eastAsia="Times New Roman" w:hAnsi="Times New Roman"/>
          <w:sz w:val="16"/>
          <w:szCs w:val="16"/>
          <w:color w:val="auto"/>
        </w:rPr>
      </w:pPr>
    </w:p>
    <w:p>
      <w:pPr>
        <w:ind w:left="760" w:right="120" w:hanging="378"/>
        <w:spacing w:after="0" w:line="263"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left="760" w:right="40" w:hanging="378"/>
        <w:spacing w:after="0" w:line="280"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5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infringe the intellectual property rights of third parties, which may expose us to litigation and potential liability.</w:t>
      </w:r>
    </w:p>
    <w:p>
      <w:pPr>
        <w:spacing w:after="0" w:line="2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6"/>
          <w:szCs w:val="16"/>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67" w:lineRule="exact"/>
        <w:rPr>
          <w:sz w:val="20"/>
          <w:szCs w:val="20"/>
          <w:color w:val="auto"/>
        </w:rPr>
      </w:pPr>
    </w:p>
    <w:p>
      <w:pPr>
        <w:ind w:right="340" w:firstLine="749"/>
        <w:spacing w:after="0" w:line="263" w:lineRule="auto"/>
        <w:rPr>
          <w:sz w:val="20"/>
          <w:szCs w:val="20"/>
          <w:color w:val="auto"/>
        </w:rPr>
      </w:pPr>
      <w:r>
        <w:rPr>
          <w:rFonts w:ascii="Times New Roman" w:cs="Times New Roman" w:eastAsia="Times New Roman" w:hAnsi="Times New Roman"/>
          <w:sz w:val="16"/>
          <w:szCs w:val="16"/>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78" w:lineRule="exact"/>
        <w:rPr>
          <w:sz w:val="20"/>
          <w:szCs w:val="20"/>
          <w:color w:val="auto"/>
        </w:rPr>
      </w:pPr>
    </w:p>
    <w:p>
      <w:pPr>
        <w:ind w:right="20" w:firstLine="749"/>
        <w:spacing w:after="0" w:line="218" w:lineRule="auto"/>
        <w:rPr>
          <w:sz w:val="20"/>
          <w:szCs w:val="20"/>
          <w:color w:val="auto"/>
        </w:rPr>
      </w:pPr>
      <w:r>
        <w:rPr>
          <w:rFonts w:ascii="Times New Roman" w:cs="Times New Roman" w:eastAsia="Times New Roman" w:hAnsi="Times New Roman"/>
          <w:sz w:val="16"/>
          <w:szCs w:val="16"/>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6"/>
          <w:szCs w:val="16"/>
          <w:color w:val="auto"/>
        </w:rPr>
        <w:t>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6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We are dependent on third parties to decide to utilize our products effectively, including by making them readily available at the point of care throughout their networks of pharmacies.</w:t>
      </w:r>
    </w:p>
    <w:p>
      <w:pPr>
        <w:spacing w:after="0" w:line="161" w:lineRule="exact"/>
        <w:rPr>
          <w:sz w:val="20"/>
          <w:szCs w:val="20"/>
          <w:color w:val="auto"/>
        </w:rPr>
      </w:pPr>
    </w:p>
    <w:p>
      <w:pPr>
        <w:ind w:right="60" w:firstLine="749"/>
        <w:spacing w:after="0" w:line="231" w:lineRule="auto"/>
        <w:rPr>
          <w:sz w:val="20"/>
          <w:szCs w:val="20"/>
          <w:color w:val="auto"/>
        </w:rPr>
      </w:pPr>
      <w:r>
        <w:rPr>
          <w:rFonts w:ascii="Times New Roman" w:cs="Times New Roman" w:eastAsia="Times New Roman" w:hAnsi="Times New Roman"/>
          <w:sz w:val="16"/>
          <w:szCs w:val="16"/>
          <w:color w:val="auto"/>
        </w:rPr>
        <w:t>In addition to extensive internal efforts, the successful commercialization of our products will require many third parties, over whom we have no control, to decide to utilize our products, and to make them readily available at the point of care throughout their networks of pharmacies. These third parties include HMOs, long term</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6"/>
          <w:szCs w:val="16"/>
          <w:color w:val="auto"/>
        </w:rPr>
        <w:t>care facilities, and pharmacy benefit managers, or PBMs, which use pharmacy and therapeutics committees, commonly referred to as P&amp;T committees, to make purchasing and reimbursement decisions. Generally, before an HMO or long-term care facility will acquire any of our products for its own pharmacies, or a PBM will pay retail network pharmacies on behalf of its health plans, any such products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products for use in their institutions or reimbursing</w:t>
      </w:r>
    </w:p>
    <w:p>
      <w:pPr>
        <w:spacing w:after="0" w:line="3"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6"/>
          <w:szCs w:val="16"/>
          <w:color w:val="auto"/>
        </w:rPr>
        <w:t>retail pharmacies outweighs clinical benefits and will resist efforts to add any such products to the formulary or implement restrictions on the usage of the drug in order to control costs. Third-party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192"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Market exclusivity awarded by the FDA upon the approval of an NDA is limited in scope and duration. Our commercial success will depend in part on obtaining,</w:t>
      </w:r>
    </w:p>
    <w:p>
      <w:pPr>
        <w:spacing w:after="0" w:line="4" w:lineRule="exact"/>
        <w:rPr>
          <w:sz w:val="20"/>
          <w:szCs w:val="20"/>
          <w:color w:val="auto"/>
        </w:rPr>
      </w:pPr>
    </w:p>
    <w:p>
      <w:pPr>
        <w:ind w:right="200"/>
        <w:spacing w:after="0" w:line="175" w:lineRule="exact"/>
        <w:rPr>
          <w:sz w:val="20"/>
          <w:szCs w:val="20"/>
          <w:color w:val="auto"/>
        </w:rPr>
      </w:pPr>
      <w:r>
        <w:rPr>
          <w:rFonts w:ascii="Times New Roman" w:cs="Times New Roman" w:eastAsia="Times New Roman" w:hAnsi="Times New Roman"/>
          <w:sz w:val="16"/>
          <w:szCs w:val="16"/>
          <w:color w:val="auto"/>
        </w:rPr>
        <w:t>maintaining, enforcing, and defending against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challenges, patent and trade secret protection for our current and future product candidates that we may develop, license, or acquire, as well as the related manufacturing methods. We will be able to protect our technologies from unauthorized use by third parties to the extent that the technologies are covered by valid and enforceable patents or trade secrets.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40" w:firstLine="749"/>
        <w:spacing w:after="0" w:line="218" w:lineRule="auto"/>
        <w:rPr>
          <w:sz w:val="20"/>
          <w:szCs w:val="20"/>
          <w:color w:val="auto"/>
        </w:rPr>
      </w:pPr>
      <w:r>
        <w:rPr>
          <w:rFonts w:ascii="Times New Roman" w:cs="Times New Roman" w:eastAsia="Times New Roman" w:hAnsi="Times New Roman"/>
          <w:sz w:val="16"/>
          <w:szCs w:val="16"/>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w:t>
      </w:r>
    </w:p>
    <w:p>
      <w:pPr>
        <w:spacing w:after="0" w:line="1" w:lineRule="exact"/>
        <w:rPr>
          <w:sz w:val="20"/>
          <w:szCs w:val="20"/>
          <w:color w:val="auto"/>
        </w:rPr>
      </w:pPr>
    </w:p>
    <w:p>
      <w:pPr>
        <w:spacing w:after="0" w:line="166" w:lineRule="exact"/>
        <w:rPr>
          <w:sz w:val="20"/>
          <w:szCs w:val="20"/>
          <w:color w:val="auto"/>
        </w:rPr>
      </w:pPr>
      <w:r>
        <w:rPr>
          <w:rFonts w:ascii="Times New Roman" w:cs="Times New Roman" w:eastAsia="Times New Roman" w:hAnsi="Times New Roman"/>
          <w:sz w:val="16"/>
          <w:szCs w:val="16"/>
          <w:color w:val="auto"/>
        </w:rPr>
        <w:t>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73"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have been the first to conceive of and reduce to practice the inventions covered by each of our pending patent applications and issued patents;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have been the first to file patent applications for these inventions;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technologies or duplicate any of our product candidates or technologies;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none of the pending patent applications will result in issued patents;</w:t>
      </w:r>
    </w:p>
    <w:p>
      <w:pPr>
        <w:spacing w:after="0" w:line="221" w:lineRule="exact"/>
        <w:rPr>
          <w:rFonts w:ascii="Times New Roman" w:cs="Times New Roman" w:eastAsia="Times New Roman" w:hAnsi="Times New Roman"/>
          <w:sz w:val="16"/>
          <w:szCs w:val="16"/>
          <w:color w:val="auto"/>
        </w:rPr>
      </w:pPr>
    </w:p>
    <w:p>
      <w:pPr>
        <w:ind w:left="760" w:right="120" w:hanging="378"/>
        <w:spacing w:after="0" w:line="263" w:lineRule="auto"/>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issued patents may not cover commercially viable active products, may not provide us with any competitive advantages, or may be successfully challenged by third parties;</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develop additional proprietary technologies that are patentable;</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patents of others may have an adverse effect on our business;</w:t>
      </w:r>
    </w:p>
    <w:p>
      <w:pPr>
        <w:spacing w:after="0" w:line="221" w:lineRule="exact"/>
        <w:rPr>
          <w:rFonts w:ascii="Times New Roman" w:cs="Times New Roman" w:eastAsia="Times New Roman" w:hAnsi="Times New Roman"/>
          <w:sz w:val="16"/>
          <w:szCs w:val="16"/>
          <w:color w:val="auto"/>
        </w:rPr>
      </w:pPr>
    </w:p>
    <w:p>
      <w:pPr>
        <w:ind w:left="760" w:right="140" w:hanging="378"/>
        <w:spacing w:after="0" w:line="280" w:lineRule="auto"/>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51" w:lineRule="exact"/>
        <w:rPr>
          <w:rFonts w:ascii="Times New Roman" w:cs="Times New Roman" w:eastAsia="Times New Roman" w:hAnsi="Times New Roman"/>
          <w:sz w:val="16"/>
          <w:szCs w:val="16"/>
          <w:color w:val="auto"/>
        </w:rPr>
      </w:pPr>
    </w:p>
    <w:p>
      <w:pPr>
        <w:ind w:left="760" w:right="180" w:hanging="378"/>
        <w:spacing w:after="0" w:line="263" w:lineRule="auto"/>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78" w:lineRule="exact"/>
        <w:rPr>
          <w:rFonts w:ascii="Times New Roman" w:cs="Times New Roman" w:eastAsia="Times New Roman" w:hAnsi="Times New Roman"/>
          <w:sz w:val="16"/>
          <w:szCs w:val="16"/>
          <w:color w:val="auto"/>
        </w:rPr>
      </w:pPr>
    </w:p>
    <w:p>
      <w:pPr>
        <w:ind w:left="760" w:right="40" w:hanging="378"/>
        <w:spacing w:after="0" w:line="280" w:lineRule="auto"/>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firstLine="749"/>
        <w:spacing w:after="0" w:line="188" w:lineRule="exact"/>
        <w:rPr>
          <w:sz w:val="20"/>
          <w:szCs w:val="20"/>
          <w:color w:val="auto"/>
        </w:rPr>
      </w:pPr>
      <w:r>
        <w:rPr>
          <w:rFonts w:ascii="Times New Roman" w:cs="Times New Roman" w:eastAsia="Times New Roman" w:hAnsi="Times New Roman"/>
          <w:sz w:val="16"/>
          <w:szCs w:val="16"/>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9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46" w:lineRule="exact"/>
        <w:rPr>
          <w:sz w:val="20"/>
          <w:szCs w:val="20"/>
          <w:color w:val="auto"/>
        </w:rPr>
      </w:pPr>
    </w:p>
    <w:p>
      <w:pPr>
        <w:ind w:right="100" w:firstLine="749"/>
        <w:spacing w:after="0" w:line="249" w:lineRule="auto"/>
        <w:rPr>
          <w:sz w:val="20"/>
          <w:szCs w:val="20"/>
          <w:color w:val="auto"/>
        </w:rPr>
      </w:pPr>
      <w:r>
        <w:rPr>
          <w:rFonts w:ascii="Times New Roman" w:cs="Times New Roman" w:eastAsia="Times New Roman" w:hAnsi="Times New Roman"/>
          <w:sz w:val="16"/>
          <w:szCs w:val="16"/>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89"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16"/>
          <w:szCs w:val="16"/>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may allow third parties to commercialize our technology or products and compete directly with us, without payment to us, or may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92" w:lineRule="exact"/>
        <w:rPr>
          <w:sz w:val="20"/>
          <w:szCs w:val="20"/>
          <w:color w:val="auto"/>
        </w:rPr>
      </w:pPr>
    </w:p>
    <w:p>
      <w:pPr>
        <w:jc w:val="both"/>
        <w:ind w:right="20" w:firstLine="749"/>
        <w:spacing w:after="0" w:line="252" w:lineRule="auto"/>
        <w:rPr>
          <w:sz w:val="20"/>
          <w:szCs w:val="20"/>
          <w:color w:val="auto"/>
        </w:rPr>
      </w:pPr>
      <w:r>
        <w:rPr>
          <w:rFonts w:ascii="Times New Roman" w:cs="Times New Roman" w:eastAsia="Times New Roman" w:hAnsi="Times New Roman"/>
          <w:sz w:val="16"/>
          <w:szCs w:val="16"/>
          <w:color w:val="auto"/>
        </w:rPr>
        <w:t>In addition, the patentability of claims in pending patent applications covering any of our current or future product candidates can be challenged by third parties during prosecution before the USPTO, for example by third-party observations and derivation proceedings, and the validity of claims in issued patents can be challenged by third parties in various post-grant proceedings such as post-grant review, reexamination, and inter-partes review proceedings. We may incur increased expenses related to the growth of our intellectual property portfolio and to its defense.</w:t>
      </w:r>
    </w:p>
    <w:p>
      <w:pPr>
        <w:spacing w:after="0" w:line="186"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6"/>
          <w:szCs w:val="16"/>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6"/>
          <w:szCs w:val="16"/>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46" w:lineRule="exact"/>
        <w:rPr>
          <w:sz w:val="20"/>
          <w:szCs w:val="20"/>
          <w:color w:val="auto"/>
        </w:rPr>
      </w:pPr>
    </w:p>
    <w:p>
      <w:pPr>
        <w:ind w:right="100" w:firstLine="749"/>
        <w:spacing w:after="0" w:line="190" w:lineRule="exact"/>
        <w:rPr>
          <w:sz w:val="20"/>
          <w:szCs w:val="20"/>
          <w:color w:val="auto"/>
        </w:rPr>
      </w:pPr>
      <w:r>
        <w:rPr>
          <w:rFonts w:ascii="Times New Roman" w:cs="Times New Roman" w:eastAsia="Times New Roman" w:hAnsi="Times New Roman"/>
          <w:sz w:val="16"/>
          <w:szCs w:val="16"/>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 patent agencies for the patents and patent applications we own and those that we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9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74"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6"/>
          <w:szCs w:val="16"/>
          <w:color w:val="auto"/>
        </w:rPr>
        <w:t>Our ability to develop, manufacture, market, and sell any of our current and future products depends upon our ability to avoid infringing the proprietary rights of third parties, and our commercial success depends upon our ability, and the ability of our collaborators, to develop, manufacture, market, and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If a third-party claims that we infringe their intellectual property rights, we could face a number of issues, including:</w:t>
      </w:r>
    </w:p>
    <w:p>
      <w:pPr>
        <w:spacing w:after="0" w:line="221" w:lineRule="exact"/>
        <w:rPr>
          <w:sz w:val="20"/>
          <w:szCs w:val="20"/>
          <w:color w:val="auto"/>
        </w:rPr>
      </w:pPr>
    </w:p>
    <w:p>
      <w:pPr>
        <w:ind w:left="760" w:right="780" w:hanging="378"/>
        <w:spacing w:after="0" w:line="280" w:lineRule="auto"/>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infringement and other intellectual property claims which, whether meritorious or not, can be expensive and time consuming to litigate and can divert management’s attention from our core business;</w:t>
      </w:r>
    </w:p>
    <w:p>
      <w:pPr>
        <w:spacing w:after="0" w:line="15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damages for past infringement which we may have to pay if a court decides that our product infringes on a competitor’s patent;</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prohibiting us from selling or licensing our product unless the patent holder licenses the patent to us, which it would not be required to do;</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license is available from a patent holder, we may have to pay substantial royalties or grant cross licenses to our patents;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redesigning our products and processes so they do not infringe, which may not be possible or could require substantial funds and time.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20" w:firstLine="749"/>
        <w:spacing w:after="0" w:line="191" w:lineRule="exact"/>
        <w:rPr>
          <w:sz w:val="20"/>
          <w:szCs w:val="20"/>
          <w:color w:val="auto"/>
        </w:rPr>
      </w:pPr>
      <w:r>
        <w:rPr>
          <w:rFonts w:ascii="Times New Roman" w:cs="Times New Roman" w:eastAsia="Times New Roman" w:hAnsi="Times New Roman"/>
          <w:sz w:val="16"/>
          <w:szCs w:val="16"/>
          <w:color w:val="auto"/>
        </w:rPr>
        <w:t>If we are found to infringe a third-party’s intellectual property rights, we could be required to obtain a license from such third-party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involved in lawsuits to protect or enforce our patents or the patents of our licensors, which could be expensive, time consuming, and unsuccessful.</w:t>
      </w:r>
    </w:p>
    <w:p>
      <w:pPr>
        <w:spacing w:after="0" w:line="225" w:lineRule="exact"/>
        <w:rPr>
          <w:sz w:val="20"/>
          <w:szCs w:val="20"/>
          <w:color w:val="auto"/>
        </w:rPr>
      </w:pPr>
    </w:p>
    <w:p>
      <w:pPr>
        <w:ind w:right="40" w:firstLine="749"/>
        <w:spacing w:after="0" w:line="248" w:lineRule="auto"/>
        <w:rPr>
          <w:sz w:val="20"/>
          <w:szCs w:val="20"/>
          <w:color w:val="auto"/>
        </w:rPr>
      </w:pPr>
      <w:r>
        <w:rPr>
          <w:rFonts w:ascii="Times New Roman" w:cs="Times New Roman" w:eastAsia="Times New Roman" w:hAnsi="Times New Roman"/>
          <w:sz w:val="16"/>
          <w:szCs w:val="16"/>
          <w:color w:val="auto"/>
        </w:rPr>
        <w:t>Competitors may infringe our issued patents, our in-licensed patents, or other intellectual property that we own or in-license. Under the terms of our license agreements with Antecip, if we believe a third-party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4" w:lineRule="exact"/>
        <w:rPr>
          <w:sz w:val="20"/>
          <w:szCs w:val="20"/>
          <w:color w:val="auto"/>
        </w:rPr>
      </w:pPr>
    </w:p>
    <w:p>
      <w:pPr>
        <w:jc w:val="both"/>
        <w:ind w:right="160" w:firstLine="749"/>
        <w:spacing w:after="0" w:line="252" w:lineRule="auto"/>
        <w:rPr>
          <w:sz w:val="20"/>
          <w:szCs w:val="20"/>
          <w:color w:val="auto"/>
        </w:rPr>
      </w:pPr>
      <w:r>
        <w:rPr>
          <w:rFonts w:ascii="Times New Roman" w:cs="Times New Roman" w:eastAsia="Times New Roman" w:hAnsi="Times New Roman"/>
          <w:sz w:val="16"/>
          <w:szCs w:val="16"/>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products to market.</w:t>
      </w:r>
    </w:p>
    <w:p>
      <w:pPr>
        <w:spacing w:after="0" w:line="18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46"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16"/>
          <w:szCs w:val="16"/>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60" w:firstLine="749"/>
        <w:spacing w:after="0" w:line="231" w:lineRule="auto"/>
        <w:rPr>
          <w:sz w:val="20"/>
          <w:szCs w:val="20"/>
          <w:color w:val="auto"/>
        </w:rPr>
      </w:pPr>
      <w:r>
        <w:rPr>
          <w:rFonts w:ascii="Times New Roman" w:cs="Times New Roman" w:eastAsia="Times New Roman" w:hAnsi="Times New Roman"/>
          <w:sz w:val="16"/>
          <w:szCs w:val="16"/>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w:t>
      </w:r>
    </w:p>
    <w:p>
      <w:pPr>
        <w:spacing w:after="0" w:line="1"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16"/>
          <w:szCs w:val="16"/>
          <w:color w:val="auto"/>
        </w:rPr>
        <w:t>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w:t>
      </w:r>
    </w:p>
    <w:p>
      <w:pPr>
        <w:ind w:right="180"/>
        <w:spacing w:after="0" w:line="220" w:lineRule="auto"/>
        <w:rPr>
          <w:sz w:val="20"/>
          <w:szCs w:val="20"/>
          <w:color w:val="auto"/>
        </w:rPr>
      </w:pPr>
      <w:r>
        <w:rPr>
          <w:rFonts w:ascii="Times New Roman" w:cs="Times New Roman" w:eastAsia="Times New Roman" w:hAnsi="Times New Roman"/>
          <w:sz w:val="16"/>
          <w:szCs w:val="16"/>
          <w:color w:val="auto"/>
        </w:rPr>
        <w:t>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w:t>
      </w:r>
    </w:p>
    <w:p>
      <w:pPr>
        <w:jc w:val="both"/>
        <w:ind w:right="60"/>
        <w:spacing w:after="0" w:line="217" w:lineRule="auto"/>
        <w:rPr>
          <w:sz w:val="20"/>
          <w:szCs w:val="20"/>
          <w:color w:val="auto"/>
        </w:rPr>
      </w:pPr>
      <w:r>
        <w:rPr>
          <w:rFonts w:ascii="Times New Roman" w:cs="Times New Roman" w:eastAsia="Times New Roman" w:hAnsi="Times New Roman"/>
          <w:sz w:val="16"/>
          <w:szCs w:val="16"/>
          <w:color w:val="auto"/>
        </w:rPr>
        <w:t>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w:t>
      </w:r>
    </w:p>
    <w:p>
      <w:pPr>
        <w:ind w:right="140"/>
        <w:spacing w:after="0" w:line="220" w:lineRule="auto"/>
        <w:rPr>
          <w:sz w:val="20"/>
          <w:szCs w:val="20"/>
          <w:color w:val="auto"/>
        </w:rPr>
      </w:pPr>
      <w:r>
        <w:rPr>
          <w:rFonts w:ascii="Times New Roman" w:cs="Times New Roman" w:eastAsia="Times New Roman" w:hAnsi="Times New Roman"/>
          <w:sz w:val="16"/>
          <w:szCs w:val="16"/>
          <w:color w:val="auto"/>
        </w:rPr>
        <w:t>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w:t>
      </w:r>
    </w:p>
    <w:p>
      <w:pPr>
        <w:ind w:right="20"/>
        <w:spacing w:after="0" w:line="217" w:lineRule="auto"/>
        <w:rPr>
          <w:sz w:val="20"/>
          <w:szCs w:val="20"/>
          <w:color w:val="auto"/>
        </w:rPr>
      </w:pPr>
      <w:r>
        <w:rPr>
          <w:rFonts w:ascii="Times New Roman" w:cs="Times New Roman" w:eastAsia="Times New Roman" w:hAnsi="Times New Roman"/>
          <w:sz w:val="16"/>
          <w:szCs w:val="16"/>
          <w:color w:val="auto"/>
        </w:rPr>
        <w:t>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w:t>
      </w:r>
    </w:p>
    <w:p>
      <w:pPr>
        <w:ind w:right="600"/>
        <w:spacing w:after="0" w:line="231" w:lineRule="auto"/>
        <w:rPr>
          <w:sz w:val="20"/>
          <w:szCs w:val="20"/>
          <w:color w:val="auto"/>
        </w:rPr>
      </w:pPr>
      <w:r>
        <w:rPr>
          <w:rFonts w:ascii="Times New Roman" w:cs="Times New Roman" w:eastAsia="Times New Roman" w:hAnsi="Times New Roman"/>
          <w:sz w:val="16"/>
          <w:szCs w:val="16"/>
          <w:color w:val="auto"/>
        </w:rPr>
        <w:t>at any time after the first anniversary of the agreement. If the license agreement with Pfizer is terminated for any reason, our business, financial condition, results of operations, and prospects will be materially harmed.</w:t>
      </w:r>
    </w:p>
    <w:p>
      <w:pPr>
        <w:spacing w:after="0" w:line="181" w:lineRule="exact"/>
        <w:rPr>
          <w:sz w:val="20"/>
          <w:szCs w:val="20"/>
          <w:color w:val="auto"/>
        </w:rPr>
      </w:pPr>
    </w:p>
    <w:p>
      <w:pPr>
        <w:ind w:firstLine="749"/>
        <w:spacing w:after="0" w:line="231" w:lineRule="auto"/>
        <w:rPr>
          <w:sz w:val="20"/>
          <w:szCs w:val="20"/>
          <w:color w:val="auto"/>
        </w:rPr>
      </w:pPr>
      <w:r>
        <w:rPr>
          <w:rFonts w:ascii="Times New Roman" w:cs="Times New Roman" w:eastAsia="Times New Roman" w:hAnsi="Times New Roman"/>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w:t>
      </w:r>
    </w:p>
    <w:p>
      <w:pPr>
        <w:spacing w:after="0" w:line="1"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6"/>
          <w:szCs w:val="16"/>
          <w:color w:val="auto"/>
        </w:rPr>
        <w:t>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w:t>
      </w:r>
    </w:p>
    <w:p>
      <w:pPr>
        <w:ind w:right="120"/>
        <w:spacing w:after="0" w:line="220" w:lineRule="auto"/>
        <w:rPr>
          <w:sz w:val="20"/>
          <w:szCs w:val="20"/>
          <w:color w:val="auto"/>
        </w:rPr>
      </w:pPr>
      <w:r>
        <w:rPr>
          <w:rFonts w:ascii="Times New Roman" w:cs="Times New Roman" w:eastAsia="Times New Roman" w:hAnsi="Times New Roman"/>
          <w:sz w:val="16"/>
          <w:szCs w:val="16"/>
          <w:color w:val="auto"/>
        </w:rPr>
        <w:t>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w:t>
      </w:r>
    </w:p>
    <w:p>
      <w:pPr>
        <w:ind w:right="40"/>
        <w:spacing w:after="0" w:line="167" w:lineRule="exact"/>
        <w:rPr>
          <w:sz w:val="20"/>
          <w:szCs w:val="20"/>
          <w:color w:val="auto"/>
        </w:rPr>
      </w:pPr>
      <w:r>
        <w:rPr>
          <w:rFonts w:ascii="Times New Roman" w:cs="Times New Roman" w:eastAsia="Times New Roman" w:hAnsi="Times New Roman"/>
          <w:sz w:val="16"/>
          <w:szCs w:val="16"/>
          <w:color w:val="auto"/>
        </w:rPr>
        <w:t>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exclusive license.</w:t>
      </w:r>
    </w:p>
    <w:p>
      <w:pPr>
        <w:ind w:right="220"/>
        <w:spacing w:after="0" w:line="220" w:lineRule="auto"/>
        <w:rPr>
          <w:sz w:val="20"/>
          <w:szCs w:val="20"/>
          <w:color w:val="auto"/>
        </w:rPr>
      </w:pPr>
      <w:r>
        <w:rPr>
          <w:rFonts w:ascii="Times New Roman" w:cs="Times New Roman" w:eastAsia="Times New Roman" w:hAnsi="Times New Roman"/>
          <w:sz w:val="16"/>
          <w:szCs w:val="16"/>
          <w:color w:val="auto"/>
        </w:rPr>
        <w:t>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 We are dependent</w:t>
      </w:r>
    </w:p>
    <w:p>
      <w:pPr>
        <w:ind w:right="460"/>
        <w:spacing w:after="0" w:line="231" w:lineRule="auto"/>
        <w:rPr>
          <w:sz w:val="20"/>
          <w:szCs w:val="20"/>
          <w:color w:val="auto"/>
        </w:rPr>
      </w:pPr>
      <w:r>
        <w:rPr>
          <w:rFonts w:ascii="Times New Roman" w:cs="Times New Roman" w:eastAsia="Times New Roman" w:hAnsi="Times New Roman"/>
          <w:sz w:val="16"/>
          <w:szCs w:val="16"/>
          <w:color w:val="auto"/>
        </w:rPr>
        <w:t>upon the license agreements with Antecip and if any of the license agreements with Antecip are terminated for any reason, our business, financial condition, results of operations, and prospects will be materially harmed.</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In connection with the acquisition of Sunosi, in addition to the upfront purchase price, we assumed certain liabilities in connection with the acquisition and</w:t>
      </w:r>
    </w:p>
    <w:p>
      <w:pPr>
        <w:spacing w:after="0" w:line="10"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6"/>
          <w:szCs w:val="16"/>
          <w:color w:val="auto"/>
        </w:rPr>
        <w:t>agreed to make non-refundable, non-creditable royalty payments to Jazz Pharmaceuticals on U.S. net sales. There are no royalty payments due to Jazz Pharmaceuticals for net sales outside of the U.S. In addition, we assumed all of the commitments of Jazz Pharmaceuticals to SK Biopharmaceuticals Co., Ltd. (SK) and Aerial Biopharma, LLC</w:t>
      </w:r>
    </w:p>
    <w:p>
      <w:pPr>
        <w:ind w:right="540"/>
        <w:spacing w:after="0" w:line="231" w:lineRule="auto"/>
        <w:rPr>
          <w:sz w:val="20"/>
          <w:szCs w:val="20"/>
          <w:color w:val="auto"/>
        </w:rPr>
      </w:pPr>
      <w:r>
        <w:rPr>
          <w:rFonts w:ascii="Times New Roman" w:cs="Times New Roman" w:eastAsia="Times New Roman" w:hAnsi="Times New Roman"/>
          <w:sz w:val="16"/>
          <w:szCs w:val="16"/>
          <w:color w:val="auto"/>
        </w:rPr>
        <w:t>(Aerial).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pacing w:after="0" w:line="16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60" w:lineRule="exact"/>
        <w:rPr>
          <w:sz w:val="20"/>
          <w:szCs w:val="20"/>
          <w:color w:val="auto"/>
        </w:rPr>
      </w:pPr>
    </w:p>
    <w:p>
      <w:pPr>
        <w:ind w:right="120" w:firstLine="749"/>
        <w:spacing w:after="0" w:line="231" w:lineRule="auto"/>
        <w:rPr>
          <w:sz w:val="20"/>
          <w:szCs w:val="20"/>
          <w:color w:val="auto"/>
        </w:rPr>
      </w:pPr>
      <w:r>
        <w:rPr>
          <w:rFonts w:ascii="Times New Roman" w:cs="Times New Roman" w:eastAsia="Times New Roman" w:hAnsi="Times New Roman"/>
          <w:sz w:val="16"/>
          <w:szCs w:val="16"/>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w:t>
      </w:r>
    </w:p>
    <w:p>
      <w:pPr>
        <w:spacing w:after="0" w:line="1"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6"/>
          <w:szCs w:val="16"/>
          <w:color w:val="auto"/>
        </w:rPr>
        <w:t>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adequately prevent disclosure of trade secrets and other proprietary information.</w:t>
      </w:r>
    </w:p>
    <w:p>
      <w:pPr>
        <w:spacing w:after="0" w:line="172" w:lineRule="exact"/>
        <w:rPr>
          <w:sz w:val="20"/>
          <w:szCs w:val="20"/>
          <w:color w:val="auto"/>
        </w:rPr>
      </w:pPr>
    </w:p>
    <w:p>
      <w:pPr>
        <w:ind w:left="760"/>
        <w:spacing w:after="0" w:line="184" w:lineRule="exact"/>
        <w:rPr>
          <w:sz w:val="20"/>
          <w:szCs w:val="20"/>
          <w:color w:val="auto"/>
        </w:rPr>
      </w:pPr>
      <w:r>
        <w:rPr>
          <w:rFonts w:ascii="Times New Roman" w:cs="Times New Roman" w:eastAsia="Times New Roman" w:hAnsi="Times New Roman"/>
          <w:sz w:val="16"/>
          <w:szCs w:val="16"/>
          <w:color w:val="auto"/>
        </w:rPr>
        <w:t>We rely on trade secrets to protect our proprietary technological advances and know</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how, especially where we do not believe patent protection is appropriate or</w:t>
      </w:r>
    </w:p>
    <w:p>
      <w:pPr>
        <w:spacing w:after="0" w:line="36"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16"/>
          <w:szCs w:val="16"/>
          <w:color w:val="auto"/>
        </w:rPr>
        <w:t>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w:t>
      </w:r>
    </w:p>
    <w:p>
      <w:pPr>
        <w:spacing w:after="0" w:line="169" w:lineRule="exact"/>
        <w:rPr>
          <w:sz w:val="20"/>
          <w:szCs w:val="20"/>
          <w:color w:val="auto"/>
        </w:rPr>
      </w:pPr>
      <w:r>
        <w:rPr>
          <w:rFonts w:ascii="Times New Roman" w:cs="Times New Roman" w:eastAsia="Times New Roman" w:hAnsi="Times New Roman"/>
          <w:sz w:val="16"/>
          <w:szCs w:val="16"/>
          <w:color w:val="auto"/>
        </w:rPr>
        <w:t>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consuming litigation could be necessary to enforce and determine the scope of our proprietary rights. In</w:t>
      </w:r>
    </w:p>
    <w:p>
      <w:pPr>
        <w:ind w:right="40"/>
        <w:spacing w:after="0" w:line="217" w:lineRule="auto"/>
        <w:rPr>
          <w:sz w:val="20"/>
          <w:szCs w:val="20"/>
          <w:color w:val="auto"/>
        </w:rPr>
      </w:pPr>
      <w:r>
        <w:rPr>
          <w:rFonts w:ascii="Times New Roman" w:cs="Times New Roman" w:eastAsia="Times New Roman" w:hAnsi="Times New Roman"/>
          <w:sz w:val="16"/>
          <w:szCs w:val="16"/>
          <w:color w:val="auto"/>
        </w:rPr>
        <w:t>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w:t>
      </w:r>
    </w:p>
    <w:p>
      <w:pPr>
        <w:ind w:right="200"/>
        <w:spacing w:after="0" w:line="231" w:lineRule="auto"/>
        <w:rPr>
          <w:sz w:val="20"/>
          <w:szCs w:val="20"/>
          <w:color w:val="auto"/>
        </w:rPr>
      </w:pPr>
      <w:r>
        <w:rPr>
          <w:rFonts w:ascii="Times New Roman" w:cs="Times New Roman" w:eastAsia="Times New Roman" w:hAnsi="Times New Roman"/>
          <w:sz w:val="16"/>
          <w:szCs w:val="16"/>
          <w:color w:val="auto"/>
        </w:rPr>
        <w:t>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or our licensors may not be able to protect our intellectual property rights throughout the world.</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Filing, prosecuting, and defending patent applications and patents on products in all countries throughout the world would be prohibitively expensive, and our</w:t>
      </w:r>
    </w:p>
    <w:p>
      <w:pPr>
        <w:spacing w:after="0" w:line="10"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6"/>
          <w:szCs w:val="16"/>
          <w:color w:val="auto"/>
        </w:rPr>
        <w:t>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w:t>
      </w:r>
    </w:p>
    <w:p>
      <w:pPr>
        <w:ind w:right="260"/>
        <w:spacing w:after="0" w:line="220" w:lineRule="auto"/>
        <w:rPr>
          <w:sz w:val="20"/>
          <w:szCs w:val="20"/>
          <w:color w:val="auto"/>
        </w:rPr>
      </w:pPr>
      <w:r>
        <w:rPr>
          <w:rFonts w:ascii="Times New Roman" w:cs="Times New Roman" w:eastAsia="Times New Roman" w:hAnsi="Times New Roman"/>
          <w:sz w:val="16"/>
          <w:szCs w:val="16"/>
          <w:color w:val="auto"/>
        </w:rPr>
        <w:t>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w:t>
      </w:r>
    </w:p>
    <w:p>
      <w:pPr>
        <w:ind w:right="280"/>
        <w:spacing w:after="0" w:line="231" w:lineRule="auto"/>
        <w:rPr>
          <w:sz w:val="20"/>
          <w:szCs w:val="20"/>
          <w:color w:val="auto"/>
        </w:rPr>
      </w:pPr>
      <w:r>
        <w:rPr>
          <w:rFonts w:ascii="Times New Roman" w:cs="Times New Roman" w:eastAsia="Times New Roman" w:hAnsi="Times New Roman"/>
          <w:sz w:val="16"/>
          <w:szCs w:val="16"/>
          <w:color w:val="auto"/>
        </w:rPr>
        <w:t>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Many companies have encountered significant problems in protecting and defending intellectual property rights in foreign jurisdictions. The legal systems of</w:t>
      </w:r>
    </w:p>
    <w:p>
      <w:pPr>
        <w:spacing w:after="0" w:line="10"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6"/>
          <w:szCs w:val="16"/>
          <w:color w:val="auto"/>
        </w:rPr>
        <w:t>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w:t>
      </w:r>
    </w:p>
    <w:p>
      <w:pPr>
        <w:ind w:right="140"/>
        <w:spacing w:after="0" w:line="217" w:lineRule="auto"/>
        <w:rPr>
          <w:sz w:val="20"/>
          <w:szCs w:val="20"/>
          <w:color w:val="auto"/>
        </w:rPr>
      </w:pPr>
      <w:r>
        <w:rPr>
          <w:rFonts w:ascii="Times New Roman" w:cs="Times New Roman" w:eastAsia="Times New Roman" w:hAnsi="Times New Roman"/>
          <w:sz w:val="16"/>
          <w:szCs w:val="16"/>
          <w:color w:val="auto"/>
        </w:rPr>
        <w:t>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w:t>
      </w:r>
    </w:p>
    <w:p>
      <w:pPr>
        <w:spacing w:after="0"/>
        <w:rPr>
          <w:sz w:val="20"/>
          <w:szCs w:val="20"/>
          <w:color w:val="auto"/>
        </w:rPr>
      </w:pPr>
      <w:r>
        <w:rPr>
          <w:rFonts w:ascii="Times New Roman" w:cs="Times New Roman" w:eastAsia="Times New Roman" w:hAnsi="Times New Roman"/>
          <w:sz w:val="16"/>
          <w:szCs w:val="16"/>
          <w:color w:val="auto"/>
        </w:rPr>
        <w:t>the intellectual property that we develop or license.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LEGAL AND COMPLIANCE MATTERS</w:t>
      </w:r>
    </w:p>
    <w:p>
      <w:pPr>
        <w:spacing w:after="0" w:line="219" w:lineRule="exact"/>
        <w:rPr>
          <w:sz w:val="20"/>
          <w:szCs w:val="20"/>
          <w:color w:val="auto"/>
        </w:rPr>
      </w:pPr>
    </w:p>
    <w:p>
      <w:pPr>
        <w:jc w:val="both"/>
        <w:ind w:right="3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60" w:lineRule="exact"/>
        <w:rPr>
          <w:sz w:val="20"/>
          <w:szCs w:val="20"/>
          <w:color w:val="auto"/>
        </w:rPr>
      </w:pPr>
    </w:p>
    <w:p>
      <w:pPr>
        <w:ind w:firstLine="749"/>
        <w:spacing w:after="0" w:line="173" w:lineRule="exact"/>
        <w:rPr>
          <w:sz w:val="20"/>
          <w:szCs w:val="20"/>
          <w:color w:val="auto"/>
        </w:rPr>
      </w:pPr>
      <w:r>
        <w:rPr>
          <w:rFonts w:ascii="Times New Roman" w:cs="Times New Roman" w:eastAsia="Times New Roman" w:hAnsi="Times New Roman"/>
          <w:sz w:val="16"/>
          <w:szCs w:val="16"/>
          <w:color w:val="auto"/>
        </w:rPr>
        <w:t>As a pharmaceutical company, we are subject to many federal and state healthcare laws, including those described in the “Business—Government Regulation and Product Approval” section of the filed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such as the federal Anti-Kickback Statute, the federal civil and criminal False Claims Act, the civil monetary penalties statute, the Medicaid Drug Rebate statute and other price reporting requirements, the Veterans Health Care Act of 1992, the Physician Payments</w:t>
      </w:r>
    </w:p>
    <w:p>
      <w:pPr>
        <w:ind w:right="20"/>
        <w:spacing w:after="0" w:line="220" w:lineRule="auto"/>
        <w:rPr>
          <w:sz w:val="20"/>
          <w:szCs w:val="20"/>
          <w:color w:val="auto"/>
        </w:rPr>
      </w:pPr>
      <w:r>
        <w:rPr>
          <w:rFonts w:ascii="Times New Roman" w:cs="Times New Roman" w:eastAsia="Times New Roman" w:hAnsi="Times New Roman"/>
          <w:sz w:val="16"/>
          <w:szCs w:val="16"/>
          <w:color w:val="auto"/>
        </w:rPr>
        <w:t>Sunshine Act, the Foreign Corrupt Practices Act of 1977, the Patient Protection and Affordable Care Act of 2010, and similar state and foreign laws. Even though we do not and will not control referrals of healthcare services or bill directly to Medicare, Medicaid, or other third-party payors, certain federal and state healthcare laws and</w:t>
      </w:r>
    </w:p>
    <w:p>
      <w:pPr>
        <w:ind w:right="80"/>
        <w:spacing w:after="0" w:line="231" w:lineRule="auto"/>
        <w:rPr>
          <w:sz w:val="20"/>
          <w:szCs w:val="20"/>
          <w:color w:val="auto"/>
        </w:rPr>
      </w:pPr>
      <w:r>
        <w:rPr>
          <w:rFonts w:ascii="Times New Roman" w:cs="Times New Roman" w:eastAsia="Times New Roman" w:hAnsi="Times New Roman"/>
          <w:sz w:val="16"/>
          <w:szCs w:val="16"/>
          <w:color w:val="auto"/>
        </w:rPr>
        <w:t>regulations pertaining to fraud and abuse and patients’ rights are and will be applicable to our business. We would be subject to healthcare fraud and abuse laws by both the federal government and the states in which we conduct our business.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160" w:firstLine="749"/>
        <w:spacing w:after="0" w:line="231" w:lineRule="auto"/>
        <w:rPr>
          <w:sz w:val="20"/>
          <w:szCs w:val="20"/>
          <w:color w:val="auto"/>
        </w:rPr>
      </w:pPr>
      <w:r>
        <w:rPr>
          <w:rFonts w:ascii="Times New Roman" w:cs="Times New Roman" w:eastAsia="Times New Roman" w:hAnsi="Times New Roman"/>
          <w:sz w:val="16"/>
          <w:szCs w:val="16"/>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w:t>
      </w:r>
    </w:p>
    <w:p>
      <w:pPr>
        <w:spacing w:after="0" w:line="1"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16"/>
          <w:szCs w:val="16"/>
          <w:color w:val="auto"/>
        </w:rPr>
        <w:t>California enacted legislation – the California Consumer Privacy Act, or CCPA – which went into effect in January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w:t>
      </w:r>
    </w:p>
    <w:p>
      <w:pPr>
        <w:ind w:right="20"/>
        <w:spacing w:after="0" w:line="220" w:lineRule="auto"/>
        <w:rPr>
          <w:sz w:val="20"/>
          <w:szCs w:val="20"/>
          <w:color w:val="auto"/>
        </w:rPr>
      </w:pPr>
      <w:r>
        <w:rPr>
          <w:rFonts w:ascii="Times New Roman" w:cs="Times New Roman" w:eastAsia="Times New Roman" w:hAnsi="Times New Roman"/>
          <w:sz w:val="16"/>
          <w:szCs w:val="16"/>
          <w:color w:val="auto"/>
        </w:rPr>
        <w:t>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w:t>
      </w:r>
    </w:p>
    <w:p>
      <w:pPr>
        <w:spacing w:after="0"/>
        <w:rPr>
          <w:sz w:val="20"/>
          <w:szCs w:val="20"/>
          <w:color w:val="auto"/>
        </w:rPr>
      </w:pPr>
      <w:r>
        <w:rPr>
          <w:rFonts w:ascii="Times New Roman" w:cs="Times New Roman" w:eastAsia="Times New Roman" w:hAnsi="Times New Roman"/>
          <w:sz w:val="16"/>
          <w:szCs w:val="16"/>
          <w:color w:val="auto"/>
        </w:rPr>
        <w:t>applicable state laws).</w:t>
      </w:r>
    </w:p>
    <w:p>
      <w:pPr>
        <w:spacing w:after="0" w:line="176" w:lineRule="exact"/>
        <w:rPr>
          <w:sz w:val="20"/>
          <w:szCs w:val="20"/>
          <w:color w:val="auto"/>
        </w:rPr>
      </w:pPr>
    </w:p>
    <w:p>
      <w:pPr>
        <w:ind w:firstLine="749"/>
        <w:spacing w:after="0" w:line="231" w:lineRule="auto"/>
        <w:rPr>
          <w:sz w:val="20"/>
          <w:szCs w:val="20"/>
          <w:color w:val="auto"/>
        </w:rPr>
      </w:pPr>
      <w:r>
        <w:rPr>
          <w:rFonts w:ascii="Times New Roman" w:cs="Times New Roman" w:eastAsia="Times New Roman" w:hAnsi="Times New Roman"/>
          <w:sz w:val="16"/>
          <w:szCs w:val="16"/>
          <w:color w:val="auto"/>
        </w:rPr>
        <w:t>In addition, 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w:t>
      </w:r>
    </w:p>
    <w:p>
      <w:pPr>
        <w:spacing w:after="0" w:line="1"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6"/>
          <w:szCs w:val="16"/>
          <w:color w:val="auto"/>
        </w:rPr>
        <w:t>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w:t>
      </w:r>
    </w:p>
    <w:p>
      <w:pPr>
        <w:ind w:right="100"/>
        <w:spacing w:after="0" w:line="217" w:lineRule="auto"/>
        <w:rPr>
          <w:sz w:val="20"/>
          <w:szCs w:val="20"/>
          <w:color w:val="auto"/>
        </w:rPr>
      </w:pPr>
      <w:r>
        <w:rPr>
          <w:rFonts w:ascii="Times New Roman" w:cs="Times New Roman" w:eastAsia="Times New Roman" w:hAnsi="Times New Roman"/>
          <w:sz w:val="16"/>
          <w:szCs w:val="16"/>
          <w:color w:val="auto"/>
        </w:rPr>
        <w:t>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w:t>
      </w:r>
    </w:p>
    <w:p>
      <w:pPr>
        <w:spacing w:after="0" w:line="220" w:lineRule="auto"/>
        <w:rPr>
          <w:sz w:val="20"/>
          <w:szCs w:val="20"/>
          <w:color w:val="auto"/>
        </w:rPr>
      </w:pPr>
      <w:r>
        <w:rPr>
          <w:rFonts w:ascii="Times New Roman" w:cs="Times New Roman" w:eastAsia="Times New Roman" w:hAnsi="Times New Roman"/>
          <w:sz w:val="16"/>
          <w:szCs w:val="16"/>
          <w:color w:val="auto"/>
        </w:rPr>
        <w:t>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w:t>
      </w:r>
    </w:p>
    <w:p>
      <w:pPr>
        <w:ind w:right="80"/>
        <w:spacing w:after="0" w:line="220" w:lineRule="auto"/>
        <w:rPr>
          <w:sz w:val="20"/>
          <w:szCs w:val="20"/>
          <w:color w:val="auto"/>
        </w:rPr>
      </w:pPr>
      <w:r>
        <w:rPr>
          <w:rFonts w:ascii="Times New Roman" w:cs="Times New Roman" w:eastAsia="Times New Roman" w:hAnsi="Times New Roman"/>
          <w:sz w:val="16"/>
          <w:szCs w:val="16"/>
          <w:color w:val="auto"/>
        </w:rPr>
        <w:t>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w:t>
      </w:r>
    </w:p>
    <w:p>
      <w:pPr>
        <w:ind w:right="440"/>
        <w:spacing w:after="0" w:line="231" w:lineRule="auto"/>
        <w:rPr>
          <w:sz w:val="20"/>
          <w:szCs w:val="20"/>
          <w:color w:val="auto"/>
        </w:rPr>
      </w:pPr>
      <w:r>
        <w:rPr>
          <w:rFonts w:ascii="Times New Roman" w:cs="Times New Roman" w:eastAsia="Times New Roman" w:hAnsi="Times New Roman"/>
          <w:sz w:val="16"/>
          <w:szCs w:val="16"/>
          <w:color w:val="auto"/>
        </w:rPr>
        <w:t>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If we or our operations are found to be in violation of any federal or state healthcare, data or information privacy law, or any other governmental regulations that</w:t>
      </w:r>
    </w:p>
    <w:p>
      <w:pPr>
        <w:spacing w:after="0" w:line="10"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6"/>
          <w:szCs w:val="16"/>
          <w:color w:val="auto"/>
        </w:rPr>
        <w:t>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w:t>
      </w:r>
    </w:p>
    <w:p>
      <w:pPr>
        <w:ind w:right="20"/>
        <w:spacing w:after="0" w:line="217" w:lineRule="auto"/>
        <w:rPr>
          <w:sz w:val="20"/>
          <w:szCs w:val="20"/>
          <w:color w:val="auto"/>
        </w:rPr>
      </w:pPr>
      <w:r>
        <w:rPr>
          <w:rFonts w:ascii="Times New Roman" w:cs="Times New Roman" w:eastAsia="Times New Roman" w:hAnsi="Times New Roman"/>
          <w:sz w:val="16"/>
          <w:szCs w:val="16"/>
          <w:color w:val="auto"/>
        </w:rPr>
        <w:t>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w:t>
      </w:r>
    </w:p>
    <w:p>
      <w:pPr>
        <w:spacing w:after="0"/>
        <w:rPr>
          <w:sz w:val="20"/>
          <w:szCs w:val="20"/>
          <w:color w:val="auto"/>
        </w:rPr>
      </w:pPr>
      <w:r>
        <w:rPr>
          <w:rFonts w:ascii="Times New Roman" w:cs="Times New Roman" w:eastAsia="Times New Roman" w:hAnsi="Times New Roman"/>
          <w:sz w:val="16"/>
          <w:szCs w:val="16"/>
          <w:color w:val="auto"/>
        </w:rPr>
        <w:t>our business.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Although an effective compliance program can mitigate the risk of investigation and prosecution for violations of these laws, the risks cannot be entirely</w:t>
      </w:r>
    </w:p>
    <w:p>
      <w:pPr>
        <w:spacing w:after="0" w:line="10"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6"/>
          <w:szCs w:val="16"/>
          <w:color w:val="auto"/>
        </w:rPr>
        <w:t>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6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In both domestic and foreign markets, sales of our future products will depend in part upon the availability of coverage and reimbursement from third-party</w:t>
      </w:r>
    </w:p>
    <w:p>
      <w:pPr>
        <w:spacing w:after="0" w:line="10" w:lineRule="exact"/>
        <w:rPr>
          <w:sz w:val="20"/>
          <w:szCs w:val="20"/>
          <w:color w:val="auto"/>
        </w:rPr>
      </w:pPr>
    </w:p>
    <w:p>
      <w:pPr>
        <w:ind w:right="420"/>
        <w:spacing w:after="0" w:line="217" w:lineRule="auto"/>
        <w:rPr>
          <w:sz w:val="20"/>
          <w:szCs w:val="20"/>
          <w:color w:val="auto"/>
        </w:rPr>
      </w:pPr>
      <w:r>
        <w:rPr>
          <w:rFonts w:ascii="Times New Roman" w:cs="Times New Roman" w:eastAsia="Times New Roman" w:hAnsi="Times New Roman"/>
          <w:sz w:val="16"/>
          <w:szCs w:val="16"/>
          <w:color w:val="auto"/>
        </w:rPr>
        <w:t>payors. Such third-party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w:t>
      </w:r>
    </w:p>
    <w:p>
      <w:pPr>
        <w:ind w:right="20"/>
        <w:spacing w:after="0" w:line="220" w:lineRule="auto"/>
        <w:rPr>
          <w:sz w:val="20"/>
          <w:szCs w:val="20"/>
          <w:color w:val="auto"/>
        </w:rPr>
      </w:pPr>
      <w:r>
        <w:rPr>
          <w:rFonts w:ascii="Times New Roman" w:cs="Times New Roman" w:eastAsia="Times New Roman" w:hAnsi="Times New Roman"/>
          <w:sz w:val="16"/>
          <w:szCs w:val="16"/>
          <w:color w:val="auto"/>
        </w:rPr>
        <w:t>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w:t>
      </w:r>
    </w:p>
    <w:p>
      <w:pPr>
        <w:ind w:right="280"/>
        <w:spacing w:after="0" w:line="217" w:lineRule="auto"/>
        <w:rPr>
          <w:sz w:val="20"/>
          <w:szCs w:val="20"/>
          <w:color w:val="auto"/>
        </w:rPr>
      </w:pPr>
      <w:r>
        <w:rPr>
          <w:rFonts w:ascii="Times New Roman" w:cs="Times New Roman" w:eastAsia="Times New Roman" w:hAnsi="Times New Roman"/>
          <w:sz w:val="16"/>
          <w:szCs w:val="16"/>
          <w:color w:val="auto"/>
        </w:rPr>
        <w:t>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w:t>
      </w:r>
    </w:p>
    <w:p>
      <w:pPr>
        <w:spacing w:after="0"/>
        <w:rPr>
          <w:sz w:val="20"/>
          <w:szCs w:val="20"/>
          <w:color w:val="auto"/>
        </w:rPr>
      </w:pPr>
      <w:r>
        <w:rPr>
          <w:rFonts w:ascii="Times New Roman" w:cs="Times New Roman" w:eastAsia="Times New Roman" w:hAnsi="Times New Roman"/>
          <w:sz w:val="16"/>
          <w:szCs w:val="16"/>
          <w:color w:val="auto"/>
        </w:rPr>
        <w:t>realizing an adequate margin over cost.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140" w:firstLine="749"/>
        <w:spacing w:after="0" w:line="231" w:lineRule="auto"/>
        <w:rPr>
          <w:sz w:val="20"/>
          <w:szCs w:val="20"/>
          <w:color w:val="auto"/>
        </w:rPr>
      </w:pPr>
      <w:r>
        <w:rPr>
          <w:rFonts w:ascii="Times New Roman" w:cs="Times New Roman" w:eastAsia="Times New Roman" w:hAnsi="Times New Roman"/>
          <w:sz w:val="16"/>
          <w:szCs w:val="16"/>
          <w:color w:val="auto"/>
        </w:rPr>
        <w:t>There is significant uncertainty related to third-party payor coverage and reimbursement of newly approved drugs. Marketing approvals, pricing, and reimbursement for new drug products vary widely from country to country. Current and future legislation may significantly change the approval requirements in ways that</w:t>
      </w:r>
    </w:p>
    <w:p>
      <w:pPr>
        <w:spacing w:after="0" w:line="1" w:lineRule="exact"/>
        <w:rPr>
          <w:sz w:val="20"/>
          <w:szCs w:val="20"/>
          <w:color w:val="auto"/>
        </w:rPr>
      </w:pPr>
    </w:p>
    <w:p>
      <w:pPr>
        <w:ind w:right="160"/>
        <w:spacing w:after="0" w:line="217" w:lineRule="auto"/>
        <w:rPr>
          <w:sz w:val="20"/>
          <w:szCs w:val="20"/>
          <w:color w:val="auto"/>
        </w:rPr>
      </w:pPr>
      <w:r>
        <w:rPr>
          <w:rFonts w:ascii="Times New Roman" w:cs="Times New Roman" w:eastAsia="Times New Roman" w:hAnsi="Times New Roman"/>
          <w:sz w:val="16"/>
          <w:szCs w:val="16"/>
          <w:color w:val="auto"/>
        </w:rPr>
        <w:t>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w:t>
      </w:r>
    </w:p>
    <w:p>
      <w:pPr>
        <w:ind w:right="20"/>
        <w:spacing w:after="0" w:line="220" w:lineRule="auto"/>
        <w:rPr>
          <w:sz w:val="20"/>
          <w:szCs w:val="20"/>
          <w:color w:val="auto"/>
        </w:rPr>
      </w:pPr>
      <w:r>
        <w:rPr>
          <w:rFonts w:ascii="Times New Roman" w:cs="Times New Roman" w:eastAsia="Times New Roman" w:hAnsi="Times New Roman"/>
          <w:sz w:val="16"/>
          <w:szCs w:val="16"/>
          <w:color w:val="auto"/>
        </w:rPr>
        <w:t>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w:t>
      </w:r>
    </w:p>
    <w:p>
      <w:pPr>
        <w:spacing w:after="0" w:line="217" w:lineRule="auto"/>
        <w:rPr>
          <w:sz w:val="20"/>
          <w:szCs w:val="20"/>
          <w:color w:val="auto"/>
        </w:rPr>
      </w:pPr>
      <w:r>
        <w:rPr>
          <w:rFonts w:ascii="Times New Roman" w:cs="Times New Roman" w:eastAsia="Times New Roman" w:hAnsi="Times New Roman"/>
          <w:sz w:val="16"/>
          <w:szCs w:val="16"/>
          <w:color w:val="auto"/>
        </w:rPr>
        <w:t>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product candidates, even if</w:t>
      </w:r>
    </w:p>
    <w:p>
      <w:pPr>
        <w:jc w:val="both"/>
        <w:spacing w:after="0" w:line="220" w:lineRule="auto"/>
        <w:rPr>
          <w:sz w:val="20"/>
          <w:szCs w:val="20"/>
          <w:color w:val="auto"/>
        </w:rPr>
      </w:pPr>
      <w:r>
        <w:rPr>
          <w:rFonts w:ascii="Times New Roman" w:cs="Times New Roman" w:eastAsia="Times New Roman" w:hAnsi="Times New Roman"/>
          <w:sz w:val="16"/>
          <w:szCs w:val="16"/>
          <w:color w:val="auto"/>
        </w:rPr>
        <w:t>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w:t>
      </w:r>
    </w:p>
    <w:p>
      <w:pPr>
        <w:jc w:val="both"/>
        <w:ind w:right="80"/>
        <w:spacing w:after="0" w:line="217" w:lineRule="auto"/>
        <w:rPr>
          <w:sz w:val="20"/>
          <w:szCs w:val="20"/>
          <w:color w:val="auto"/>
        </w:rPr>
      </w:pPr>
      <w:r>
        <w:rPr>
          <w:rFonts w:ascii="Times New Roman" w:cs="Times New Roman" w:eastAsia="Times New Roman" w:hAnsi="Times New Roman"/>
          <w:sz w:val="16"/>
          <w:szCs w:val="16"/>
          <w:color w:val="auto"/>
        </w:rPr>
        <w:t>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w:t>
      </w:r>
    </w:p>
    <w:p>
      <w:pPr>
        <w:spacing w:after="0" w:line="220" w:lineRule="auto"/>
        <w:rPr>
          <w:sz w:val="20"/>
          <w:szCs w:val="20"/>
          <w:color w:val="auto"/>
        </w:rPr>
      </w:pPr>
      <w:r>
        <w:rPr>
          <w:rFonts w:ascii="Times New Roman" w:cs="Times New Roman" w:eastAsia="Times New Roman" w:hAnsi="Times New Roman"/>
          <w:sz w:val="16"/>
          <w:szCs w:val="16"/>
          <w:color w:val="auto"/>
        </w:rPr>
        <w:t>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w:t>
      </w:r>
    </w:p>
    <w:p>
      <w:pPr>
        <w:spacing w:after="0"/>
        <w:rPr>
          <w:sz w:val="20"/>
          <w:szCs w:val="20"/>
          <w:color w:val="auto"/>
        </w:rPr>
      </w:pPr>
      <w:r>
        <w:rPr>
          <w:rFonts w:ascii="Times New Roman" w:cs="Times New Roman" w:eastAsia="Times New Roman" w:hAnsi="Times New Roman"/>
          <w:sz w:val="16"/>
          <w:szCs w:val="16"/>
          <w:color w:val="auto"/>
        </w:rPr>
        <w:t>class, particularly if a generic version of the same agent is available in another form.</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Third-party payors, whether foreign or domestic, or governmental or commercial, are developing increasingly sophisticated methods of controlling healthcare</w:t>
      </w:r>
    </w:p>
    <w:p>
      <w:pPr>
        <w:spacing w:after="0" w:line="10"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16"/>
          <w:szCs w:val="16"/>
          <w:color w:val="auto"/>
        </w:rPr>
        <w:t>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w:t>
      </w:r>
    </w:p>
    <w:p>
      <w:pPr>
        <w:ind w:right="400"/>
        <w:spacing w:after="0" w:line="231" w:lineRule="auto"/>
        <w:rPr>
          <w:sz w:val="20"/>
          <w:szCs w:val="20"/>
          <w:color w:val="auto"/>
        </w:rPr>
      </w:pPr>
      <w:r>
        <w:rPr>
          <w:rFonts w:ascii="Times New Roman" w:cs="Times New Roman" w:eastAsia="Times New Roman" w:hAnsi="Times New Roman"/>
          <w:sz w:val="16"/>
          <w:szCs w:val="16"/>
          <w:color w:val="auto"/>
        </w:rPr>
        <w:t>regulatory approval may not be available or adequate in either the United States or international markets, which could have a negative effect on our business, financial condition, results of operations, and prospects.</w:t>
      </w:r>
    </w:p>
    <w:p>
      <w:pPr>
        <w:spacing w:after="0" w:line="181"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181"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16"/>
          <w:szCs w:val="16"/>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84"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96"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16"/>
          <w:szCs w:val="16"/>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74" w:lineRule="exact"/>
        <w:rPr>
          <w:sz w:val="20"/>
          <w:szCs w:val="20"/>
          <w:color w:val="auto"/>
        </w:rPr>
      </w:pPr>
    </w:p>
    <w:p>
      <w:pPr>
        <w:ind w:right="80" w:firstLine="749"/>
        <w:spacing w:after="0" w:line="191" w:lineRule="exact"/>
        <w:rPr>
          <w:sz w:val="20"/>
          <w:szCs w:val="20"/>
          <w:color w:val="auto"/>
        </w:rPr>
      </w:pPr>
      <w:r>
        <w:rPr>
          <w:rFonts w:ascii="Times New Roman" w:cs="Times New Roman" w:eastAsia="Times New Roman" w:hAnsi="Times New Roman"/>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97" w:lineRule="exact"/>
        <w:rPr>
          <w:sz w:val="20"/>
          <w:szCs w:val="20"/>
          <w:color w:val="auto"/>
        </w:rPr>
      </w:pPr>
    </w:p>
    <w:p>
      <w:pPr>
        <w:ind w:right="80" w:firstLine="749"/>
        <w:spacing w:after="0" w:line="263" w:lineRule="auto"/>
        <w:rPr>
          <w:sz w:val="20"/>
          <w:szCs w:val="20"/>
          <w:color w:val="auto"/>
        </w:rPr>
      </w:pPr>
      <w:r>
        <w:rPr>
          <w:rFonts w:ascii="Times New Roman" w:cs="Times New Roman" w:eastAsia="Times New Roman" w:hAnsi="Times New Roman"/>
          <w:sz w:val="16"/>
          <w:szCs w:val="16"/>
          <w:color w:val="auto"/>
        </w:rPr>
        <w:t>For example, there have been numerous attempts by Congress and the former Trump Administration, through legislation and executive orders, to repeal or materially modify various aspects of ACA. In addition, there have been multiple lawsuits challenging the constitutionality of the ACA as well as various components of the ACA. After proceeding through more recent appellate challenges, in June 2021, the Supreme Court upheld the ACA.</w:t>
      </w:r>
    </w:p>
    <w:p>
      <w:pPr>
        <w:spacing w:after="0" w:line="178"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16"/>
          <w:szCs w:val="16"/>
          <w:color w:val="auto"/>
        </w:rPr>
        <w:t>It is unclear how regulations and sub-regulatory policy, which fluctuate continually, may affect interpretation and further implementation of the ACA and its practical effects on our business. 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 Furthermore, we anticipate that the Biden Administration will issue a number of Executive Orders, which may alter the policies of the previous administration. Additionally, certain agency rules and policy statements of the prior four years may be rescinded. Further, the Biden Administration may propose substantial changes to the U.S. healthcare system, including expanding government-funded health insurance options. We are uncertain of the impact or outcome of these potential Executive Orders, rescission of rules and policy statements, or new legislation, especially any relative impact on the healthcare regulatory and policy landscape, or the impact they may have on our business.</w:t>
      </w:r>
    </w:p>
    <w:p>
      <w:pPr>
        <w:spacing w:after="0" w:line="192" w:lineRule="exact"/>
        <w:rPr>
          <w:sz w:val="20"/>
          <w:szCs w:val="20"/>
          <w:color w:val="auto"/>
        </w:rPr>
      </w:pPr>
    </w:p>
    <w:p>
      <w:pPr>
        <w:ind w:right="60" w:firstLine="749"/>
        <w:spacing w:after="0" w:line="231" w:lineRule="auto"/>
        <w:rPr>
          <w:sz w:val="20"/>
          <w:szCs w:val="20"/>
          <w:color w:val="auto"/>
        </w:rPr>
      </w:pPr>
      <w:r>
        <w:rPr>
          <w:rFonts w:ascii="Times New Roman" w:cs="Times New Roman" w:eastAsia="Times New Roman" w:hAnsi="Times New Roman"/>
          <w:sz w:val="16"/>
          <w:szCs w:val="16"/>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w:t>
      </w:r>
    </w:p>
    <w:p>
      <w:pPr>
        <w:spacing w:after="0" w:line="1"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6"/>
          <w:szCs w:val="16"/>
          <w:color w:val="auto"/>
        </w:rPr>
        <w:t>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w:t>
      </w:r>
    </w:p>
    <w:p>
      <w:pPr>
        <w:ind w:right="40"/>
        <w:spacing w:after="0" w:line="217" w:lineRule="auto"/>
        <w:rPr>
          <w:sz w:val="20"/>
          <w:szCs w:val="20"/>
          <w:color w:val="auto"/>
        </w:rPr>
      </w:pPr>
      <w:r>
        <w:rPr>
          <w:rFonts w:ascii="Times New Roman" w:cs="Times New Roman" w:eastAsia="Times New Roman" w:hAnsi="Times New Roman"/>
          <w:sz w:val="16"/>
          <w:szCs w:val="16"/>
          <w:color w:val="auto"/>
        </w:rPr>
        <w:t>business, financial condition and results of operations. For instance, states such as California have begun enacting transparency laws aimed at curbing drug price increases and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 For example, under the Biden</w:t>
      </w:r>
    </w:p>
    <w:p>
      <w:pPr>
        <w:spacing w:after="0" w:line="220" w:lineRule="auto"/>
        <w:rPr>
          <w:sz w:val="20"/>
          <w:szCs w:val="20"/>
          <w:color w:val="auto"/>
        </w:rPr>
      </w:pPr>
      <w:r>
        <w:rPr>
          <w:rFonts w:ascii="Times New Roman" w:cs="Times New Roman" w:eastAsia="Times New Roman" w:hAnsi="Times New Roman"/>
          <w:sz w:val="16"/>
          <w:szCs w:val="16"/>
          <w:color w:val="auto"/>
        </w:rPr>
        <w:t>Administration’s Build Back Better Agenda, Medicare negotiation of prescription drug costs with biopharmaceutical companies is proposed to lower prescription drug costs. Any reduction in reimbursement from Medicare or other government healthcare programs may result in a similar reduction in payments from private payors. The</w:t>
      </w:r>
    </w:p>
    <w:p>
      <w:pPr>
        <w:ind w:right="340"/>
        <w:spacing w:after="0" w:line="231" w:lineRule="auto"/>
        <w:rPr>
          <w:sz w:val="20"/>
          <w:szCs w:val="20"/>
          <w:color w:val="auto"/>
        </w:rPr>
      </w:pPr>
      <w:r>
        <w:rPr>
          <w:rFonts w:ascii="Times New Roman" w:cs="Times New Roman" w:eastAsia="Times New Roman" w:hAnsi="Times New Roman"/>
          <w:sz w:val="16"/>
          <w:szCs w:val="16"/>
          <w:color w:val="auto"/>
        </w:rPr>
        <w:t>implementation of cost containment measures or other healthcare reforms may prevent us from being able to generate revenue, attain profitability or commercialize our drugs.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180" w:firstLine="749"/>
        <w:spacing w:after="0" w:line="231" w:lineRule="auto"/>
        <w:rPr>
          <w:sz w:val="20"/>
          <w:szCs w:val="20"/>
          <w:color w:val="auto"/>
        </w:rPr>
      </w:pPr>
      <w:r>
        <w:rPr>
          <w:rFonts w:ascii="Times New Roman" w:cs="Times New Roman" w:eastAsia="Times New Roman" w:hAnsi="Times New Roman"/>
          <w:sz w:val="16"/>
          <w:szCs w:val="16"/>
          <w:color w:val="auto"/>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w:t>
      </w:r>
    </w:p>
    <w:p>
      <w:pPr>
        <w:spacing w:after="0" w:line="1" w:lineRule="exact"/>
        <w:rPr>
          <w:sz w:val="20"/>
          <w:szCs w:val="20"/>
          <w:color w:val="auto"/>
        </w:rPr>
      </w:pPr>
    </w:p>
    <w:p>
      <w:pPr>
        <w:ind w:right="440"/>
        <w:spacing w:after="0" w:line="231" w:lineRule="auto"/>
        <w:rPr>
          <w:sz w:val="20"/>
          <w:szCs w:val="20"/>
          <w:color w:val="auto"/>
        </w:rPr>
      </w:pPr>
      <w:r>
        <w:rPr>
          <w:rFonts w:ascii="Times New Roman" w:cs="Times New Roman" w:eastAsia="Times New Roman" w:hAnsi="Times New Roman"/>
          <w:sz w:val="16"/>
          <w:szCs w:val="16"/>
          <w:color w:val="auto"/>
        </w:rPr>
        <w:t>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68"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16"/>
          <w:szCs w:val="16"/>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it would permit certain exemptions and exclusions, and enforcement discretion on certain aspects due to the COVID-19 pandemic, although this situation may continue to evolve. The distribution of product samples continues to be regulated under the PDMA, and some states also impose regulations on drug sample distribution.</w:t>
      </w:r>
    </w:p>
    <w:p>
      <w:pPr>
        <w:spacing w:after="0" w:line="178" w:lineRule="exact"/>
        <w:rPr>
          <w:sz w:val="20"/>
          <w:szCs w:val="20"/>
          <w:color w:val="auto"/>
        </w:rPr>
      </w:pPr>
    </w:p>
    <w:p>
      <w:pPr>
        <w:ind w:right="40" w:firstLine="749"/>
        <w:spacing w:after="0" w:line="263" w:lineRule="auto"/>
        <w:rPr>
          <w:sz w:val="20"/>
          <w:szCs w:val="20"/>
          <w:color w:val="auto"/>
        </w:rPr>
      </w:pPr>
      <w:r>
        <w:rPr>
          <w:rFonts w:ascii="Times New Roman" w:cs="Times New Roman" w:eastAsia="Times New Roman" w:hAnsi="Times New Roman"/>
          <w:sz w:val="16"/>
          <w:szCs w:val="16"/>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140" w:firstLine="749"/>
        <w:spacing w:after="0" w:line="188" w:lineRule="exact"/>
        <w:rPr>
          <w:sz w:val="20"/>
          <w:szCs w:val="20"/>
          <w:color w:val="auto"/>
        </w:rPr>
      </w:pPr>
      <w:r>
        <w:rPr>
          <w:rFonts w:ascii="Times New Roman" w:cs="Times New Roman" w:eastAsia="Times New Roman" w:hAnsi="Times New Roman"/>
          <w:sz w:val="16"/>
          <w:szCs w:val="16"/>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effectiveness of our product candidate to other available therapies. There can be no assurance that our products will be considered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 by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that an adequate level of reimbursement will be available, or that the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60"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6" w:lineRule="exact"/>
        <w:rPr>
          <w:sz w:val="20"/>
          <w:szCs w:val="20"/>
          <w:color w:val="auto"/>
        </w:rPr>
      </w:pPr>
    </w:p>
    <w:p>
      <w:pPr>
        <w:ind w:right="220"/>
        <w:spacing w:after="0" w:line="213" w:lineRule="exact"/>
        <w:rPr>
          <w:sz w:val="20"/>
          <w:szCs w:val="20"/>
          <w:color w:val="auto"/>
        </w:rPr>
      </w:pPr>
      <w:r>
        <w:rPr>
          <w:rFonts w:ascii="Times New Roman" w:cs="Times New Roman" w:eastAsia="Times New Roman" w:hAnsi="Times New Roman"/>
          <w:sz w:val="16"/>
          <w:szCs w:val="16"/>
          <w:b w:val="1"/>
          <w:bCs w:val="1"/>
          <w:i w:val="1"/>
          <w:iCs w:val="1"/>
          <w:color w:val="auto"/>
        </w:rPr>
        <w:t>Our third</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party manufacturers may use hazardous materials in the production of our products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-198755</wp:posOffset>
            </wp:positionV>
            <wp:extent cx="6032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38100"/>
                    </a:xfrm>
                    <a:prstGeom prst="rect">
                      <a:avLst/>
                    </a:prstGeom>
                    <a:noFill/>
                  </pic:spPr>
                </pic:pic>
              </a:graphicData>
            </a:graphic>
          </wp:anchor>
        </w:drawing>
      </w:r>
    </w:p>
    <w:p>
      <w:pPr>
        <w:spacing w:after="0" w:line="162" w:lineRule="exact"/>
        <w:rPr>
          <w:sz w:val="20"/>
          <w:szCs w:val="20"/>
          <w:color w:val="auto"/>
        </w:rPr>
      </w:pPr>
    </w:p>
    <w:p>
      <w:pPr>
        <w:ind w:right="20" w:firstLine="749"/>
        <w:spacing w:after="0" w:line="191" w:lineRule="exact"/>
        <w:rPr>
          <w:sz w:val="20"/>
          <w:szCs w:val="20"/>
          <w:color w:val="auto"/>
        </w:rPr>
      </w:pPr>
      <w:r>
        <w:rPr>
          <w:rFonts w:ascii="Times New Roman" w:cs="Times New Roman" w:eastAsia="Times New Roman" w:hAnsi="Times New Roman"/>
          <w:sz w:val="16"/>
          <w:szCs w:val="16"/>
          <w:color w:val="auto"/>
        </w:rPr>
        <w:t>Manufacturing activities for the production of our products involve the controlled storage, use, and disposal of hazardous materials, including the components of our products, and other hazardous compounds.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95" w:lineRule="exact"/>
        <w:rPr>
          <w:sz w:val="20"/>
          <w:szCs w:val="20"/>
          <w:color w:val="auto"/>
        </w:rPr>
      </w:pPr>
    </w:p>
    <w:p>
      <w:pPr>
        <w:jc w:val="both"/>
        <w:ind w:right="20" w:firstLine="749"/>
        <w:spacing w:after="0" w:line="263" w:lineRule="auto"/>
        <w:rPr>
          <w:sz w:val="20"/>
          <w:szCs w:val="20"/>
          <w:color w:val="auto"/>
        </w:rPr>
      </w:pPr>
      <w:r>
        <w:rPr>
          <w:rFonts w:ascii="Times New Roman" w:cs="Times New Roman" w:eastAsia="Times New Roman" w:hAnsi="Times New Roman"/>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5" w:lineRule="exact"/>
        <w:rPr>
          <w:sz w:val="20"/>
          <w:szCs w:val="20"/>
          <w:color w:val="auto"/>
        </w:rPr>
      </w:pPr>
    </w:p>
    <w:p>
      <w:pPr>
        <w:ind w:firstLine="749"/>
        <w:spacing w:after="0" w:line="263" w:lineRule="auto"/>
        <w:rPr>
          <w:sz w:val="20"/>
          <w:szCs w:val="20"/>
          <w:color w:val="auto"/>
        </w:rPr>
      </w:pPr>
      <w:r>
        <w:rPr>
          <w:rFonts w:ascii="Times New Roman" w:cs="Times New Roman" w:eastAsia="Times New Roman" w:hAnsi="Times New Roman"/>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OPERATIONS</w:t>
      </w:r>
    </w:p>
    <w:p>
      <w:pPr>
        <w:spacing w:after="0" w:line="21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48" w:lineRule="exact"/>
        <w:rPr>
          <w:sz w:val="20"/>
          <w:szCs w:val="20"/>
          <w:color w:val="auto"/>
        </w:rPr>
      </w:pPr>
    </w:p>
    <w:p>
      <w:pPr>
        <w:ind w:right="40" w:firstLine="749"/>
        <w:spacing w:after="0" w:line="194" w:lineRule="exact"/>
        <w:rPr>
          <w:sz w:val="20"/>
          <w:szCs w:val="20"/>
          <w:color w:val="auto"/>
        </w:rPr>
      </w:pPr>
      <w:r>
        <w:rPr>
          <w:rFonts w:ascii="Times New Roman" w:cs="Times New Roman" w:eastAsia="Times New Roman" w:hAnsi="Times New Roman"/>
          <w:sz w:val="16"/>
          <w:szCs w:val="16"/>
          <w:color w:val="auto"/>
        </w:rPr>
        <w:t>As of October 31, 2022, we had 352 full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199" w:lineRule="exact"/>
        <w:rPr>
          <w:sz w:val="20"/>
          <w:szCs w:val="20"/>
          <w:color w:val="auto"/>
        </w:rPr>
      </w:pPr>
    </w:p>
    <w:p>
      <w:pPr>
        <w:ind w:left="760" w:right="260" w:hanging="378"/>
        <w:spacing w:after="0" w:line="280"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64" w:lineRule="exact"/>
        <w:rPr>
          <w:rFonts w:ascii="Times New Roman" w:cs="Times New Roman" w:eastAsia="Times New Roman" w:hAnsi="Times New Roman"/>
          <w:sz w:val="16"/>
          <w:szCs w:val="16"/>
          <w:color w:val="auto"/>
        </w:rPr>
      </w:pPr>
    </w:p>
    <w:p>
      <w:pPr>
        <w:ind w:left="760" w:right="460" w:hanging="378"/>
        <w:spacing w:after="0" w:line="263"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ensure that our consultants and other service providers successfully carry out their contractual obligations, provide high quality results, and meet expected deadlines;</w:t>
      </w:r>
    </w:p>
    <w:p>
      <w:pPr>
        <w:spacing w:after="0" w:line="17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carry out our own contractual obligations to our licensors and other third parties;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improve our operational, financial, and management controls, reporting systems, and procedures.</w:t>
      </w:r>
    </w:p>
    <w:p>
      <w:pPr>
        <w:spacing w:after="0" w:line="221" w:lineRule="exact"/>
        <w:rPr>
          <w:rFonts w:ascii="Times New Roman" w:cs="Times New Roman" w:eastAsia="Times New Roman" w:hAnsi="Times New Roman"/>
          <w:sz w:val="16"/>
          <w:szCs w:val="16"/>
          <w:color w:val="auto"/>
        </w:rPr>
      </w:pPr>
    </w:p>
    <w:p>
      <w:pPr>
        <w:ind w:left="7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successfully implement these tasks on a larger scale and, accordingly, may not achieve our development and commercialization goals.</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46"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16"/>
          <w:szCs w:val="16"/>
          <w:color w:val="auto"/>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acquire businesses or products, or form strategic alliances in the future, and we may not realize the benefits of such acquisitions or alliances.</w:t>
      </w:r>
    </w:p>
    <w:p>
      <w:pPr>
        <w:spacing w:after="0" w:line="22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6"/>
          <w:szCs w:val="16"/>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manage our business effectively if we are unable to attract and retain key personnel.</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may not be able to attract or retain qualified management and commercial, scientific, and clinical personnel due to the intense competition for qualified</w:t>
      </w:r>
    </w:p>
    <w:p>
      <w:pPr>
        <w:spacing w:after="0" w:line="10" w:lineRule="exact"/>
        <w:rPr>
          <w:sz w:val="20"/>
          <w:szCs w:val="20"/>
          <w:color w:val="auto"/>
        </w:rPr>
      </w:pPr>
    </w:p>
    <w:p>
      <w:pPr>
        <w:jc w:val="both"/>
        <w:ind w:right="60"/>
        <w:spacing w:after="0" w:line="220" w:lineRule="auto"/>
        <w:rPr>
          <w:sz w:val="20"/>
          <w:szCs w:val="20"/>
          <w:color w:val="auto"/>
        </w:rPr>
      </w:pPr>
      <w:r>
        <w:rPr>
          <w:rFonts w:ascii="Times New Roman" w:cs="Times New Roman" w:eastAsia="Times New Roman" w:hAnsi="Times New Roman"/>
          <w:sz w:val="16"/>
          <w:szCs w:val="16"/>
          <w:color w:val="auto"/>
        </w:rPr>
        <w:t>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w:t>
      </w:r>
    </w:p>
    <w:p>
      <w:pPr>
        <w:spacing w:after="0"/>
        <w:rPr>
          <w:sz w:val="20"/>
          <w:szCs w:val="20"/>
          <w:color w:val="auto"/>
        </w:rPr>
      </w:pPr>
      <w:r>
        <w:rPr>
          <w:rFonts w:ascii="Times New Roman" w:cs="Times New Roman" w:eastAsia="Times New Roman" w:hAnsi="Times New Roman"/>
          <w:sz w:val="16"/>
          <w:szCs w:val="16"/>
          <w:color w:val="auto"/>
        </w:rPr>
        <w:t>our business strategy.</w:t>
      </w:r>
    </w:p>
    <w:p>
      <w:pPr>
        <w:spacing w:after="0" w:line="176" w:lineRule="exact"/>
        <w:rPr>
          <w:sz w:val="20"/>
          <w:szCs w:val="20"/>
          <w:color w:val="auto"/>
        </w:rPr>
      </w:pPr>
    </w:p>
    <w:p>
      <w:pPr>
        <w:jc w:val="both"/>
        <w:ind w:right="40" w:firstLine="749"/>
        <w:spacing w:after="0" w:line="231" w:lineRule="auto"/>
        <w:rPr>
          <w:sz w:val="20"/>
          <w:szCs w:val="20"/>
          <w:color w:val="auto"/>
        </w:rPr>
      </w:pPr>
      <w:r>
        <w:rPr>
          <w:rFonts w:ascii="Times New Roman" w:cs="Times New Roman" w:eastAsia="Times New Roman" w:hAnsi="Times New Roman"/>
          <w:sz w:val="16"/>
          <w:szCs w:val="16"/>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w:t>
      </w:r>
    </w:p>
    <w:p>
      <w:pPr>
        <w:spacing w:after="0" w:line="1" w:lineRule="exact"/>
        <w:rPr>
          <w:sz w:val="20"/>
          <w:szCs w:val="20"/>
          <w:color w:val="auto"/>
        </w:rPr>
      </w:pPr>
    </w:p>
    <w:p>
      <w:pPr>
        <w:jc w:val="both"/>
        <w:ind w:right="40"/>
        <w:spacing w:after="0" w:line="220" w:lineRule="auto"/>
        <w:rPr>
          <w:sz w:val="20"/>
          <w:szCs w:val="20"/>
          <w:color w:val="auto"/>
        </w:rPr>
      </w:pPr>
      <w:r>
        <w:rPr>
          <w:rFonts w:ascii="Times New Roman" w:cs="Times New Roman" w:eastAsia="Times New Roman" w:hAnsi="Times New Roman"/>
          <w:sz w:val="16"/>
          <w:szCs w:val="16"/>
          <w:color w:val="auto"/>
        </w:rPr>
        <w:t>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w:t>
      </w:r>
    </w:p>
    <w:p>
      <w:pPr>
        <w:jc w:val="both"/>
        <w:ind w:right="40"/>
        <w:spacing w:after="0" w:line="224" w:lineRule="auto"/>
        <w:rPr>
          <w:sz w:val="20"/>
          <w:szCs w:val="20"/>
          <w:color w:val="auto"/>
        </w:rPr>
      </w:pPr>
      <w:r>
        <w:rPr>
          <w:rFonts w:ascii="Times New Roman" w:cs="Times New Roman" w:eastAsia="Times New Roman" w:hAnsi="Times New Roman"/>
          <w:sz w:val="16"/>
          <w:szCs w:val="16"/>
          <w:color w:val="auto"/>
        </w:rPr>
        <w:t>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78"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74" w:lineRule="exact"/>
        <w:rPr>
          <w:sz w:val="20"/>
          <w:szCs w:val="20"/>
          <w:color w:val="auto"/>
        </w:rPr>
      </w:pPr>
    </w:p>
    <w:p>
      <w:pPr>
        <w:ind w:firstLine="749"/>
        <w:spacing w:after="0" w:line="225" w:lineRule="auto"/>
        <w:rPr>
          <w:sz w:val="20"/>
          <w:szCs w:val="20"/>
          <w:color w:val="auto"/>
        </w:rPr>
      </w:pPr>
      <w:r>
        <w:rPr>
          <w:rFonts w:ascii="Times New Roman" w:cs="Times New Roman" w:eastAsia="Times New Roman" w:hAnsi="Times New Roman"/>
          <w:sz w:val="16"/>
          <w:szCs w:val="16"/>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w:t>
      </w:r>
    </w:p>
    <w:p>
      <w:pPr>
        <w:ind w:right="560"/>
        <w:spacing w:after="0" w:line="231" w:lineRule="auto"/>
        <w:rPr>
          <w:sz w:val="20"/>
          <w:szCs w:val="20"/>
          <w:color w:val="auto"/>
        </w:rPr>
      </w:pPr>
      <w:r>
        <w:rPr>
          <w:rFonts w:ascii="Times New Roman" w:cs="Times New Roman" w:eastAsia="Times New Roman" w:hAnsi="Times New Roman"/>
          <w:sz w:val="16"/>
          <w:szCs w:val="16"/>
          <w:color w:val="auto"/>
        </w:rPr>
        <w:t>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6"/>
          <w:szCs w:val="16"/>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93"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92"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6"/>
          <w:szCs w:val="16"/>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the Nasdaq Global Market,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89"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92" w:lineRule="exact"/>
        <w:rPr>
          <w:sz w:val="20"/>
          <w:szCs w:val="20"/>
          <w:color w:val="auto"/>
        </w:rPr>
      </w:pPr>
    </w:p>
    <w:p>
      <w:pPr>
        <w:ind w:right="520" w:firstLine="749"/>
        <w:spacing w:after="0" w:line="258" w:lineRule="auto"/>
        <w:rPr>
          <w:sz w:val="20"/>
          <w:szCs w:val="20"/>
          <w:color w:val="auto"/>
        </w:rPr>
      </w:pPr>
      <w:r>
        <w:rPr>
          <w:rFonts w:ascii="Times New Roman" w:cs="Times New Roman" w:eastAsia="Times New Roman" w:hAnsi="Times New Roman"/>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and operations would suffer in the event of system failures.</w:t>
      </w:r>
    </w:p>
    <w:p>
      <w:pPr>
        <w:spacing w:after="0" w:line="225"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16"/>
          <w:szCs w:val="16"/>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social and governance matters may impact our business and reputation.</w:t>
      </w:r>
    </w:p>
    <w:p>
      <w:pPr>
        <w:spacing w:after="0" w:line="225"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6"/>
          <w:szCs w:val="16"/>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its ESG performance, we risk negative stockholder reaction, including from proxy advisory services, as well as damage to its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its investors, customers and other stakeholders, we could experience reduced demand for its products, loss of customers, and other negative impacts on our business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 active trading market for our common stock may not be sustained.</w:t>
      </w:r>
    </w:p>
    <w:p>
      <w:pPr>
        <w:spacing w:after="0" w:line="225"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6"/>
          <w:szCs w:val="16"/>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may be highly volatile.</w:t>
      </w:r>
    </w:p>
    <w:p>
      <w:pPr>
        <w:spacing w:after="0" w:line="225"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6"/>
          <w:szCs w:val="16"/>
          <w:color w:val="auto"/>
        </w:rPr>
        <w:t>The trading price of our common stock is likely to be highly volatile. For example, in 2019, we experienced an extraordinary level of appreciation in our stock price. Such levels of gain are unlikely to continue in the future. For example, throughout the course of fiscal years 2020, 2021, and thus far in 2022, we saw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6"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the commencement, enrollment, and ultimate completion, of our planned and ongoing Phase 3 clinical trials for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delay or refusal on the part of the FDA in approving an NDA for any of our current and future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commercial success of any of our current products and future product candidates, if approved by the FDA;</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and stock price performance of other companies that investors deem comparable to ours;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recommendations by securities analysts;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news relating to our industry as a whole and news relating to trends in our markets;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clinical trials of any of our current and future product candidates or those of our competitors;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variations in quarterly or annual operating results;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meet or exceed financial projections we provide to the public, if any;</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meet or exceed the estimates and projections of the investment community, including securities analysts;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introduction of competitive products or technologies;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or developments in laws or regulations applicable to our product candidates;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perception of the pharmaceutical industry by the public, legislatures, regulators, and the investment community;</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market conditions and overall fluctuations in U.S. equity markets;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or security breaches;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concerning our sources of manufacturing supply, warehousing, and inventory control;</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or other developments relating to patents or other proprietary rights;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key scientific or management personnel;</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investigations or regulatory scrutiny of our operations or lawsuits filed against us;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commitments;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general perception of our company and our business;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and expectations of additional financing efforts, including the issuance of debt, equity or convertible securities;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common stock, including sales by our directors and officers or significant stockholders;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market valuations of companies similar to us;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significant acquisitions, strategic partnerships, or divestitures;</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conditions or trends in our industry;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221" w:lineRule="exact"/>
        <w:rPr>
          <w:sz w:val="20"/>
          <w:szCs w:val="20"/>
          <w:color w:val="auto"/>
        </w:rPr>
      </w:pPr>
    </w:p>
    <w:p>
      <w:pPr>
        <w:ind w:firstLine="749"/>
        <w:spacing w:after="0" w:line="263" w:lineRule="auto"/>
        <w:rPr>
          <w:sz w:val="20"/>
          <w:szCs w:val="20"/>
          <w:color w:val="auto"/>
        </w:rPr>
      </w:pPr>
      <w:r>
        <w:rPr>
          <w:rFonts w:ascii="Times New Roman" w:cs="Times New Roman" w:eastAsia="Times New Roman" w:hAnsi="Times New Roman"/>
          <w:sz w:val="16"/>
          <w:szCs w:val="16"/>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1"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jc w:val="both"/>
        <w:ind w:right="140" w:firstLine="749"/>
        <w:spacing w:after="0" w:line="254" w:lineRule="auto"/>
        <w:rPr>
          <w:sz w:val="20"/>
          <w:szCs w:val="20"/>
          <w:color w:val="auto"/>
        </w:rPr>
      </w:pPr>
      <w:r>
        <w:rPr>
          <w:rFonts w:ascii="Times New Roman" w:cs="Times New Roman" w:eastAsia="Times New Roman" w:hAnsi="Times New Roman"/>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8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0"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quarterly operating results may fluctuate significantly.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expect our operating results to be subject to quarterly fluctuations. Our net loss and other operating results will be affected by numerous factors, including:</w:t>
      </w:r>
    </w:p>
    <w:p>
      <w:pPr>
        <w:spacing w:after="0" w:line="208" w:lineRule="exact"/>
        <w:rPr>
          <w:sz w:val="20"/>
          <w:szCs w:val="20"/>
          <w:color w:val="auto"/>
        </w:rPr>
      </w:pPr>
    </w:p>
    <w:p>
      <w:pPr>
        <w:ind w:left="760" w:right="420" w:hanging="378"/>
        <w:spacing w:after="0" w:line="280" w:lineRule="auto"/>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64" w:lineRule="exact"/>
        <w:rPr>
          <w:rFonts w:ascii="Times New Roman" w:cs="Times New Roman" w:eastAsia="Times New Roman" w:hAnsi="Times New Roman"/>
          <w:sz w:val="16"/>
          <w:szCs w:val="16"/>
          <w:color w:val="auto"/>
        </w:rPr>
      </w:pPr>
    </w:p>
    <w:p>
      <w:pPr>
        <w:ind w:left="760" w:right="180" w:hanging="378"/>
        <w:spacing w:after="0" w:line="263" w:lineRule="auto"/>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38" w:lineRule="exact"/>
        <w:rPr>
          <w:rFonts w:ascii="Times New Roman" w:cs="Times New Roman" w:eastAsia="Times New Roman" w:hAnsi="Times New Roman"/>
          <w:sz w:val="16"/>
          <w:szCs w:val="16"/>
          <w:color w:val="auto"/>
        </w:rPr>
      </w:pPr>
    </w:p>
    <w:p>
      <w:pPr>
        <w:ind w:left="760" w:right="580" w:hanging="378"/>
        <w:spacing w:after="0" w:line="213" w:lineRule="exact"/>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identify and enter into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manufacturing arrangements capable of manufacturing any of our current or future product candidates in commercial quantities;</w:t>
      </w:r>
    </w:p>
    <w:p>
      <w:pPr>
        <w:spacing w:after="0" w:line="19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execution of other collaborative, licensing, or similar arrangements and the timing of payments we may make or receive under these arrangements;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the level of expenses related to our future development programs;</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 liability or intellectual property infringement lawsuit in which we may become involved;</w:t>
      </w:r>
    </w:p>
    <w:p>
      <w:pPr>
        <w:spacing w:after="0" w:line="20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our current products, or the products of our competitors; and</w:t>
      </w:r>
    </w:p>
    <w:p>
      <w:pPr>
        <w:spacing w:after="0" w:line="22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underlying demand for our products</w:t>
      </w:r>
    </w:p>
    <w:p>
      <w:pPr>
        <w:spacing w:after="0" w:line="221" w:lineRule="exact"/>
        <w:rPr>
          <w:sz w:val="20"/>
          <w:szCs w:val="20"/>
          <w:color w:val="auto"/>
        </w:rPr>
      </w:pPr>
    </w:p>
    <w:p>
      <w:pPr>
        <w:ind w:right="200" w:firstLine="749"/>
        <w:spacing w:after="0" w:line="263" w:lineRule="auto"/>
        <w:rPr>
          <w:sz w:val="20"/>
          <w:szCs w:val="20"/>
          <w:color w:val="auto"/>
        </w:rPr>
      </w:pPr>
      <w:r>
        <w:rPr>
          <w:rFonts w:ascii="Times New Roman" w:cs="Times New Roman" w:eastAsia="Times New Roman" w:hAnsi="Times New Roman"/>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6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60"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6"/>
          <w:szCs w:val="16"/>
          <w:color w:val="auto"/>
        </w:rPr>
        <w:t>Until such time, if ever, as we can generate substantial product revenues, we expect to finance our cash needs through a combination of equity offerings, debt financings, grants, and license and development agreements in connection with any collaborations.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2" w:lineRule="exact"/>
        <w:rPr>
          <w:sz w:val="20"/>
          <w:szCs w:val="20"/>
          <w:color w:val="auto"/>
        </w:rPr>
      </w:pPr>
    </w:p>
    <w:p>
      <w:pPr>
        <w:ind w:right="180" w:firstLine="749"/>
        <w:spacing w:after="0" w:line="249" w:lineRule="auto"/>
        <w:rPr>
          <w:sz w:val="20"/>
          <w:szCs w:val="20"/>
          <w:color w:val="auto"/>
        </w:rPr>
      </w:pPr>
      <w:r>
        <w:rPr>
          <w:rFonts w:ascii="Times New Roman" w:cs="Times New Roman" w:eastAsia="Times New Roman" w:hAnsi="Times New Roman"/>
          <w:sz w:val="16"/>
          <w:szCs w:val="16"/>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Our principal stockholders and management own a significant percentage of our stock and may be able to exert significant control over matters subject to stockholder approval.</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As of October 31, 2022, our executive officers, directors, and 5% stockholders and their affiliates beneficially owned an aggregate of approximately 40% of our</w:t>
      </w:r>
    </w:p>
    <w:p>
      <w:pPr>
        <w:spacing w:after="0" w:line="10"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16"/>
          <w:szCs w:val="16"/>
          <w:color w:val="auto"/>
        </w:rPr>
        <w:t>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w:t>
      </w:r>
    </w:p>
    <w:p>
      <w:pPr>
        <w:spacing w:after="0"/>
        <w:rPr>
          <w:sz w:val="20"/>
          <w:szCs w:val="20"/>
          <w:color w:val="auto"/>
        </w:rPr>
      </w:pPr>
      <w:r>
        <w:rPr>
          <w:rFonts w:ascii="Times New Roman" w:cs="Times New Roman" w:eastAsia="Times New Roman" w:hAnsi="Times New Roman"/>
          <w:sz w:val="16"/>
          <w:szCs w:val="16"/>
          <w:color w:val="auto"/>
        </w:rPr>
        <w:t>adversely affect the market price of our common stock.</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Some of these persons or entities may have interests different than our other stockholders. For example, these stockholders, if they acted together, could</w:t>
      </w:r>
    </w:p>
    <w:p>
      <w:pPr>
        <w:spacing w:after="0" w:line="10" w:lineRule="exact"/>
        <w:rPr>
          <w:sz w:val="20"/>
          <w:szCs w:val="20"/>
          <w:color w:val="auto"/>
        </w:rPr>
      </w:pPr>
    </w:p>
    <w:p>
      <w:pPr>
        <w:ind w:right="100"/>
        <w:spacing w:after="0" w:line="217" w:lineRule="auto"/>
        <w:rPr>
          <w:sz w:val="20"/>
          <w:szCs w:val="20"/>
          <w:color w:val="auto"/>
        </w:rPr>
      </w:pPr>
      <w:r>
        <w:rPr>
          <w:rFonts w:ascii="Times New Roman" w:cs="Times New Roman" w:eastAsia="Times New Roman" w:hAnsi="Times New Roman"/>
          <w:sz w:val="16"/>
          <w:szCs w:val="16"/>
          <w:color w:val="auto"/>
        </w:rPr>
        <w:t>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w:t>
      </w:r>
    </w:p>
    <w:p>
      <w:pPr>
        <w:ind w:right="100"/>
        <w:spacing w:after="0" w:line="231" w:lineRule="auto"/>
        <w:rPr>
          <w:sz w:val="20"/>
          <w:szCs w:val="20"/>
          <w:color w:val="auto"/>
        </w:rPr>
      </w:pPr>
      <w:r>
        <w:rPr>
          <w:rFonts w:ascii="Times New Roman" w:cs="Times New Roman" w:eastAsia="Times New Roman" w:hAnsi="Times New Roman"/>
          <w:sz w:val="16"/>
          <w:szCs w:val="16"/>
          <w:color w:val="auto"/>
        </w:rPr>
        <w:t>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of a substantial number of shares of our common stock in the public market by our existing stockholders could cause our stock price to fall.</w:t>
      </w:r>
    </w:p>
    <w:p>
      <w:pPr>
        <w:spacing w:after="0" w:line="198" w:lineRule="exact"/>
        <w:rPr>
          <w:sz w:val="20"/>
          <w:szCs w:val="20"/>
          <w:color w:val="auto"/>
        </w:rPr>
      </w:pPr>
    </w:p>
    <w:p>
      <w:pPr>
        <w:ind w:firstLine="749"/>
        <w:spacing w:after="0" w:line="231" w:lineRule="auto"/>
        <w:rPr>
          <w:sz w:val="20"/>
          <w:szCs w:val="20"/>
          <w:color w:val="auto"/>
        </w:rPr>
      </w:pPr>
      <w:r>
        <w:rPr>
          <w:rFonts w:ascii="Times New Roman" w:cs="Times New Roman" w:eastAsia="Times New Roman" w:hAnsi="Times New Roman"/>
          <w:sz w:val="16"/>
          <w:szCs w:val="16"/>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have on the prevailing market price of our common stock.</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As of October 31, 2022, we have outstanding 43,426,162 shares of common stock and 7,346,278 shares of common stock equivalents that would increase the</w:t>
      </w:r>
    </w:p>
    <w:p>
      <w:pPr>
        <w:spacing w:after="0" w:line="10"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16"/>
          <w:szCs w:val="16"/>
          <w:color w:val="auto"/>
        </w:rPr>
        <w:t>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35,424,162 are freely tradable. The remainder of the outstanding shares of common stock are held by our affiliates and may be considered “control securities” for purposes of Rule 144 under the Securities</w:t>
      </w:r>
    </w:p>
    <w:p>
      <w:pPr>
        <w:spacing w:after="0"/>
        <w:rPr>
          <w:sz w:val="20"/>
          <w:szCs w:val="20"/>
          <w:color w:val="auto"/>
        </w:rPr>
      </w:pPr>
      <w:r>
        <w:rPr>
          <w:rFonts w:ascii="Times New Roman" w:cs="Times New Roman" w:eastAsia="Times New Roman" w:hAnsi="Times New Roman"/>
          <w:sz w:val="16"/>
          <w:szCs w:val="16"/>
          <w:color w:val="auto"/>
        </w:rPr>
        <w:t>Act.</w:t>
      </w:r>
    </w:p>
    <w:p>
      <w:pPr>
        <w:spacing w:after="0" w:line="150" w:lineRule="exact"/>
        <w:rPr>
          <w:sz w:val="20"/>
          <w:szCs w:val="20"/>
          <w:color w:val="auto"/>
        </w:rPr>
      </w:pPr>
    </w:p>
    <w:p>
      <w:pPr>
        <w:ind w:left="760"/>
        <w:spacing w:after="0" w:line="184" w:lineRule="exact"/>
        <w:rPr>
          <w:sz w:val="20"/>
          <w:szCs w:val="20"/>
          <w:color w:val="auto"/>
        </w:rPr>
      </w:pPr>
      <w:r>
        <w:rPr>
          <w:rFonts w:ascii="Times New Roman" w:cs="Times New Roman" w:eastAsia="Times New Roman" w:hAnsi="Times New Roman"/>
          <w:sz w:val="16"/>
          <w:szCs w:val="16"/>
          <w:color w:val="auto"/>
        </w:rPr>
        <w:t>In addition, we have filed one or more registration statements on Form 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8 registering the issuance of an aggregate of 10,453,341 shares of common stock</w:t>
      </w:r>
    </w:p>
    <w:p>
      <w:pPr>
        <w:spacing w:after="0" w:line="36" w:lineRule="exact"/>
        <w:rPr>
          <w:sz w:val="20"/>
          <w:szCs w:val="20"/>
          <w:color w:val="auto"/>
        </w:rPr>
      </w:pPr>
    </w:p>
    <w:p>
      <w:pPr>
        <w:ind w:right="60"/>
        <w:spacing w:after="0" w:line="169" w:lineRule="exact"/>
        <w:rPr>
          <w:sz w:val="20"/>
          <w:szCs w:val="20"/>
          <w:color w:val="auto"/>
        </w:rPr>
      </w:pPr>
      <w:r>
        <w:rPr>
          <w:rFonts w:ascii="Times New Roman" w:cs="Times New Roman" w:eastAsia="Times New Roman" w:hAnsi="Times New Roman"/>
          <w:sz w:val="16"/>
          <w:szCs w:val="16"/>
          <w:color w:val="auto"/>
        </w:rPr>
        <w:t>subject to options 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8 will be available for sale in the public market subject to vesting arrangements and exercise of options, the lock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up agreements described</w:t>
      </w:r>
    </w:p>
    <w:p>
      <w:pPr>
        <w:spacing w:after="0"/>
        <w:rPr>
          <w:sz w:val="20"/>
          <w:szCs w:val="20"/>
          <w:color w:val="auto"/>
        </w:rPr>
      </w:pPr>
      <w:r>
        <w:rPr>
          <w:rFonts w:ascii="Times New Roman" w:cs="Times New Roman" w:eastAsia="Times New Roman" w:hAnsi="Times New Roman"/>
          <w:sz w:val="16"/>
          <w:szCs w:val="16"/>
          <w:color w:val="auto"/>
        </w:rPr>
        <w:t>above and the restrictions of Rule 144 in the case of our affiliates.</w:t>
      </w:r>
    </w:p>
    <w:p>
      <w:pPr>
        <w:spacing w:after="0" w:line="17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74" w:lineRule="exact"/>
        <w:rPr>
          <w:sz w:val="20"/>
          <w:szCs w:val="20"/>
          <w:color w:val="auto"/>
        </w:rPr>
      </w:pPr>
    </w:p>
    <w:p>
      <w:pPr>
        <w:ind w:right="160" w:firstLine="749"/>
        <w:spacing w:after="0" w:line="231" w:lineRule="auto"/>
        <w:rPr>
          <w:sz w:val="20"/>
          <w:szCs w:val="20"/>
          <w:color w:val="auto"/>
        </w:rPr>
      </w:pPr>
      <w:r>
        <w:rPr>
          <w:rFonts w:ascii="Times New Roman" w:cs="Times New Roman" w:eastAsia="Times New Roman" w:hAnsi="Times New Roman"/>
          <w:sz w:val="16"/>
          <w:szCs w:val="16"/>
          <w:color w:val="auto"/>
        </w:rPr>
        <w:t>Our management will have broad discretion in the application of the net proceeds from our capital raises, which we refer to as our Capital Raises, including the proceeds from sales pursuant to our March 2022 “at-the-market” sales agreement with SVB Securities, which provides for the sale of up to $250.0 million of our common</w:t>
      </w:r>
    </w:p>
    <w:p>
      <w:pPr>
        <w:spacing w:after="0" w:line="213" w:lineRule="auto"/>
        <w:rPr>
          <w:sz w:val="20"/>
          <w:szCs w:val="20"/>
          <w:color w:val="auto"/>
        </w:rPr>
      </w:pPr>
      <w:r>
        <w:rPr>
          <w:rFonts w:ascii="Times New Roman" w:cs="Times New Roman" w:eastAsia="Times New Roman" w:hAnsi="Times New Roman"/>
          <w:sz w:val="16"/>
          <w:szCs w:val="16"/>
          <w:color w:val="auto"/>
        </w:rPr>
        <w:t>stock from time to time, and our stockholders will not have the opportunity as part of their investment decision to assess whether the net proceeds from our Capital Raises</w:t>
      </w:r>
    </w:p>
    <w:p>
      <w:pPr>
        <w:spacing w:after="0" w:line="211" w:lineRule="auto"/>
        <w:rPr>
          <w:sz w:val="20"/>
          <w:szCs w:val="20"/>
          <w:color w:val="auto"/>
        </w:rPr>
      </w:pPr>
      <w:r>
        <w:rPr>
          <w:rFonts w:ascii="Times New Roman" w:cs="Times New Roman" w:eastAsia="Times New Roman" w:hAnsi="Times New Roman"/>
          <w:sz w:val="16"/>
          <w:szCs w:val="16"/>
          <w:color w:val="auto"/>
        </w:rPr>
        <w:t>are being used appropriately. Our stockholders may not agree with our decisions, and our use of the proceeds may not yield any return on investment for our stockholders.</w:t>
      </w:r>
    </w:p>
    <w:p>
      <w:pPr>
        <w:spacing w:after="0" w:line="229" w:lineRule="auto"/>
        <w:rPr>
          <w:sz w:val="20"/>
          <w:szCs w:val="20"/>
          <w:color w:val="auto"/>
        </w:rPr>
      </w:pPr>
      <w:r>
        <w:rPr>
          <w:rFonts w:ascii="Times New Roman" w:cs="Times New Roman" w:eastAsia="Times New Roman" w:hAnsi="Times New Roman"/>
          <w:sz w:val="16"/>
          <w:szCs w:val="16"/>
          <w:color w:val="auto"/>
        </w:rPr>
        <w:t>Because of the number and variability of factors that will determine our use of the net proceeds from our Capital Raises their ultimate use may vary substantially from their</w:t>
      </w:r>
    </w:p>
    <w:p>
      <w:pPr>
        <w:jc w:val="both"/>
        <w:ind w:right="100"/>
        <w:spacing w:after="0" w:line="220" w:lineRule="auto"/>
        <w:rPr>
          <w:sz w:val="20"/>
          <w:szCs w:val="20"/>
          <w:color w:val="auto"/>
        </w:rPr>
      </w:pPr>
      <w:r>
        <w:rPr>
          <w:rFonts w:ascii="Times New Roman" w:cs="Times New Roman" w:eastAsia="Times New Roman" w:hAnsi="Times New Roman"/>
          <w:sz w:val="16"/>
          <w:szCs w:val="16"/>
          <w:color w:val="auto"/>
        </w:rPr>
        <w:t>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w:t>
      </w:r>
    </w:p>
    <w:p>
      <w:pPr>
        <w:ind w:right="500"/>
        <w:spacing w:after="0" w:line="231" w:lineRule="auto"/>
        <w:rPr>
          <w:sz w:val="20"/>
          <w:szCs w:val="20"/>
          <w:color w:val="auto"/>
        </w:rPr>
      </w:pPr>
      <w:r>
        <w:rPr>
          <w:rFonts w:ascii="Times New Roman" w:cs="Times New Roman" w:eastAsia="Times New Roman" w:hAnsi="Times New Roman"/>
          <w:sz w:val="16"/>
          <w:szCs w:val="16"/>
          <w:color w:val="auto"/>
        </w:rPr>
        <w:t>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use of our net operating loss carryforwards and research tax credits may be limited.</w:t>
      </w:r>
    </w:p>
    <w:p>
      <w:pPr>
        <w:spacing w:after="0" w:line="225" w:lineRule="exact"/>
        <w:rPr>
          <w:sz w:val="20"/>
          <w:szCs w:val="20"/>
          <w:color w:val="auto"/>
        </w:rPr>
      </w:pPr>
    </w:p>
    <w:p>
      <w:pPr>
        <w:ind w:right="140" w:firstLine="749"/>
        <w:spacing w:after="0" w:line="225" w:lineRule="auto"/>
        <w:rPr>
          <w:sz w:val="20"/>
          <w:szCs w:val="20"/>
          <w:color w:val="auto"/>
        </w:rPr>
      </w:pPr>
      <w:r>
        <w:rPr>
          <w:rFonts w:ascii="Times New Roman" w:cs="Times New Roman" w:eastAsia="Times New Roman" w:hAnsi="Times New Roman"/>
          <w:sz w:val="16"/>
          <w:szCs w:val="16"/>
          <w:color w:val="auto"/>
        </w:rPr>
        <w:t>Our net operating loss carryforwards and any future research and development tax credits may expire and not be used. As of December 31, 2021, we had U.S. federal net operating loss, NOL, carryforwards of approximately $364 million. Net operating loss carry forwards amounting to $60 million generated before the 2018 tax year will start expiring beginning 2032, if we have not used them prior to that time, and the net operating losses of approximately $304 million generated in 2018 and later</w:t>
      </w:r>
    </w:p>
    <w:p>
      <w:pPr>
        <w:jc w:val="both"/>
        <w:ind w:right="60"/>
        <w:spacing w:after="0" w:line="220" w:lineRule="auto"/>
        <w:rPr>
          <w:sz w:val="20"/>
          <w:szCs w:val="20"/>
          <w:color w:val="auto"/>
        </w:rPr>
      </w:pPr>
      <w:r>
        <w:rPr>
          <w:rFonts w:ascii="Times New Roman" w:cs="Times New Roman" w:eastAsia="Times New Roman" w:hAnsi="Times New Roman"/>
          <w:sz w:val="16"/>
          <w:szCs w:val="16"/>
          <w:color w:val="auto"/>
        </w:rPr>
        <w:t>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w:t>
      </w:r>
    </w:p>
    <w:p>
      <w:pPr>
        <w:jc w:val="both"/>
        <w:ind w:right="300"/>
        <w:spacing w:after="0" w:line="217" w:lineRule="auto"/>
        <w:rPr>
          <w:sz w:val="20"/>
          <w:szCs w:val="20"/>
          <w:color w:val="auto"/>
        </w:rPr>
      </w:pPr>
      <w:r>
        <w:rPr>
          <w:rFonts w:ascii="Times New Roman" w:cs="Times New Roman" w:eastAsia="Times New Roman" w:hAnsi="Times New Roman"/>
          <w:sz w:val="16"/>
          <w:szCs w:val="16"/>
          <w:color w:val="auto"/>
        </w:rPr>
        <w:t>respectively, in the future will be limited under 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w:t>
      </w:r>
    </w:p>
    <w:p>
      <w:pPr>
        <w:ind w:right="400"/>
        <w:spacing w:after="0" w:line="220" w:lineRule="auto"/>
        <w:rPr>
          <w:sz w:val="20"/>
          <w:szCs w:val="20"/>
          <w:color w:val="auto"/>
        </w:rPr>
      </w:pPr>
      <w:r>
        <w:rPr>
          <w:rFonts w:ascii="Times New Roman" w:cs="Times New Roman" w:eastAsia="Times New Roman" w:hAnsi="Times New Roman"/>
          <w:sz w:val="16"/>
          <w:szCs w:val="16"/>
          <w:color w:val="auto"/>
        </w:rPr>
        <w:t>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w:t>
      </w:r>
    </w:p>
    <w:p>
      <w:pPr>
        <w:ind w:right="60"/>
        <w:spacing w:after="0" w:line="217" w:lineRule="auto"/>
        <w:rPr>
          <w:sz w:val="20"/>
          <w:szCs w:val="20"/>
          <w:color w:val="auto"/>
        </w:rPr>
      </w:pPr>
      <w:r>
        <w:rPr>
          <w:rFonts w:ascii="Times New Roman" w:cs="Times New Roman" w:eastAsia="Times New Roman" w:hAnsi="Times New Roman"/>
          <w:sz w:val="16"/>
          <w:szCs w:val="16"/>
          <w:color w:val="auto"/>
        </w:rPr>
        <w:t>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w:t>
      </w:r>
    </w:p>
    <w:p>
      <w:pPr>
        <w:spacing w:after="0"/>
        <w:rPr>
          <w:sz w:val="20"/>
          <w:szCs w:val="20"/>
          <w:color w:val="auto"/>
        </w:rPr>
      </w:pPr>
      <w:r>
        <w:rPr>
          <w:rFonts w:ascii="Times New Roman" w:cs="Times New Roman" w:eastAsia="Times New Roman" w:hAnsi="Times New Roman"/>
          <w:sz w:val="16"/>
          <w:szCs w:val="16"/>
          <w:color w:val="auto"/>
        </w:rPr>
        <w:t>states in which we are subject to income tax could have an adverse impact on our results of operations and financial condition.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On March 27, 2020, the Coronavirus Aid, Relief, and Economic Security Act, or the CARES Act, was enacted and signed into law, and GAAP requires</w:t>
      </w:r>
    </w:p>
    <w:p>
      <w:pPr>
        <w:spacing w:after="0" w:line="10"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6"/>
          <w:szCs w:val="16"/>
          <w:color w:val="auto"/>
        </w:rPr>
        <w:t>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NOLs, carryovers and</w:t>
      </w:r>
    </w:p>
    <w:p>
      <w:pPr>
        <w:ind w:right="40"/>
        <w:spacing w:after="0" w:line="217" w:lineRule="auto"/>
        <w:rPr>
          <w:sz w:val="20"/>
          <w:szCs w:val="20"/>
          <w:color w:val="auto"/>
        </w:rPr>
      </w:pPr>
      <w:r>
        <w:rPr>
          <w:rFonts w:ascii="Times New Roman" w:cs="Times New Roman" w:eastAsia="Times New Roman" w:hAnsi="Times New Roman"/>
          <w:sz w:val="16"/>
          <w:szCs w:val="16"/>
          <w:color w:val="auto"/>
        </w:rPr>
        <w:t>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 benefit to us or</w:t>
      </w:r>
    </w:p>
    <w:p>
      <w:pPr>
        <w:spacing w:after="0"/>
        <w:rPr>
          <w:sz w:val="20"/>
          <w:szCs w:val="20"/>
          <w:color w:val="auto"/>
        </w:rPr>
      </w:pPr>
      <w:r>
        <w:rPr>
          <w:rFonts w:ascii="Times New Roman" w:cs="Times New Roman" w:eastAsia="Times New Roman" w:hAnsi="Times New Roman"/>
          <w:sz w:val="16"/>
          <w:szCs w:val="16"/>
          <w:color w:val="auto"/>
        </w:rPr>
        <w:t>have a material impact on our financial statements or internal controls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Because we do not intend to pay dividends on our common stock, returns for our stockholders will be limited to any increase in the value of our stock.</w:t>
      </w:r>
    </w:p>
    <w:p>
      <w:pPr>
        <w:spacing w:after="0" w:line="225" w:lineRule="exact"/>
        <w:rPr>
          <w:sz w:val="20"/>
          <w:szCs w:val="20"/>
          <w:color w:val="auto"/>
        </w:rPr>
      </w:pPr>
    </w:p>
    <w:p>
      <w:pPr>
        <w:ind w:right="100" w:firstLine="749"/>
        <w:spacing w:after="0" w:line="252" w:lineRule="auto"/>
        <w:rPr>
          <w:sz w:val="20"/>
          <w:szCs w:val="20"/>
          <w:color w:val="auto"/>
        </w:rPr>
      </w:pPr>
      <w:r>
        <w:rPr>
          <w:rFonts w:ascii="Times New Roman" w:cs="Times New Roman" w:eastAsia="Times New Roman" w:hAnsi="Times New Roman"/>
          <w:sz w:val="16"/>
          <w:szCs w:val="16"/>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8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60"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16"/>
          <w:szCs w:val="16"/>
          <w:color w:val="auto"/>
        </w:rPr>
        <w:t>There are provisions in our amended and restated certificate of incorporation and amended and restated bylaws that may make it difficult for a third-party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52" w:lineRule="exact"/>
        <w:rPr>
          <w:sz w:val="20"/>
          <w:szCs w:val="20"/>
          <w:color w:val="auto"/>
        </w:rPr>
      </w:pPr>
    </w:p>
    <w:p>
      <w:pPr>
        <w:ind w:firstLine="749"/>
        <w:spacing w:after="0" w:line="198" w:lineRule="exact"/>
        <w:rPr>
          <w:sz w:val="20"/>
          <w:szCs w:val="20"/>
          <w:color w:val="auto"/>
        </w:rPr>
      </w:pPr>
      <w:r>
        <w:rPr>
          <w:rFonts w:ascii="Times New Roman" w:cs="Times New Roman" w:eastAsia="Times New Roman" w:hAnsi="Times New Roman"/>
          <w:sz w:val="16"/>
          <w:szCs w:val="16"/>
          <w:color w:val="auto"/>
        </w:rPr>
        <w:t>In addition, we are subject to the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2"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6"/>
          <w:szCs w:val="16"/>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89"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6"/>
          <w:szCs w:val="16"/>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94"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6"/>
          <w:szCs w:val="16"/>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exhibits filed as part of this Quarterly Report on Form 10-Q are set forth on the Exhibit Index, which is incorporated herein by reference.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20" w:type="dxa"/>
            <w:vAlign w:val="bottom"/>
            <w:gridSpan w:val="5"/>
          </w:tcPr>
          <w:p>
            <w:pPr>
              <w:ind w:left="3000"/>
              <w:spacing w:after="0"/>
              <w:rPr>
                <w:sz w:val="20"/>
                <w:szCs w:val="20"/>
                <w:color w:val="auto"/>
              </w:rPr>
            </w:pPr>
            <w:r>
              <w:rPr>
                <w:rFonts w:ascii="Times New Roman" w:cs="Times New Roman" w:eastAsia="Times New Roman" w:hAnsi="Times New Roman"/>
                <w:sz w:val="16"/>
                <w:szCs w:val="16"/>
                <w:b w:val="1"/>
                <w:bCs w:val="1"/>
                <w:color w:val="auto"/>
              </w:rPr>
              <w:t>INDEX OF EXHIBITS</w:t>
            </w:r>
          </w:p>
        </w:tc>
      </w:tr>
      <w:tr>
        <w:trPr>
          <w:trHeight w:val="323"/>
        </w:trPr>
        <w:tc>
          <w:tcPr>
            <w:tcW w:w="102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1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gridSpan w:val="5"/>
          </w:tcPr>
          <w:p>
            <w:pPr>
              <w:ind w:left="406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9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6"/>
                <w:szCs w:val="16"/>
                <w:color w:val="0563C1"/>
              </w:rPr>
              <w:t>Certification of Principal Executive Officer pursuant to Rule 13a-14(a)/15d-14(a), as adopted pursuant to Section 302 of the Sarbanes-Oxley Act of 2002.</w:t>
            </w: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4"/>
                <w:szCs w:val="24"/>
                <w:color w:val="auto"/>
              </w:rPr>
            </w:pPr>
          </w:p>
        </w:tc>
        <w:tc>
          <w:tcPr>
            <w:tcW w:w="20" w:type="dxa"/>
            <w:vAlign w:val="bottom"/>
            <w:tcBorders>
              <w:top w:val="single" w:sz="8" w:color="0000EE"/>
              <w:bottom w:val="single" w:sz="8" w:color="0000EE"/>
            </w:tcBorders>
          </w:tcPr>
          <w:p>
            <w:pPr>
              <w:spacing w:after="0"/>
              <w:rPr>
                <w:sz w:val="24"/>
                <w:szCs w:val="24"/>
                <w:color w:val="auto"/>
              </w:rPr>
            </w:pPr>
          </w:p>
        </w:tc>
        <w:tc>
          <w:tcPr>
            <w:tcW w:w="9920" w:type="dxa"/>
            <w:vAlign w:val="bottom"/>
            <w:tcBorders>
              <w:top w:val="single" w:sz="8" w:color="0563C1"/>
              <w:bottom w:val="single" w:sz="8" w:color="0563C1"/>
            </w:tcBorders>
            <w:gridSpan w:val="2"/>
          </w:tcPr>
          <w:p>
            <w:pPr>
              <w:spacing w:after="0"/>
              <w:rPr>
                <w:sz w:val="20"/>
                <w:szCs w:val="20"/>
                <w:color w:val="auto"/>
              </w:rPr>
            </w:pPr>
            <w:r>
              <w:rPr>
                <w:rFonts w:ascii="Times New Roman" w:cs="Times New Roman" w:eastAsia="Times New Roman" w:hAnsi="Times New Roman"/>
                <w:sz w:val="16"/>
                <w:szCs w:val="16"/>
                <w:color w:val="0563C1"/>
              </w:rPr>
              <w:t>Certification of Principal Financial Officer pursuant to Rule 13a-14(a)/15d-14(a), as adopted pursuant to Section 302 of the Sarbanes-Oxley Act of 2002.</w:t>
            </w:r>
          </w:p>
        </w:tc>
        <w:tc>
          <w:tcPr>
            <w:tcW w:w="40" w:type="dxa"/>
            <w:vAlign w:val="bottom"/>
            <w:tcBorders>
              <w:top w:val="single" w:sz="8" w:color="0563C1"/>
            </w:tcBorders>
          </w:tcPr>
          <w:p>
            <w:pPr>
              <w:spacing w:after="0"/>
              <w:rPr>
                <w:sz w:val="24"/>
                <w:szCs w:val="24"/>
                <w:color w:val="auto"/>
              </w:rPr>
            </w:pPr>
          </w:p>
        </w:tc>
        <w:tc>
          <w:tcPr>
            <w:tcW w:w="120" w:type="dxa"/>
            <w:vAlign w:val="bottom"/>
            <w:gridSpan w:val="3"/>
          </w:tcPr>
          <w:p>
            <w:pPr>
              <w:spacing w:after="0"/>
              <w:rPr>
                <w:sz w:val="24"/>
                <w:szCs w:val="24"/>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6"/>
                <w:szCs w:val="16"/>
                <w:color w:val="0563C1"/>
              </w:rPr>
              <w:t>Certification of Principal Executive Officer pursuant to 18 U.S.C. §1350, as adopted pursuant to Section 906 of the Sarbanes-Oxley Act of 2002 (furnished</w:t>
            </w:r>
          </w:p>
        </w:tc>
      </w:tr>
      <w:tr>
        <w:trPr>
          <w:trHeight w:val="142"/>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660" w:type="dxa"/>
            <w:vAlign w:val="bottom"/>
            <w:tcBorders>
              <w:top w:val="single" w:sz="8" w:color="0563C1"/>
              <w:bottom w:val="single" w:sz="8" w:color="0563C1"/>
            </w:tcBorders>
          </w:tcPr>
          <w:p>
            <w:pPr>
              <w:spacing w:after="0" w:line="142" w:lineRule="exact"/>
              <w:rPr>
                <w:sz w:val="20"/>
                <w:szCs w:val="20"/>
                <w:color w:val="auto"/>
              </w:rPr>
            </w:pPr>
            <w:r>
              <w:rPr>
                <w:rFonts w:ascii="Times New Roman" w:cs="Times New Roman" w:eastAsia="Times New Roman" w:hAnsi="Times New Roman"/>
                <w:sz w:val="16"/>
                <w:szCs w:val="16"/>
                <w:color w:val="0563C1"/>
                <w:w w:val="97"/>
              </w:rPr>
              <w:t>herewith).</w:t>
            </w:r>
          </w:p>
        </w:tc>
        <w:tc>
          <w:tcPr>
            <w:tcW w:w="9400" w:type="dxa"/>
            <w:vAlign w:val="bottom"/>
            <w:tcBorders>
              <w:top w:val="single" w:sz="8" w:color="0563C1"/>
            </w:tcBorders>
            <w:gridSpan w:val="4"/>
          </w:tcPr>
          <w:p>
            <w:pPr>
              <w:spacing w:after="0"/>
              <w:rPr>
                <w:sz w:val="12"/>
                <w:szCs w:val="12"/>
                <w:color w:val="auto"/>
              </w:rPr>
            </w:pPr>
          </w:p>
        </w:tc>
        <w:tc>
          <w:tcPr>
            <w:tcW w:w="20" w:type="dxa"/>
            <w:vAlign w:val="bottom"/>
          </w:tcPr>
          <w:p>
            <w:pPr>
              <w:spacing w:after="0"/>
              <w:rPr>
                <w:sz w:val="12"/>
                <w:szCs w:val="12"/>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6"/>
                <w:szCs w:val="16"/>
                <w:color w:val="0563C1"/>
              </w:rPr>
              <w:t>Certification of Principal Financial Officer pursuant to 18 U.S.C. §1350, as adopted pursuant to Section 906 of the Sarbanes-Oxley Act of 2002 (furnished</w:t>
            </w:r>
          </w:p>
        </w:tc>
      </w:tr>
      <w:tr>
        <w:trPr>
          <w:trHeight w:val="142"/>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660" w:type="dxa"/>
            <w:vAlign w:val="bottom"/>
            <w:tcBorders>
              <w:top w:val="single" w:sz="8" w:color="0563C1"/>
              <w:bottom w:val="single" w:sz="8" w:color="0563C1"/>
            </w:tcBorders>
          </w:tcPr>
          <w:p>
            <w:pPr>
              <w:spacing w:after="0" w:line="142" w:lineRule="exact"/>
              <w:rPr>
                <w:sz w:val="20"/>
                <w:szCs w:val="20"/>
                <w:color w:val="auto"/>
              </w:rPr>
            </w:pPr>
            <w:r>
              <w:rPr>
                <w:rFonts w:ascii="Times New Roman" w:cs="Times New Roman" w:eastAsia="Times New Roman" w:hAnsi="Times New Roman"/>
                <w:sz w:val="16"/>
                <w:szCs w:val="16"/>
                <w:color w:val="0563C1"/>
                <w:w w:val="97"/>
              </w:rPr>
              <w:t>herewith).</w:t>
            </w:r>
          </w:p>
        </w:tc>
        <w:tc>
          <w:tcPr>
            <w:tcW w:w="9380" w:type="dxa"/>
            <w:vAlign w:val="bottom"/>
            <w:tcBorders>
              <w:top w:val="single" w:sz="8" w:color="0563C1"/>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 Interactive Data File because its XBRL tags are embedded within the</w:t>
            </w: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33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Database Document</w:t>
            </w: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tc>
      </w:tr>
    </w:tbl>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3" w:lineRule="exact"/>
        <w:rPr>
          <w:sz w:val="20"/>
          <w:szCs w:val="20"/>
          <w:color w:val="auto"/>
        </w:rPr>
      </w:pPr>
    </w:p>
    <w:p>
      <w:pPr>
        <w:ind w:right="400" w:firstLine="749"/>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7540" w:type="dxa"/>
            <w:vAlign w:val="bottom"/>
            <w:gridSpan w:val="2"/>
          </w:tcPr>
          <w:p>
            <w:pPr>
              <w:ind w:left="2060"/>
              <w:spacing w:after="0"/>
              <w:rPr>
                <w:sz w:val="20"/>
                <w:szCs w:val="20"/>
                <w:color w:val="auto"/>
              </w:rPr>
            </w:pPr>
            <w:r>
              <w:rPr>
                <w:rFonts w:ascii="Times New Roman" w:cs="Times New Roman" w:eastAsia="Times New Roman" w:hAnsi="Times New Roman"/>
                <w:sz w:val="16"/>
                <w:szCs w:val="16"/>
                <w:color w:val="auto"/>
              </w:rPr>
              <w:t>AXSOME THERAPEUTICS, INC.</w:t>
            </w:r>
          </w:p>
        </w:tc>
      </w:tr>
      <w:tr>
        <w:trPr>
          <w:trHeight w:val="5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7, 2022</w:t>
            </w:r>
          </w:p>
        </w:tc>
        <w:tc>
          <w:tcPr>
            <w:tcW w:w="238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207"/>
        </w:trPr>
        <w:tc>
          <w:tcPr>
            <w:tcW w:w="3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r>
      <w:tr>
        <w:trPr>
          <w:trHeight w:val="243"/>
        </w:trPr>
        <w:tc>
          <w:tcPr>
            <w:tcW w:w="36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56"/>
        </w:trPr>
        <w:tc>
          <w:tcPr>
            <w:tcW w:w="36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773"/>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7, 2022</w:t>
            </w:r>
          </w:p>
        </w:tc>
        <w:tc>
          <w:tcPr>
            <w:tcW w:w="238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Nick Pizzie</w:t>
            </w:r>
          </w:p>
        </w:tc>
      </w:tr>
      <w:tr>
        <w:trPr>
          <w:trHeight w:val="207"/>
        </w:trPr>
        <w:tc>
          <w:tcPr>
            <w:tcW w:w="3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Nick Pizzie</w:t>
            </w:r>
          </w:p>
        </w:tc>
      </w:tr>
      <w:tr>
        <w:trPr>
          <w:trHeight w:val="243"/>
        </w:trPr>
        <w:tc>
          <w:tcPr>
            <w:tcW w:w="36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57"/>
        </w:trPr>
        <w:tc>
          <w:tcPr>
            <w:tcW w:w="36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bl>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Herriot Tabuteau, M.D.,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08"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sz w:val="20"/>
          <w:szCs w:val="20"/>
          <w:color w:val="auto"/>
        </w:rPr>
      </w:pPr>
    </w:p>
    <w:p>
      <w:pPr>
        <w:jc w:val="both"/>
        <w:ind w:left="760" w:right="20" w:hanging="360"/>
        <w:spacing w:after="0" w:line="263"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sz w:val="20"/>
          <w:szCs w:val="20"/>
          <w:color w:val="auto"/>
        </w:rPr>
      </w:pPr>
    </w:p>
    <w:p>
      <w:pPr>
        <w:ind w:left="760" w:right="20" w:hanging="360"/>
        <w:spacing w:after="0" w:line="263"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sz w:val="20"/>
          <w:szCs w:val="20"/>
          <w:color w:val="auto"/>
        </w:rPr>
      </w:pPr>
    </w:p>
    <w:p>
      <w:pPr>
        <w:ind w:left="760" w:right="520" w:hanging="360"/>
        <w:spacing w:after="0" w:line="280"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sz w:val="20"/>
          <w:szCs w:val="20"/>
          <w:color w:val="auto"/>
        </w:rPr>
      </w:pPr>
    </w:p>
    <w:p>
      <w:pPr>
        <w:jc w:val="both"/>
        <w:ind w:left="760" w:right="160" w:hanging="360"/>
        <w:spacing w:after="0" w:line="254"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760" w:right="40" w:hanging="360"/>
        <w:spacing w:after="0" w:line="280"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sz w:val="20"/>
          <w:szCs w:val="20"/>
          <w:color w:val="auto"/>
        </w:rPr>
      </w:pPr>
    </w:p>
    <w:p>
      <w:pPr>
        <w:ind w:left="760" w:right="300" w:hanging="360"/>
        <w:spacing w:after="0" w:line="280"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November 7, 2022</w:t>
      </w:r>
      <w:r>
        <w:rPr>
          <w:sz w:val="20"/>
          <w:szCs w:val="20"/>
          <w:color w:val="auto"/>
        </w:rPr>
        <w:tab/>
      </w:r>
      <w:r>
        <w:rPr>
          <w:rFonts w:ascii="Times New Roman" w:cs="Times New Roman" w:eastAsia="Times New Roman" w:hAnsi="Times New Roman"/>
          <w:sz w:val="16"/>
          <w:szCs w:val="16"/>
          <w:color w:val="auto"/>
        </w:rPr>
        <w:t>/s/ Herriot Tabuteau, M.D.</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-116205</wp:posOffset>
            </wp:positionV>
            <wp:extent cx="356616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Nick Pizzie, certify that: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21"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sz w:val="20"/>
          <w:szCs w:val="20"/>
          <w:color w:val="auto"/>
        </w:rPr>
      </w:pPr>
    </w:p>
    <w:p>
      <w:pPr>
        <w:jc w:val="both"/>
        <w:ind w:left="760" w:right="20" w:hanging="360"/>
        <w:spacing w:after="0" w:line="263"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sz w:val="20"/>
          <w:szCs w:val="20"/>
          <w:color w:val="auto"/>
        </w:rPr>
      </w:pPr>
    </w:p>
    <w:p>
      <w:pPr>
        <w:ind w:left="760" w:right="20" w:hanging="360"/>
        <w:spacing w:after="0" w:line="263"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sz w:val="20"/>
          <w:szCs w:val="20"/>
          <w:color w:val="auto"/>
        </w:rPr>
      </w:pPr>
    </w:p>
    <w:p>
      <w:pPr>
        <w:ind w:left="760" w:right="520" w:hanging="360"/>
        <w:spacing w:after="0" w:line="263"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sz w:val="20"/>
          <w:szCs w:val="20"/>
          <w:color w:val="auto"/>
        </w:rPr>
      </w:pPr>
    </w:p>
    <w:p>
      <w:pPr>
        <w:jc w:val="both"/>
        <w:ind w:left="760" w:right="160" w:hanging="360"/>
        <w:spacing w:after="0" w:line="254"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sz w:val="20"/>
          <w:szCs w:val="20"/>
          <w:color w:val="auto"/>
        </w:rPr>
      </w:pPr>
    </w:p>
    <w:p>
      <w:pPr>
        <w:ind w:left="760" w:right="40" w:hanging="360"/>
        <w:spacing w:after="0" w:line="280"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sz w:val="20"/>
          <w:szCs w:val="20"/>
          <w:color w:val="auto"/>
        </w:rPr>
      </w:pPr>
    </w:p>
    <w:p>
      <w:pPr>
        <w:ind w:left="760" w:right="300" w:hanging="360"/>
        <w:spacing w:after="0" w:line="280"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November 7, 2022</w:t>
      </w:r>
      <w:r>
        <w:rPr>
          <w:sz w:val="20"/>
          <w:szCs w:val="20"/>
          <w:color w:val="auto"/>
        </w:rPr>
        <w:tab/>
      </w:r>
      <w:r>
        <w:rPr>
          <w:rFonts w:ascii="Times New Roman" w:cs="Times New Roman" w:eastAsia="Times New Roman" w:hAnsi="Times New Roman"/>
          <w:sz w:val="16"/>
          <w:szCs w:val="16"/>
          <w:color w:val="auto"/>
        </w:rPr>
        <w:t>/s/ Nick Pizzie</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-116205</wp:posOffset>
            </wp:positionV>
            <wp:extent cx="3566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EXECUTIVE OFFICER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0" w:lineRule="exact"/>
        <w:rPr>
          <w:sz w:val="20"/>
          <w:szCs w:val="20"/>
          <w:color w:val="auto"/>
        </w:rPr>
      </w:pPr>
    </w:p>
    <w:p>
      <w:pPr>
        <w:ind w:right="160" w:firstLine="449"/>
        <w:spacing w:after="0" w:line="254"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September 30, 2022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72"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2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November 7, 2022</w:t>
      </w:r>
      <w:r>
        <w:rPr>
          <w:sz w:val="20"/>
          <w:szCs w:val="20"/>
          <w:color w:val="auto"/>
        </w:rPr>
        <w:tab/>
      </w:r>
      <w:r>
        <w:rPr>
          <w:rFonts w:ascii="Times New Roman" w:cs="Times New Roman" w:eastAsia="Times New Roman" w:hAnsi="Times New Roman"/>
          <w:sz w:val="16"/>
          <w:szCs w:val="16"/>
          <w:color w:val="auto"/>
        </w:rPr>
        <w:t>/s/ Herriot Tabuteau, M.D.</w:t>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-113665</wp:posOffset>
            </wp:positionV>
            <wp:extent cx="3566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40"/>
        <w:spacing w:after="0" w:line="228" w:lineRule="auto"/>
        <w:rPr>
          <w:sz w:val="20"/>
          <w:szCs w:val="20"/>
          <w:color w:val="auto"/>
        </w:rPr>
      </w:pPr>
      <w:r>
        <w:rPr>
          <w:rFonts w:ascii="Times New Roman" w:cs="Times New Roman" w:eastAsia="Times New Roman" w:hAnsi="Times New Roman"/>
          <w:sz w:val="16"/>
          <w:szCs w:val="16"/>
          <w:color w:val="auto"/>
        </w:rPr>
        <w:t>Chief Executive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FINANCIAL OFFICER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0" w:lineRule="exact"/>
        <w:rPr>
          <w:sz w:val="20"/>
          <w:szCs w:val="20"/>
          <w:color w:val="auto"/>
        </w:rPr>
      </w:pPr>
    </w:p>
    <w:p>
      <w:pPr>
        <w:ind w:right="220" w:firstLine="449"/>
        <w:spacing w:after="0" w:line="254"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September 30, 2022 as filed with the Securities and Exchange Commission (the “Report”), I, Nick Pizzie, Chief Financial Officer of the Company, certify, pursuant to 18 U.S.C. §1350, as adopted pursuant to §906 of the Sarbanes-Oxley Act of 2002, that, based on my knowledge:</w:t>
      </w:r>
    </w:p>
    <w:p>
      <w:pPr>
        <w:spacing w:after="0" w:line="172"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2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November 7, 2022</w:t>
      </w:r>
      <w:r>
        <w:rPr>
          <w:sz w:val="20"/>
          <w:szCs w:val="20"/>
          <w:color w:val="auto"/>
        </w:rPr>
        <w:tab/>
      </w:r>
      <w:r>
        <w:rPr>
          <w:rFonts w:ascii="Times New Roman" w:cs="Times New Roman" w:eastAsia="Times New Roman" w:hAnsi="Times New Roman"/>
          <w:sz w:val="16"/>
          <w:szCs w:val="16"/>
          <w:color w:val="auto"/>
        </w:rPr>
        <w:t>/s/ Nick Pizzie</w:t>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-113665</wp:posOffset>
            </wp:positionV>
            <wp:extent cx="3566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40"/>
        <w:spacing w:after="0" w:line="228"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03" w:name="page104"/>
    <w:bookmarkEnd w:id="10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2022-11-07T17:12:03Z</dcterms:created>
  <dcterms:modified xsi:type="dcterms:W3CDTF">2022-11-07T17:12:03Z</dcterms:modified>
</cp:coreProperties>
</file>