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153670</wp:posOffset>
            </wp:positionH>
            <wp:positionV relativeFrom="page">
              <wp:posOffset>299085</wp:posOffset>
            </wp:positionV>
            <wp:extent cx="725424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24130"/>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331470</wp:posOffset>
            </wp:positionV>
            <wp:extent cx="7254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8255"/>
                    </a:xfrm>
                    <a:prstGeom prst="rect">
                      <a:avLst/>
                    </a:prstGeom>
                    <a:noFill/>
                  </pic:spPr>
                </pic:pic>
              </a:graphicData>
            </a:graphic>
          </wp:anchor>
        </w:drawing>
        <w:t>UNITED STATES</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7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133350</wp:posOffset>
            </wp:positionV>
            <wp:extent cx="7254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367" w:lineRule="exact"/>
        <w:rPr>
          <w:sz w:val="24"/>
          <w:szCs w:val="24"/>
          <w:color w:val="auto"/>
        </w:rPr>
      </w:pPr>
    </w:p>
    <w:p>
      <w:pPr>
        <w:jc w:val="center"/>
        <w:ind w:right="-2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7254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Pursuant to Section 13 or 15(D)</w:t>
      </w:r>
    </w:p>
    <w:p>
      <w:pPr>
        <w:spacing w:after="0" w:line="8"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96"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December 3, 2019</w:t>
      </w:r>
    </w:p>
    <w:p>
      <w:pPr>
        <w:spacing w:after="0" w:line="24"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135255</wp:posOffset>
            </wp:positionV>
            <wp:extent cx="7254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370" w:lineRule="exact"/>
        <w:rPr>
          <w:sz w:val="24"/>
          <w:szCs w:val="24"/>
          <w:color w:val="auto"/>
        </w:rPr>
      </w:pPr>
    </w:p>
    <w:p>
      <w:pPr>
        <w:jc w:val="center"/>
        <w:ind w:right="-279"/>
        <w:spacing w:after="0"/>
        <w:rPr>
          <w:sz w:val="20"/>
          <w:szCs w:val="20"/>
          <w:color w:val="auto"/>
        </w:rPr>
      </w:pPr>
      <w:r>
        <w:rPr>
          <w:rFonts w:ascii="Arial" w:cs="Arial" w:eastAsia="Arial" w:hAnsi="Arial"/>
          <w:sz w:val="31"/>
          <w:szCs w:val="31"/>
          <w:b w:val="1"/>
          <w:bCs w:val="1"/>
          <w:color w:val="auto"/>
        </w:rPr>
        <w:t>Axsome Therapeutics, Inc.</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133350</wp:posOffset>
            </wp:positionV>
            <wp:extent cx="7254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140"/>
          </w:cols>
          <w:pgMar w:left="240" w:top="699" w:right="51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500"/>
        <w:spacing w:after="0"/>
        <w:rPr>
          <w:sz w:val="20"/>
          <w:szCs w:val="20"/>
          <w:color w:val="auto"/>
        </w:rPr>
      </w:pPr>
      <w:r>
        <w:rPr>
          <w:rFonts w:ascii="Arial" w:cs="Arial" w:eastAsia="Arial" w:hAnsi="Arial"/>
          <w:sz w:val="17"/>
          <w:szCs w:val="17"/>
          <w:b w:val="1"/>
          <w:bCs w:val="1"/>
          <w:color w:val="auto"/>
        </w:rPr>
        <w:t>Delaware</w:t>
      </w:r>
    </w:p>
    <w:p>
      <w:pPr>
        <w:spacing w:after="0" w:line="24" w:lineRule="exact"/>
        <w:rPr>
          <w:sz w:val="24"/>
          <w:szCs w:val="24"/>
          <w:color w:val="auto"/>
        </w:rPr>
      </w:pPr>
    </w:p>
    <w:p>
      <w:pPr>
        <w:ind w:left="920"/>
        <w:spacing w:after="0"/>
        <w:rPr>
          <w:sz w:val="20"/>
          <w:szCs w:val="20"/>
          <w:color w:val="auto"/>
        </w:rPr>
      </w:pPr>
      <w:r>
        <w:rPr>
          <w:rFonts w:ascii="Arial" w:cs="Arial" w:eastAsia="Arial" w:hAnsi="Arial"/>
          <w:sz w:val="15"/>
          <w:szCs w:val="15"/>
          <w:color w:val="auto"/>
        </w:rPr>
        <w:t>(State or other jurisdiction</w:t>
      </w:r>
    </w:p>
    <w:p>
      <w:pPr>
        <w:spacing w:after="0" w:line="31" w:lineRule="exact"/>
        <w:rPr>
          <w:sz w:val="24"/>
          <w:szCs w:val="24"/>
          <w:color w:val="auto"/>
        </w:rPr>
      </w:pPr>
    </w:p>
    <w:p>
      <w:pPr>
        <w:ind w:left="126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2060"/>
        <w:spacing w:after="0"/>
        <w:rPr>
          <w:sz w:val="20"/>
          <w:szCs w:val="20"/>
          <w:color w:val="auto"/>
        </w:rPr>
      </w:pPr>
      <w:r>
        <w:rPr>
          <w:rFonts w:ascii="Arial" w:cs="Arial" w:eastAsia="Arial" w:hAnsi="Arial"/>
          <w:sz w:val="17"/>
          <w:szCs w:val="17"/>
          <w:b w:val="1"/>
          <w:bCs w:val="1"/>
          <w:color w:val="auto"/>
        </w:rPr>
        <w:t>001-37635</w:t>
      </w:r>
    </w:p>
    <w:p>
      <w:pPr>
        <w:spacing w:after="0" w:line="24" w:lineRule="exact"/>
        <w:rPr>
          <w:sz w:val="24"/>
          <w:szCs w:val="24"/>
          <w:color w:val="auto"/>
        </w:rPr>
      </w:pPr>
    </w:p>
    <w:p>
      <w:pPr>
        <w:jc w:val="center"/>
        <w:ind w:right="2060"/>
        <w:spacing w:after="0"/>
        <w:rPr>
          <w:sz w:val="20"/>
          <w:szCs w:val="20"/>
          <w:color w:val="auto"/>
        </w:rPr>
      </w:pPr>
      <w:r>
        <w:rPr>
          <w:rFonts w:ascii="Arial" w:cs="Arial" w:eastAsia="Arial" w:hAnsi="Arial"/>
          <w:sz w:val="15"/>
          <w:szCs w:val="15"/>
          <w:color w:val="auto"/>
        </w:rPr>
        <w:t>(Commission</w:t>
      </w:r>
    </w:p>
    <w:p>
      <w:pPr>
        <w:spacing w:after="0" w:line="31" w:lineRule="exact"/>
        <w:rPr>
          <w:sz w:val="24"/>
          <w:szCs w:val="24"/>
          <w:color w:val="auto"/>
        </w:rPr>
      </w:pPr>
    </w:p>
    <w:p>
      <w:pPr>
        <w:jc w:val="center"/>
        <w:ind w:right="2060"/>
        <w:spacing w:after="0"/>
        <w:rPr>
          <w:sz w:val="20"/>
          <w:szCs w:val="20"/>
          <w:color w:val="auto"/>
        </w:rPr>
      </w:pPr>
      <w:r>
        <w:rPr>
          <w:rFonts w:ascii="Arial" w:cs="Arial" w:eastAsia="Arial" w:hAnsi="Arial"/>
          <w:sz w:val="15"/>
          <w:szCs w:val="15"/>
          <w:color w:val="auto"/>
        </w:rPr>
        <w:t>File Number)</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ind w:left="240"/>
        <w:spacing w:after="0"/>
        <w:rPr>
          <w:sz w:val="20"/>
          <w:szCs w:val="20"/>
          <w:color w:val="auto"/>
        </w:rPr>
      </w:pPr>
      <w:r>
        <w:rPr>
          <w:rFonts w:ascii="Arial" w:cs="Arial" w:eastAsia="Arial" w:hAnsi="Arial"/>
          <w:sz w:val="17"/>
          <w:szCs w:val="17"/>
          <w:b w:val="1"/>
          <w:bCs w:val="1"/>
          <w:color w:val="auto"/>
        </w:rPr>
        <w:t>45-4241907</w:t>
      </w:r>
    </w:p>
    <w:p>
      <w:pPr>
        <w:spacing w:after="0" w:line="24" w:lineRule="exact"/>
        <w:rPr>
          <w:sz w:val="24"/>
          <w:szCs w:val="24"/>
          <w:color w:val="auto"/>
        </w:rPr>
      </w:pPr>
    </w:p>
    <w:p>
      <w:pPr>
        <w:ind w:left="100"/>
        <w:spacing w:after="0"/>
        <w:rPr>
          <w:sz w:val="20"/>
          <w:szCs w:val="20"/>
          <w:color w:val="auto"/>
        </w:rPr>
      </w:pPr>
      <w:r>
        <w:rPr>
          <w:rFonts w:ascii="Arial" w:cs="Arial" w:eastAsia="Arial" w:hAnsi="Arial"/>
          <w:sz w:val="17"/>
          <w:szCs w:val="17"/>
          <w:color w:val="auto"/>
        </w:rPr>
        <w:t>(IRS Employer</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207" w:lineRule="exact"/>
        <w:rPr>
          <w:sz w:val="24"/>
          <w:szCs w:val="24"/>
          <w:color w:val="auto"/>
        </w:rPr>
      </w:pPr>
    </w:p>
    <w:p>
      <w:pPr>
        <w:sectPr>
          <w:pgSz w:w="11900" w:h="16838" w:orient="portrait"/>
          <w:cols w:equalWidth="0" w:num="3">
            <w:col w:w="4540" w:space="720"/>
            <w:col w:w="2980" w:space="720"/>
            <w:col w:w="2180"/>
          </w:cols>
          <w:pgMar w:left="240" w:top="699" w:right="519" w:bottom="1440" w:gutter="0" w:footer="0" w:header="0"/>
          <w:type w:val="continuous"/>
        </w:sectPr>
      </w:pPr>
    </w:p>
    <w:p>
      <w:pPr>
        <w:jc w:val="center"/>
        <w:ind w:right="1920"/>
        <w:spacing w:after="0"/>
        <w:rPr>
          <w:sz w:val="20"/>
          <w:szCs w:val="20"/>
          <w:color w:val="auto"/>
        </w:rPr>
      </w:pPr>
      <w:r>
        <w:rPr>
          <w:rFonts w:ascii="Arial" w:cs="Arial" w:eastAsia="Arial" w:hAnsi="Arial"/>
          <w:sz w:val="17"/>
          <w:szCs w:val="17"/>
          <w:b w:val="1"/>
          <w:bCs w:val="1"/>
          <w:color w:val="auto"/>
        </w:rPr>
        <w:t>200 Broadway, 3rd Floor</w:t>
      </w:r>
    </w:p>
    <w:p>
      <w:pPr>
        <w:spacing w:after="0" w:line="24" w:lineRule="exact"/>
        <w:rPr>
          <w:sz w:val="24"/>
          <w:szCs w:val="24"/>
          <w:color w:val="auto"/>
        </w:rPr>
      </w:pPr>
    </w:p>
    <w:p>
      <w:pPr>
        <w:jc w:val="center"/>
        <w:ind w:right="1920"/>
        <w:spacing w:after="0"/>
        <w:rPr>
          <w:sz w:val="20"/>
          <w:szCs w:val="20"/>
          <w:color w:val="auto"/>
        </w:rPr>
      </w:pPr>
      <w:r>
        <w:rPr>
          <w:rFonts w:ascii="Arial" w:cs="Arial" w:eastAsia="Arial" w:hAnsi="Arial"/>
          <w:sz w:val="17"/>
          <w:szCs w:val="17"/>
          <w:b w:val="1"/>
          <w:bCs w:val="1"/>
          <w:color w:val="auto"/>
        </w:rPr>
        <w:t>New York, New York</w:t>
      </w:r>
    </w:p>
    <w:p>
      <w:pPr>
        <w:spacing w:after="0" w:line="8" w:lineRule="exact"/>
        <w:rPr>
          <w:sz w:val="24"/>
          <w:szCs w:val="24"/>
          <w:color w:val="auto"/>
        </w:rPr>
      </w:pPr>
    </w:p>
    <w:p>
      <w:pPr>
        <w:jc w:val="center"/>
        <w:ind w:right="192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2140"/>
        <w:spacing w:after="0"/>
        <w:rPr>
          <w:sz w:val="20"/>
          <w:szCs w:val="20"/>
          <w:color w:val="auto"/>
        </w:rPr>
      </w:pPr>
      <w:r>
        <w:rPr>
          <w:rFonts w:ascii="Arial" w:cs="Arial" w:eastAsia="Arial" w:hAnsi="Arial"/>
          <w:sz w:val="17"/>
          <w:szCs w:val="17"/>
          <w:b w:val="1"/>
          <w:bCs w:val="1"/>
          <w:color w:val="auto"/>
        </w:rPr>
        <w:t>10038</w:t>
      </w:r>
    </w:p>
    <w:p>
      <w:pPr>
        <w:spacing w:after="0" w:line="24" w:lineRule="exact"/>
        <w:rPr>
          <w:sz w:val="24"/>
          <w:szCs w:val="24"/>
          <w:color w:val="auto"/>
        </w:rPr>
      </w:pPr>
    </w:p>
    <w:p>
      <w:pPr>
        <w:jc w:val="center"/>
        <w:ind w:right="214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540" w:space="720"/>
            <w:col w:w="2880"/>
          </w:cols>
          <w:pgMar w:left="240" w:top="699" w:right="519" w:bottom="1440" w:gutter="0" w:footer="0" w:header="0"/>
          <w:type w:val="continuous"/>
        </w:sectPr>
      </w:pPr>
    </w:p>
    <w:p>
      <w:pPr>
        <w:spacing w:after="0" w:line="19"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(212) 332-3241</w:t>
      </w:r>
    </w:p>
    <w:p>
      <w:pPr>
        <w:spacing w:after="0" w:line="200" w:lineRule="exact"/>
        <w:rPr>
          <w:sz w:val="24"/>
          <w:szCs w:val="24"/>
          <w:color w:val="auto"/>
        </w:rPr>
      </w:pPr>
    </w:p>
    <w:p>
      <w:pPr>
        <w:spacing w:after="0" w:line="219"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4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is intended to simultaneously satisfy the filing obligation of the registrant under any of the following provisions:</w:t>
      </w:r>
    </w:p>
    <w:p>
      <w:pPr>
        <w:spacing w:after="0" w:line="235" w:lineRule="exact"/>
        <w:rPr>
          <w:sz w:val="24"/>
          <w:szCs w:val="24"/>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11"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11"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11"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12" w:lineRule="exact"/>
        <w:rPr>
          <w:sz w:val="24"/>
          <w:szCs w:val="24"/>
          <w:color w:val="auto"/>
        </w:rPr>
      </w:pPr>
    </w:p>
    <w:p>
      <w:pPr>
        <w:ind w:right="260"/>
        <w:spacing w:after="0" w:line="274"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44"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117475</wp:posOffset>
            </wp:positionV>
            <wp:extent cx="7254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133350</wp:posOffset>
            </wp:positionV>
            <wp:extent cx="725424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240" cy="241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561975</wp:posOffset>
            </wp:positionV>
            <wp:extent cx="7254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140"/>
          </w:cols>
          <w:pgMar w:left="240" w:top="699" w:right="5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8.01. Other Events.</w:t>
      </w:r>
    </w:p>
    <w:p>
      <w:pPr>
        <w:spacing w:after="0" w:line="216" w:lineRule="exact"/>
        <w:rPr>
          <w:sz w:val="20"/>
          <w:szCs w:val="20"/>
          <w:color w:val="auto"/>
        </w:rPr>
      </w:pPr>
    </w:p>
    <w:p>
      <w:pPr>
        <w:jc w:val="both"/>
        <w:ind w:right="200" w:firstLine="733"/>
        <w:spacing w:after="0" w:line="285" w:lineRule="auto"/>
        <w:rPr>
          <w:sz w:val="20"/>
          <w:szCs w:val="20"/>
          <w:color w:val="auto"/>
        </w:rPr>
      </w:pPr>
      <w:r>
        <w:rPr>
          <w:rFonts w:ascii="Arial" w:cs="Arial" w:eastAsia="Arial" w:hAnsi="Arial"/>
          <w:sz w:val="16"/>
          <w:szCs w:val="16"/>
          <w:color w:val="auto"/>
        </w:rPr>
        <w:t>On December 3, 2019, Axsome Therapeutics, Inc. (the “Company”) issued a press release announcing that AXS-12 met the prespecified primary endpoint and significantly reduced the total number of cataplexy attacks in the Company’s CONCERT Phase 2 trial in narcolepsy. The Company will host a conference call at 8:00 a.m. ET on December 3, 2019 to discuss the topline results of the CONCERT trial of AXS-12 in narcolepsy.</w:t>
      </w:r>
    </w:p>
    <w:p>
      <w:pPr>
        <w:spacing w:after="0" w:line="159" w:lineRule="exact"/>
        <w:rPr>
          <w:sz w:val="20"/>
          <w:szCs w:val="20"/>
          <w:color w:val="auto"/>
        </w:rPr>
      </w:pPr>
    </w:p>
    <w:p>
      <w:pPr>
        <w:ind w:right="80" w:firstLine="733"/>
        <w:spacing w:after="0" w:line="274" w:lineRule="auto"/>
        <w:rPr>
          <w:sz w:val="20"/>
          <w:szCs w:val="20"/>
          <w:color w:val="auto"/>
        </w:rPr>
      </w:pPr>
      <w:r>
        <w:rPr>
          <w:rFonts w:ascii="Arial" w:cs="Arial" w:eastAsia="Arial" w:hAnsi="Arial"/>
          <w:sz w:val="17"/>
          <w:szCs w:val="17"/>
          <w:color w:val="auto"/>
        </w:rPr>
        <w:t>The full text of the press release is filed as Exhibit 99.1 hereto and is incorporated herein by reference. A copy of the presentation that the Company will use in connection with the conference call is filed as Exhibit 99.2 hereto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380" w:type="dxa"/>
            <w:vAlign w:val="bottom"/>
            <w:gridSpan w:val="4"/>
          </w:tcPr>
          <w:p>
            <w:pPr>
              <w:spacing w:after="0"/>
              <w:rPr>
                <w:sz w:val="20"/>
                <w:szCs w:val="20"/>
                <w:color w:val="auto"/>
              </w:rPr>
            </w:pPr>
            <w:r>
              <w:rPr>
                <w:rFonts w:ascii="Arial" w:cs="Arial" w:eastAsia="Arial" w:hAnsi="Arial"/>
                <w:sz w:val="17"/>
                <w:szCs w:val="17"/>
                <w:b w:val="1"/>
                <w:bCs w:val="1"/>
                <w:color w:val="auto"/>
              </w:rPr>
              <w:t>(d) Exhibits.</w:t>
            </w:r>
          </w:p>
        </w:tc>
        <w:tc>
          <w:tcPr>
            <w:tcW w:w="1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40" w:type="dxa"/>
            <w:vAlign w:val="bottom"/>
          </w:tcPr>
          <w:p>
            <w:pPr>
              <w:spacing w:after="0"/>
              <w:rPr>
                <w:sz w:val="19"/>
                <w:szCs w:val="19"/>
                <w:color w:val="auto"/>
              </w:rPr>
            </w:pPr>
          </w:p>
        </w:tc>
      </w:tr>
      <w:tr>
        <w:trPr>
          <w:trHeight w:val="392"/>
        </w:trPr>
        <w:tc>
          <w:tcPr>
            <w:tcW w:w="1380" w:type="dxa"/>
            <w:vAlign w:val="bottom"/>
            <w:gridSpan w:val="4"/>
          </w:tcPr>
          <w:p>
            <w:pPr>
              <w:spacing w:after="0"/>
              <w:rPr>
                <w:sz w:val="20"/>
                <w:szCs w:val="20"/>
                <w:color w:val="auto"/>
              </w:rPr>
            </w:pPr>
            <w:r>
              <w:rPr>
                <w:rFonts w:ascii="Arial" w:cs="Arial" w:eastAsia="Arial" w:hAnsi="Arial"/>
                <w:sz w:val="17"/>
                <w:szCs w:val="17"/>
                <w:b w:val="1"/>
                <w:bCs w:val="1"/>
                <w:color w:val="auto"/>
              </w:rPr>
              <w:t>Exhibit</w:t>
            </w:r>
          </w:p>
        </w:tc>
        <w:tc>
          <w:tcPr>
            <w:tcW w:w="1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40" w:type="dxa"/>
            <w:vAlign w:val="bottom"/>
          </w:tcPr>
          <w:p>
            <w:pPr>
              <w:spacing w:after="0"/>
              <w:rPr>
                <w:sz w:val="24"/>
                <w:szCs w:val="24"/>
                <w:color w:val="auto"/>
              </w:rPr>
            </w:pPr>
          </w:p>
        </w:tc>
      </w:tr>
      <w:tr>
        <w:trPr>
          <w:trHeight w:val="220"/>
        </w:trPr>
        <w:tc>
          <w:tcPr>
            <w:tcW w:w="1380" w:type="dxa"/>
            <w:vAlign w:val="bottom"/>
            <w:gridSpan w:val="4"/>
          </w:tcPr>
          <w:p>
            <w:pPr>
              <w:spacing w:after="0"/>
              <w:rPr>
                <w:sz w:val="20"/>
                <w:szCs w:val="20"/>
                <w:color w:val="auto"/>
              </w:rPr>
            </w:pPr>
            <w:r>
              <w:rPr>
                <w:rFonts w:ascii="Arial" w:cs="Arial" w:eastAsia="Arial" w:hAnsi="Arial"/>
                <w:sz w:val="17"/>
                <w:szCs w:val="17"/>
                <w:b w:val="1"/>
                <w:bCs w:val="1"/>
                <w:color w:val="auto"/>
              </w:rPr>
              <w:t>Number</w:t>
            </w:r>
          </w:p>
        </w:tc>
        <w:tc>
          <w:tcPr>
            <w:tcW w:w="1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40" w:type="dxa"/>
            <w:vAlign w:val="bottom"/>
          </w:tcPr>
          <w:p>
            <w:pPr>
              <w:ind w:left="2000"/>
              <w:spacing w:after="0"/>
              <w:rPr>
                <w:sz w:val="20"/>
                <w:szCs w:val="20"/>
                <w:color w:val="auto"/>
              </w:rPr>
            </w:pPr>
            <w:r>
              <w:rPr>
                <w:rFonts w:ascii="Arial" w:cs="Arial" w:eastAsia="Arial" w:hAnsi="Arial"/>
                <w:sz w:val="17"/>
                <w:szCs w:val="17"/>
                <w:b w:val="1"/>
                <w:bCs w:val="1"/>
                <w:color w:val="auto"/>
              </w:rPr>
              <w:t>Description</w:t>
            </w:r>
          </w:p>
        </w:tc>
      </w:tr>
      <w:tr>
        <w:trPr>
          <w:trHeight w:val="362"/>
        </w:trPr>
        <w:tc>
          <w:tcPr>
            <w:tcW w:w="3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jc w:val="right"/>
              <w:spacing w:after="0"/>
              <w:rPr>
                <w:rFonts w:ascii="Arial" w:cs="Arial" w:eastAsia="Arial" w:hAnsi="Arial"/>
                <w:sz w:val="17"/>
                <w:szCs w:val="17"/>
                <w:color w:val="0000EE"/>
                <w:w w:val="84"/>
              </w:rPr>
            </w:pPr>
            <w:hyperlink w:anchor="page3">
              <w:r>
                <w:rPr>
                  <w:rFonts w:ascii="Arial" w:cs="Arial" w:eastAsia="Arial" w:hAnsi="Arial"/>
                  <w:sz w:val="17"/>
                  <w:szCs w:val="17"/>
                  <w:color w:val="0000EE"/>
                  <w:w w:val="84"/>
                </w:rPr>
                <w:t>99.</w:t>
              </w:r>
              <w:r>
                <w:rPr>
                  <w:rFonts w:ascii="Arial" w:cs="Arial" w:eastAsia="Arial" w:hAnsi="Arial"/>
                  <w:sz w:val="17"/>
                  <w:szCs w:val="17"/>
                  <w:u w:val="single" w:color="auto"/>
                  <w:color w:val="0000EE"/>
                  <w:w w:val="84"/>
                </w:rPr>
                <w:t>1</w:t>
              </w:r>
            </w:hyperlink>
          </w:p>
        </w:tc>
        <w:tc>
          <w:tcPr>
            <w:tcW w:w="3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tcBorders>
              <w:top w:val="single" w:sz="8" w:color="auto"/>
            </w:tcBorders>
            <w:gridSpan w:val="3"/>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Press release dated December 3, 2019.</w:t>
              </w:r>
            </w:hyperlink>
          </w:p>
        </w:tc>
      </w:tr>
      <w:tr>
        <w:trPr>
          <w:trHeight w:val="184"/>
        </w:trPr>
        <w:tc>
          <w:tcPr>
            <w:tcW w:w="360" w:type="dxa"/>
            <w:vAlign w:val="bottom"/>
          </w:tcPr>
          <w:p>
            <w:pPr>
              <w:spacing w:after="0"/>
              <w:rPr>
                <w:sz w:val="15"/>
                <w:szCs w:val="15"/>
                <w:color w:val="auto"/>
              </w:rPr>
            </w:pPr>
          </w:p>
        </w:tc>
        <w:tc>
          <w:tcPr>
            <w:tcW w:w="300" w:type="dxa"/>
            <w:vAlign w:val="bottom"/>
            <w:tcBorders>
              <w:top w:val="single" w:sz="8" w:color="0000EE"/>
            </w:tcBorders>
          </w:tcPr>
          <w:p>
            <w:pPr>
              <w:jc w:val="right"/>
              <w:spacing w:after="0" w:line="184" w:lineRule="exact"/>
              <w:rPr>
                <w:rFonts w:ascii="Arial" w:cs="Arial" w:eastAsia="Arial" w:hAnsi="Arial"/>
                <w:sz w:val="17"/>
                <w:szCs w:val="17"/>
                <w:color w:val="0000EE"/>
                <w:w w:val="84"/>
              </w:rPr>
            </w:pPr>
            <w:hyperlink w:anchor="page7">
              <w:r>
                <w:rPr>
                  <w:rFonts w:ascii="Arial" w:cs="Arial" w:eastAsia="Arial" w:hAnsi="Arial"/>
                  <w:sz w:val="17"/>
                  <w:szCs w:val="17"/>
                  <w:color w:val="0000EE"/>
                  <w:w w:val="84"/>
                </w:rPr>
                <w:t>99.</w:t>
              </w:r>
              <w:r>
                <w:rPr>
                  <w:rFonts w:ascii="Arial" w:cs="Arial" w:eastAsia="Arial" w:hAnsi="Arial"/>
                  <w:sz w:val="17"/>
                  <w:szCs w:val="17"/>
                  <w:u w:val="single" w:color="auto"/>
                  <w:color w:val="0000EE"/>
                  <w:w w:val="84"/>
                </w:rPr>
                <w:t>2</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Borders>
              <w:top w:val="single" w:sz="8" w:color="0000EE"/>
            </w:tcBorders>
            <w:gridSpan w:val="2"/>
          </w:tcPr>
          <w:p>
            <w:pPr>
              <w:spacing w:after="0" w:line="184" w:lineRule="exact"/>
              <w:rPr>
                <w:rFonts w:ascii="Arial" w:cs="Arial" w:eastAsia="Arial" w:hAnsi="Arial"/>
                <w:sz w:val="17"/>
                <w:szCs w:val="17"/>
                <w:color w:val="0000EE"/>
              </w:rPr>
            </w:pPr>
            <w:hyperlink w:anchor="page7">
              <w:r>
                <w:rPr>
                  <w:rFonts w:ascii="Arial" w:cs="Arial" w:eastAsia="Arial" w:hAnsi="Arial"/>
                  <w:sz w:val="17"/>
                  <w:szCs w:val="17"/>
                  <w:color w:val="0000EE"/>
                </w:rPr>
                <w:t>CONCERT Presentation.</w:t>
              </w:r>
            </w:hyperlink>
          </w:p>
        </w:tc>
        <w:tc>
          <w:tcPr>
            <w:tcW w:w="7440" w:type="dxa"/>
            <w:vAlign w:val="bottom"/>
          </w:tcPr>
          <w:p>
            <w:pPr>
              <w:spacing w:after="0"/>
              <w:rPr>
                <w:sz w:val="15"/>
                <w:szCs w:val="15"/>
                <w:color w:val="auto"/>
              </w:rPr>
            </w:pPr>
          </w:p>
        </w:tc>
      </w:tr>
      <w:tr>
        <w:trPr>
          <w:trHeight w:val="424"/>
        </w:trPr>
        <w:tc>
          <w:tcPr>
            <w:tcW w:w="36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7440" w:type="dxa"/>
            <w:vAlign w:val="bottom"/>
          </w:tcPr>
          <w:p>
            <w:pPr>
              <w:ind w:left="1180"/>
              <w:spacing w:after="0"/>
              <w:rPr>
                <w:sz w:val="20"/>
                <w:szCs w:val="20"/>
                <w:color w:val="auto"/>
              </w:rPr>
            </w:pPr>
            <w:r>
              <w:rPr>
                <w:rFonts w:ascii="Arial" w:cs="Arial" w:eastAsia="Arial" w:hAnsi="Arial"/>
                <w:sz w:val="17"/>
                <w:szCs w:val="17"/>
                <w:b w:val="1"/>
                <w:bCs w:val="1"/>
                <w:color w:val="auto"/>
              </w:rPr>
              <w:t>SIGNATURES</w:t>
            </w:r>
          </w:p>
        </w:tc>
      </w:tr>
    </w:tbl>
    <w:p>
      <w:pPr>
        <w:spacing w:after="0" w:line="192" w:lineRule="exact"/>
        <w:rPr>
          <w:sz w:val="20"/>
          <w:szCs w:val="20"/>
          <w:color w:val="auto"/>
        </w:rPr>
      </w:pPr>
    </w:p>
    <w:p>
      <w:pPr>
        <w:ind w:right="120" w:firstLine="733"/>
        <w:spacing w:after="0" w:line="274"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720" w:type="dxa"/>
            <w:vAlign w:val="bottom"/>
          </w:tcPr>
          <w:p>
            <w:pPr>
              <w:spacing w:after="0"/>
              <w:rPr>
                <w:sz w:val="19"/>
                <w:szCs w:val="19"/>
                <w:color w:val="auto"/>
              </w:rPr>
            </w:pPr>
          </w:p>
        </w:tc>
        <w:tc>
          <w:tcPr>
            <w:tcW w:w="7700" w:type="dxa"/>
            <w:vAlign w:val="bottom"/>
            <w:gridSpan w:val="2"/>
          </w:tcPr>
          <w:p>
            <w:pPr>
              <w:ind w:left="2000"/>
              <w:spacing w:after="0"/>
              <w:rPr>
                <w:sz w:val="20"/>
                <w:szCs w:val="20"/>
                <w:color w:val="auto"/>
              </w:rPr>
            </w:pPr>
            <w:r>
              <w:rPr>
                <w:rFonts w:ascii="Arial" w:cs="Arial" w:eastAsia="Arial" w:hAnsi="Arial"/>
                <w:sz w:val="17"/>
                <w:szCs w:val="17"/>
                <w:b w:val="1"/>
                <w:bCs w:val="1"/>
                <w:color w:val="auto"/>
              </w:rPr>
              <w:t>Axsome Therapeutics, Inc.</w:t>
            </w:r>
          </w:p>
        </w:tc>
      </w:tr>
      <w:tr>
        <w:trPr>
          <w:trHeight w:val="611"/>
        </w:trPr>
        <w:tc>
          <w:tcPr>
            <w:tcW w:w="3720" w:type="dxa"/>
            <w:vAlign w:val="bottom"/>
          </w:tcPr>
          <w:p>
            <w:pPr>
              <w:spacing w:after="0"/>
              <w:rPr>
                <w:sz w:val="20"/>
                <w:szCs w:val="20"/>
                <w:color w:val="auto"/>
              </w:rPr>
            </w:pPr>
            <w:r>
              <w:rPr>
                <w:rFonts w:ascii="Arial" w:cs="Arial" w:eastAsia="Arial" w:hAnsi="Arial"/>
                <w:sz w:val="17"/>
                <w:szCs w:val="17"/>
                <w:color w:val="auto"/>
              </w:rPr>
              <w:t>Dated: December 3, 2019</w:t>
            </w:r>
          </w:p>
        </w:tc>
        <w:tc>
          <w:tcPr>
            <w:tcW w:w="7700" w:type="dxa"/>
            <w:vAlign w:val="bottom"/>
            <w:gridSpan w:val="2"/>
          </w:tcPr>
          <w:p>
            <w:pPr>
              <w:ind w:left="2000"/>
              <w:spacing w:after="0"/>
              <w:rPr>
                <w:sz w:val="20"/>
                <w:szCs w:val="20"/>
                <w:color w:val="auto"/>
              </w:rPr>
            </w:pPr>
            <w:r>
              <w:rPr>
                <w:rFonts w:ascii="Arial" w:cs="Arial" w:eastAsia="Arial" w:hAnsi="Arial"/>
                <w:sz w:val="17"/>
                <w:szCs w:val="17"/>
                <w:color w:val="auto"/>
              </w:rPr>
              <w:t>By:   /s/ Herriot Tabuteau, M.D.</w:t>
            </w:r>
          </w:p>
        </w:tc>
      </w:tr>
      <w:tr>
        <w:trPr>
          <w:trHeight w:val="172"/>
        </w:trPr>
        <w:tc>
          <w:tcPr>
            <w:tcW w:w="3720" w:type="dxa"/>
            <w:vAlign w:val="bottom"/>
          </w:tcPr>
          <w:p>
            <w:pPr>
              <w:spacing w:after="0"/>
              <w:rPr>
                <w:sz w:val="14"/>
                <w:szCs w:val="14"/>
                <w:color w:val="auto"/>
              </w:rPr>
            </w:pPr>
          </w:p>
        </w:tc>
        <w:tc>
          <w:tcPr>
            <w:tcW w:w="2440" w:type="dxa"/>
            <w:vAlign w:val="bottom"/>
          </w:tcPr>
          <w:p>
            <w:pPr>
              <w:ind w:left="2000"/>
              <w:spacing w:after="0" w:line="172" w:lineRule="exact"/>
              <w:rPr>
                <w:sz w:val="20"/>
                <w:szCs w:val="20"/>
                <w:color w:val="auto"/>
              </w:rPr>
            </w:pPr>
            <w:r>
              <w:rPr>
                <w:rFonts w:ascii="Arial" w:cs="Arial" w:eastAsia="Arial" w:hAnsi="Arial"/>
                <w:sz w:val="17"/>
                <w:szCs w:val="17"/>
                <w:color w:val="auto"/>
                <w:w w:val="83"/>
              </w:rPr>
              <w:t>Name:</w:t>
            </w:r>
          </w:p>
        </w:tc>
        <w:tc>
          <w:tcPr>
            <w:tcW w:w="5260" w:type="dxa"/>
            <w:vAlign w:val="bottom"/>
            <w:tcBorders>
              <w:top w:val="single" w:sz="8" w:color="auto"/>
            </w:tcBorders>
          </w:tcPr>
          <w:p>
            <w:pPr>
              <w:ind w:left="40"/>
              <w:spacing w:after="0" w:line="172" w:lineRule="exact"/>
              <w:rPr>
                <w:sz w:val="20"/>
                <w:szCs w:val="20"/>
                <w:color w:val="auto"/>
              </w:rPr>
            </w:pPr>
            <w:r>
              <w:rPr>
                <w:rFonts w:ascii="Arial" w:cs="Arial" w:eastAsia="Arial" w:hAnsi="Arial"/>
                <w:sz w:val="17"/>
                <w:szCs w:val="17"/>
                <w:color w:val="auto"/>
              </w:rPr>
              <w:t>Herriot Tabuteau, M.D.</w:t>
            </w:r>
          </w:p>
        </w:tc>
      </w:tr>
      <w:tr>
        <w:trPr>
          <w:trHeight w:val="215"/>
        </w:trPr>
        <w:tc>
          <w:tcPr>
            <w:tcW w:w="3720" w:type="dxa"/>
            <w:vAlign w:val="bottom"/>
          </w:tcPr>
          <w:p>
            <w:pPr>
              <w:spacing w:after="0"/>
              <w:rPr>
                <w:sz w:val="18"/>
                <w:szCs w:val="18"/>
                <w:color w:val="auto"/>
              </w:rPr>
            </w:pPr>
          </w:p>
        </w:tc>
        <w:tc>
          <w:tcPr>
            <w:tcW w:w="7700" w:type="dxa"/>
            <w:vAlign w:val="bottom"/>
            <w:gridSpan w:val="2"/>
          </w:tcPr>
          <w:p>
            <w:pPr>
              <w:ind w:left="2000"/>
              <w:spacing w:after="0"/>
              <w:rPr>
                <w:sz w:val="20"/>
                <w:szCs w:val="20"/>
                <w:color w:val="auto"/>
              </w:rPr>
            </w:pPr>
            <w:r>
              <w:rPr>
                <w:rFonts w:ascii="Arial" w:cs="Arial" w:eastAsia="Arial" w:hAnsi="Arial"/>
                <w:sz w:val="17"/>
                <w:szCs w:val="17"/>
                <w:color w:val="auto"/>
              </w:rPr>
              <w:t>Title: President and Chief Executive Officer</w:t>
            </w:r>
          </w:p>
        </w:tc>
      </w:tr>
      <w:tr>
        <w:trPr>
          <w:trHeight w:val="637"/>
        </w:trPr>
        <w:tc>
          <w:tcPr>
            <w:tcW w:w="37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1"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1356995" cy="452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56995" cy="45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Axsome Therapeutics Announces AXS-12 Achieves Primary Endpoint in CONCERT Phase 2 Trial in Narcolepsy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Demonstrated statistically significant reduction in cataplexy attacks compared to placebo (p&lt;0.001 on primary endpoint)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Reduced excessive daytime sleepiness compared to placebo (p=0.003 on ESS; p&lt;0.001 on inadvertent naps)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Improved cognitive function compared to placebo (p&lt;0.001)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Improved sleep quality (p=0.007) and sleep-related symptoms compared to placebo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Positive results support initiation of Phase 3 trials, planned in 2020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Company to host conference call and webcast today at 8:00 AM ET</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NEW YORK, December 3, 2019 (Globe Newswire) – Axsome Therapeutics, Inc. (NASDAQ: AXSM), a clinical-stage biopharmaceutical company developing novel therapies for the management of central nervous system (CNS) disorders, today announced that AXS-12 (reboxetine) met the prespecified primary endpoint and significantly reduced the number of cataplexy attacks as compared to placebo in patients with narcolepsy in the CONCERT Phase 2 trial. AXS-12 also significantly reduced excessive daytime sleepiness (EDS), and improved cognitive function, sleep quality and sleep-related symptoms. Narcolepsy is a debilitating, neurological condition characterized by EDS and cataplexy, a sudden loss of muscle tone triggered by strong emotions. AXS-12 has been granted Orphan Drug Designation by the U.S. Food and Drug Administration (FDA) for the treatment of narcolepsy. CONCERT was a Phase 2, randomized, double-blind, placebo-controlled, crossover, multicenter, U.S. trial in which 21 patients with a diagnosis of narcolepsy with cataplexy were all treated with orally administered AXS-12 for 2 weeks, and with placebo for 2 weeks, with the treatment periods separated by 1 week of down-titration and washout.</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AXS-12 met the prespecified primary endpoint by demonstrating a highly statistically significant reduction from baseline in the mean weekly number of cataplexy attacks, averaged for the 2-week treatment period (overall treatment effect), as compared to placebo (p&lt;0.001). At Week 2, AXS-12 demonstrated a mean reduction of 14.6 cataplexy attacks per week compared to a reduction of 2.6 attacks per week for placebo (p=0.002), representing mean reductions of 48.8% and 8.6% from baseline, respectively. The proportion of patients achieving a 50% or greater reduction in the weekly number of cataplexy attacks was 76.2% for AXS-12, compared to 30.0% for placebo (p=0.003) at Week 2. The improvement in cataplexy was rapid with AXS-12 demonstrating significant benefit over placebo as early as Week 1 (p&lt;0.001).</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AXS-12 significantly improved EDS symptoms compared to placebo, as measured by the Epworth Sleepiness Scale (ESS) and by the frequency of inadvertent naps. The improvement on the ESS with AXS-12 treatment was twice that observed with placebo, with reductions from baseline in the ESS score of 6.0 and 3.1, respectively for AXS-12 and placebo (p=0.003). AXS-12 treatment resulted in a 31.8% mean reduction from baseline in the average weekly number of inadvertent naps versus a 5.3% mean reduction for placebo (p&lt;0.001) at Week 2. The improvement in frequency of inadvertent naps was rapid with AXS-12 demonstrating significant benefit over placebo as early as Week 1 (p=0.038).</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AXS-12 significantly improved cognitive function compared to placebo over the 2-week treatment period as measured by the Ability to Concentrate item of the Narcolepsy Symptom Assessment Questionnaire (NSAQ), which was assessed daily (p&lt;0.001). For this assessment, patients rated their ability to concentrate on a 5-point scale (1=very good to 5=very poor). At the end of treatment, 42.9% of patients had an ability to concentrate that was “good” to “very good” with AXS-12 treatment, compared to 25.0% of patients with placebo, and 0% of patients at baseline. The improvement in the ability to concentrate was rapid with AXS-12 demonstrating significant improvement over placebo as early as Week 1 (p=0.007).</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AXS-12 significantly improved sleep quality, as measured by overall improvement and by number of awakenings at night, and reduced sleep-related symptoms, as compared to placebo. AXS-12 treatment resulted in 45.0% of patients reporting improved sleep quality versus 5.3% of patients with placebo (p=0.007). AXS-12 treatment resulted in 30.0% of patients reporting a reduction in the number of awakenings at night versus 5.3% of patients with placebo (p=0.044). AXS-12 treatment also resulted in greater proportions of patients with reductions in sleep paralysis episodes, and in hypnagogic hallucinations, as compared to placebo (p=ns).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 w:name="page4"/>
    <w:bookmarkEnd w:id="3"/>
    <w:p>
      <w:pPr>
        <w:jc w:val="both"/>
        <w:spacing w:after="0" w:line="257" w:lineRule="auto"/>
        <w:rPr>
          <w:sz w:val="20"/>
          <w:szCs w:val="20"/>
          <w:color w:val="auto"/>
        </w:rPr>
      </w:pPr>
      <w:r>
        <w:rPr>
          <w:rFonts w:ascii="Arial" w:cs="Arial" w:eastAsia="Arial" w:hAnsi="Arial"/>
          <w:sz w:val="17"/>
          <w:szCs w:val="17"/>
          <w:color w:val="auto"/>
        </w:rPr>
        <w:t>“Narcolepsy is a neurological disorder that interferes with mental and social functioning, increases work and driving related accidents, and results in a nearly two-fold higher mortality rate,” said Dr. Michael J. Thorpy, Professor of Neurology at Albert Einstein College of Medicine. “Medications that have the potential to reduce cataplexy symptoms, promote wakefulness, and enhance cognitive function, such as AXS-12, if borne out in Phase 3 trials, could provide new treatment options for patients living with this debilitating disorder.”</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AXS-12 was safe and well tolerated. There were no serious adverse events reported in the trial, and no discontinuations due to adverse events. The overall percentage of patients experiencing adverse events was 42.9% with AXS-12 and 40.0% with placebo, with the most commonly reported adverse events with AXS-12 treatment being anxiety, constipation, and insomnia. The completion rate was 91% for patients randomized to treatment sequence 1 (AXS-12 followed by placebo) and 100% for those randomized to sequence 2 (placebo followed by AXS-12).</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very pleased with the results of the CONCERT trial, which demonstrated a strong effect of AXS-12 on both cataplexy and excessive daytime sleepiness symptoms, as well as on cognitive function, in narcolepsy patients. The improvement in the ability to concentrate with AXS-12 is especially relevant because the cognitive impairment associated with narcolepsy is one of the most distressing aspects of the disease for patients, as highlighted in the FDA’s The Voice of the Patient report on Narcolepsy,” said Herriot Tabuteau, MD, Chief Executive Officer of Axsome. “Based on these positive results, Axsome intends to initiate Phase 3 trials of AXS-12 in 2020 with the goal of bringing this differentiated experimental medicine to narcolepsy patients as soon as possible.”</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CONCERT trial exemplifies Axsome’s commitment to accelerating the innovation of effective treatments for difficult-to-treat CNS disorders such as narcolepsy. Our approach uses innovative clinical trial designs to effectively assess the potential of our product candidates to address unmet medical needs.” said Cedric O’Gorman, MD, Senior Vice President of Clinical Development and Medical Affairs of Axsome. “Existing treatment options for narcolepsy are few, do not address all key symptoms, may not be well tolerated, and are mostly controlled substances. If successfully developed, AXS-12 may overcome these limitations and could make it a candidate as foundational therapy to meaningfully improve the lives of the many narcolepsy patients.”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Axsome plans to present the detailed results of the CONCERT trial at upcoming scientific meetings.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Topline Results of the CONCERT Trial</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on Cataplexy</w:t>
      </w:r>
    </w:p>
    <w:p>
      <w:pPr>
        <w:spacing w:after="0" w:line="212" w:lineRule="exact"/>
        <w:rPr>
          <w:sz w:val="20"/>
          <w:szCs w:val="20"/>
          <w:color w:val="auto"/>
        </w:rPr>
      </w:pPr>
    </w:p>
    <w:p>
      <w:pPr>
        <w:ind w:left="300" w:hanging="298"/>
        <w:spacing w:after="0" w:line="274"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AXS-12 was associated with a statistically significant reduction from baseline in the mean weekly number of cataplexy attacks, averaged for the 2-week treatment period, as compared to placebo (p&lt;0.001).</w:t>
      </w:r>
    </w:p>
    <w:p>
      <w:pPr>
        <w:spacing w:after="0" w:line="164" w:lineRule="exact"/>
        <w:rPr>
          <w:rFonts w:ascii="Arial" w:cs="Arial" w:eastAsia="Arial" w:hAnsi="Arial"/>
          <w:sz w:val="17"/>
          <w:szCs w:val="17"/>
          <w:color w:val="auto"/>
        </w:rPr>
      </w:pPr>
    </w:p>
    <w:p>
      <w:pPr>
        <w:ind w:left="300" w:hanging="298"/>
        <w:spacing w:after="0" w:line="342" w:lineRule="auto"/>
        <w:tabs>
          <w:tab w:leader="none" w:pos="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At Week 2, AXS-12 was associated with a statistically significant mean reduction from baseline in the weekly number of cataplexy attacks of 14.6 attacks per week for AXS-12 compared to a reduction of 2.6 attacks for placebo (p=0.002), representing mean reductions from baseline of 48.8% and 8.6%, respectively.</w:t>
      </w:r>
    </w:p>
    <w:p>
      <w:pPr>
        <w:spacing w:after="0" w:line="119" w:lineRule="exact"/>
        <w:rPr>
          <w:rFonts w:ascii="Arial" w:cs="Arial" w:eastAsia="Arial" w:hAnsi="Arial"/>
          <w:sz w:val="15"/>
          <w:szCs w:val="15"/>
          <w:color w:val="auto"/>
        </w:rPr>
      </w:pPr>
    </w:p>
    <w:p>
      <w:pPr>
        <w:ind w:left="300" w:hanging="298"/>
        <w:spacing w:after="0" w:line="274"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proportion of patients achieving a 50% or greater reduction in the weekly number of cataplexy attacks was 76.2% for AXS-12, compared to 30.0% for placebo (p=0.003) at Week 2.</w:t>
      </w:r>
    </w:p>
    <w:p>
      <w:pPr>
        <w:spacing w:after="0" w:line="164" w:lineRule="exact"/>
        <w:rPr>
          <w:rFonts w:ascii="Arial" w:cs="Arial" w:eastAsia="Arial" w:hAnsi="Arial"/>
          <w:sz w:val="17"/>
          <w:szCs w:val="17"/>
          <w:color w:val="auto"/>
        </w:rPr>
      </w:pPr>
    </w:p>
    <w:p>
      <w:pPr>
        <w:ind w:left="300" w:hanging="298"/>
        <w:spacing w:after="0" w:line="274"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effect of AXS-12 on cataplexy was rapid with AXS-12 demonstrating a statistically significant improvement in the frequency of cataplexy as compared to placebo as early as Week 1 (p&lt;0.001).</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865"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i w:val="1"/>
          <w:iCs w:val="1"/>
          <w:color w:val="auto"/>
        </w:rPr>
        <w:t>Effect on Excessive Daytime Sleepiness (EDS)</w:t>
      </w:r>
    </w:p>
    <w:p>
      <w:pPr>
        <w:spacing w:after="0" w:line="212" w:lineRule="exact"/>
        <w:rPr>
          <w:sz w:val="20"/>
          <w:szCs w:val="20"/>
          <w:color w:val="auto"/>
        </w:rPr>
      </w:pPr>
    </w:p>
    <w:p>
      <w:pPr>
        <w:ind w:left="300" w:hanging="298"/>
        <w:spacing w:after="0" w:line="274"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AXS-12 was associated with a statistically significant mean reduction in Epworth Sleepiness Scale (ESS) score from baseline as compared to placebo, with mean reductions of 6.0 and 3.1 points, respectively for AXS-12 and placebo (p=0.003).</w:t>
      </w:r>
    </w:p>
    <w:p>
      <w:pPr>
        <w:spacing w:after="0" w:line="164" w:lineRule="exact"/>
        <w:rPr>
          <w:rFonts w:ascii="Arial" w:cs="Arial" w:eastAsia="Arial" w:hAnsi="Arial"/>
          <w:sz w:val="17"/>
          <w:szCs w:val="17"/>
          <w:color w:val="auto"/>
        </w:rPr>
      </w:pPr>
    </w:p>
    <w:p>
      <w:pPr>
        <w:ind w:left="300" w:hanging="298"/>
        <w:spacing w:after="0" w:line="274"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AXS-12 was associated with a statistically significant reduction from baseline in the weekly number of inadvertent naps as compared to placebo, with a mean reduction of 31.8% for AXS-12 versus 5.3% for placebo (p&lt;0.001), at Week 2.</w:t>
      </w:r>
    </w:p>
    <w:p>
      <w:pPr>
        <w:spacing w:after="0" w:line="164" w:lineRule="exact"/>
        <w:rPr>
          <w:rFonts w:ascii="Arial" w:cs="Arial" w:eastAsia="Arial" w:hAnsi="Arial"/>
          <w:sz w:val="17"/>
          <w:szCs w:val="17"/>
          <w:color w:val="auto"/>
        </w:rPr>
      </w:pPr>
    </w:p>
    <w:p>
      <w:pPr>
        <w:ind w:left="300" w:hanging="298"/>
        <w:spacing w:after="0" w:line="274"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improvements in EDS symptoms were rapid with AXS-12 demonstrating significantly greater reductions than placebo in the number of inadvertent naps at Week 1 (p=0.038).</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on Cognitive Function</w:t>
      </w:r>
    </w:p>
    <w:p>
      <w:pPr>
        <w:spacing w:after="0" w:line="212" w:lineRule="exact"/>
        <w:rPr>
          <w:sz w:val="20"/>
          <w:szCs w:val="20"/>
          <w:color w:val="auto"/>
        </w:rPr>
      </w:pPr>
    </w:p>
    <w:p>
      <w:pPr>
        <w:ind w:left="300" w:hanging="298"/>
        <w:spacing w:after="0" w:line="274"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AXS-12 significantly improved cognitive function compared to placebo over the 2-week treatment period as measured by the Ability to Concentrate item of the Narcolepsy Symptom Assessment Questionnaire (NSAQ), which was assessed daily (p&lt;0.001).</w:t>
      </w:r>
    </w:p>
    <w:p>
      <w:pPr>
        <w:spacing w:after="0" w:line="164" w:lineRule="exact"/>
        <w:rPr>
          <w:rFonts w:ascii="Arial" w:cs="Arial" w:eastAsia="Arial" w:hAnsi="Arial"/>
          <w:sz w:val="17"/>
          <w:szCs w:val="17"/>
          <w:color w:val="auto"/>
        </w:rPr>
      </w:pPr>
    </w:p>
    <w:p>
      <w:pPr>
        <w:ind w:left="300" w:hanging="298"/>
        <w:spacing w:after="0" w:line="274"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At the end of treatment, 42.9% of patients had an ability to concentrate that was “very good” or “good” with AXS-12 treatment, compared to 25.0% of patients with placebo, and 0% of patients at baseline.</w:t>
      </w:r>
    </w:p>
    <w:p>
      <w:pPr>
        <w:spacing w:after="0" w:line="164" w:lineRule="exact"/>
        <w:rPr>
          <w:rFonts w:ascii="Arial" w:cs="Arial" w:eastAsia="Arial" w:hAnsi="Arial"/>
          <w:sz w:val="17"/>
          <w:szCs w:val="17"/>
          <w:color w:val="auto"/>
        </w:rPr>
      </w:pPr>
    </w:p>
    <w:p>
      <w:pPr>
        <w:ind w:left="300" w:hanging="298"/>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improvement in the ability to concentrate was rapid with AXS-12 demonstrating significant improvement over placebo at Week 1 (p=0.007).</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on Sleep Quality and Sleep-related Symptoms</w:t>
      </w:r>
    </w:p>
    <w:p>
      <w:pPr>
        <w:spacing w:after="0" w:line="212" w:lineRule="exact"/>
        <w:rPr>
          <w:sz w:val="20"/>
          <w:szCs w:val="20"/>
          <w:color w:val="auto"/>
        </w:rPr>
      </w:pPr>
    </w:p>
    <w:p>
      <w:pPr>
        <w:ind w:left="300" w:hanging="298"/>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AXS-12 treatment resulted in 45.0% of patients reporting improved sleep quality versus 5.3% of patients with placebo (p=0.007).</w:t>
      </w:r>
    </w:p>
    <w:p>
      <w:pPr>
        <w:spacing w:after="0" w:line="211" w:lineRule="exact"/>
        <w:rPr>
          <w:rFonts w:ascii="Arial" w:cs="Arial" w:eastAsia="Arial" w:hAnsi="Arial"/>
          <w:sz w:val="17"/>
          <w:szCs w:val="17"/>
          <w:color w:val="auto"/>
        </w:rPr>
      </w:pPr>
    </w:p>
    <w:p>
      <w:pPr>
        <w:ind w:left="300" w:hanging="298"/>
        <w:spacing w:after="0"/>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AXS-12 treatment resulted in 30.0% of patients reporting a reduction in the number of awakenings at night versus 5% of patients with placebo (p=0.044).</w:t>
      </w:r>
    </w:p>
    <w:p>
      <w:pPr>
        <w:spacing w:after="0" w:line="223" w:lineRule="exact"/>
        <w:rPr>
          <w:rFonts w:ascii="Arial" w:cs="Arial" w:eastAsia="Arial" w:hAnsi="Arial"/>
          <w:sz w:val="16"/>
          <w:szCs w:val="16"/>
          <w:color w:val="auto"/>
        </w:rPr>
      </w:pPr>
    </w:p>
    <w:p>
      <w:pPr>
        <w:ind w:left="300" w:hanging="298"/>
        <w:spacing w:after="0" w:line="274" w:lineRule="auto"/>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AXS-12 treatment also resulted in greater proportions of patients with reductions in sleep paralysis episodes (55.0% vs. 26.3%), and in hypnagogic hallucinations (40.0% vs. 26.3%), as compared to placebo (p=ns).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Safety and Tolerability</w:t>
      </w:r>
    </w:p>
    <w:p>
      <w:pPr>
        <w:spacing w:after="0" w:line="212" w:lineRule="exact"/>
        <w:rPr>
          <w:sz w:val="20"/>
          <w:szCs w:val="20"/>
          <w:color w:val="auto"/>
        </w:rPr>
      </w:pPr>
    </w:p>
    <w:p>
      <w:pPr>
        <w:ind w:left="300" w:hanging="298"/>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AXS-12 was safe and well tolerated. There were no serious adverse events, and no discontinuations due to adverse events.</w:t>
      </w:r>
    </w:p>
    <w:p>
      <w:pPr>
        <w:spacing w:after="0" w:line="211" w:lineRule="exact"/>
        <w:rPr>
          <w:rFonts w:ascii="Arial" w:cs="Arial" w:eastAsia="Arial" w:hAnsi="Arial"/>
          <w:sz w:val="17"/>
          <w:szCs w:val="17"/>
          <w:color w:val="auto"/>
        </w:rPr>
      </w:pPr>
    </w:p>
    <w:p>
      <w:pPr>
        <w:ind w:left="300" w:hanging="298"/>
        <w:spacing w:after="0" w:line="274"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overall rate of adverse events was 42.9% for patients treated with AXS-12 and 40.0% for patients treated with placebo, with the most commonly reported adverse events with AXS-12 treatment being anxiety, constipation, and insomnia.</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Information</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Axsome will host a conference call and webcast with slides today at 8:00 AM Eastern to discuss the topline results of the CONCERT trial of AXS-12 in narcolepsy. To participate in the live conference call, please dial (844) 698-4029 (toll-free domestic) or (647) 253-8660 (international), and use the passcode 6872588. The live webcast can be accessed on the “Webcasts &amp; Presentations” page of the “Investors” section of the Company’s website at axsome.com. A replay of the webcast will be available for approximately 30 days following the live event.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the CONCERT Trial</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CONCERT (Clinical Outcomes in Narcolepsy and Cataplexy: An Evaluation of Reboxetine Treatment) was a Phase 2, double-blind, randomized, placebo-controlled, crossover, multicenter trial of AXS-12 in patients with narcolepsy. A total of 21 patients with a diagnosis of narcolepsy with cataplexy were treated for 2 weeks with AXS-12 or with placebo, followed by a crossover to the other treatment after a 1-week down-titration and washout period. AXS-12 was administered orally twice daily, with a total daily dose of 8 mg for Week 1 which was escalated to 10 mg for Week 2. Patients were randomized in a 1:1 ratio either to treatment with AXS-12 followed by placebo (sequence 1), or to treatment with placebo followed by AXS-12 (sequence 2). The average number of cataplexy attacks at baseline was 30. Key assessments were made daily using an electronic diary. The prespecified primary endpoint was the change in the weekly number of cataplexy attacks, averaged over the 2-week treatment period (overall treatment effect). Secondary endpoints included changes in the number of inadvertent naps, cognition, and Epworth Sleepiness Scale. Cognition was assessed using the Ability to Concentrate item of the Narcolepsy Symptom Assessment Questionnaire, a patient reported outcome measure. This item is rated on 5-point scale (1=very good to 5=very poor). All analyses were conducted on an intent-to-treat basis.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865"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About Narcolepsy</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 fold higher mortality rate. Depression is reported in up to 57% of patients.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AXS-12</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AXS-12 (reboxetine) is a highly selective and potent norepinephrine reuptake inhibitor for the treatment of narcolepsy. AXS-12 modulates noradrenergic activity to promote wakefulness, maintain muscle tone and enhance cognition. AXS-12 is an investigational drug product not approved by the FDA.</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Axsome Therapeutics, Inc.</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3 trial in major depressive disorder (MDD), and a Phase 2/3 trial in agitation associated with Alzheimer’s disease (AD). AXS-05 is also being developed for smoking cessation treatment. AXS-07 is currently in two Phase 3 trials for the acute treatment of migraine. AXS-12 is currently in a Phase 2 trial in narcolepsy. AXS-05,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 Looking Statements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the Company’s current expectations regarding its plans for future equity financings prior to the readout from its Phase 3 trials;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 The data disclosed in this press release are considered topline data and subject to further statistical review and the final results may vary.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Axsome Contact: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Mark Jacobson</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Operations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Axsome Therapeutics, Inc.</w:t>
      </w:r>
    </w:p>
    <w:p>
      <w:pPr>
        <w:spacing w:after="0" w:line="188" w:lineRule="auto"/>
        <w:rPr>
          <w:sz w:val="20"/>
          <w:szCs w:val="20"/>
          <w:color w:val="auto"/>
        </w:rPr>
      </w:pPr>
      <w:r>
        <w:rPr>
          <w:rFonts w:ascii="Arial" w:cs="Arial" w:eastAsia="Arial" w:hAnsi="Arial"/>
          <w:sz w:val="17"/>
          <w:szCs w:val="17"/>
          <w:color w:val="auto"/>
        </w:rPr>
        <w:t>200 Broadway,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Floor</w:t>
      </w:r>
    </w:p>
    <w:p>
      <w:pPr>
        <w:spacing w:after="0"/>
        <w:rPr>
          <w:sz w:val="20"/>
          <w:szCs w:val="20"/>
          <w:color w:val="auto"/>
        </w:rPr>
      </w:pPr>
      <w:r>
        <w:rPr>
          <w:rFonts w:ascii="Arial" w:cs="Arial" w:eastAsia="Arial" w:hAnsi="Arial"/>
          <w:sz w:val="17"/>
          <w:szCs w:val="17"/>
          <w:color w:val="auto"/>
        </w:rPr>
        <w:t>New York, NY 10038</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Tel: 212-332-3243</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Email: mjacobson@axsome.com</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www.axsome.com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6" w:name="page7"/>
    <w:bookmarkEnd w:id="6"/>
    <w:p>
      <w:pPr>
        <w:ind w:left="9180"/>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160020</wp:posOffset>
            </wp:positionV>
            <wp:extent cx="7254240" cy="549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0" w:num="1">
            <w:col w:w="10220"/>
          </w:cols>
          <w:pgMar w:left="1440" w:top="114" w:right="2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427990</wp:posOffset>
            </wp:positionV>
            <wp:extent cx="7254240" cy="549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240" cy="549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2019-12-28T01:13:37Z</dcterms:created>
  <dcterms:modified xsi:type="dcterms:W3CDTF">2019-12-28T01:13:37Z</dcterms:modified>
</cp:coreProperties>
</file>