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147955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January 30, 2019</w:t>
      </w: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001-37635</w:t>
            </w:r>
          </w:p>
        </w:tc>
        <w:tc>
          <w:tcPr>
            <w:tcW w:w="276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12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color w:val="auto"/>
              </w:rPr>
              <w:t>(Commission</w:t>
            </w:r>
          </w:p>
        </w:tc>
        <w:tc>
          <w:tcPr>
            <w:tcW w:w="2760" w:type="dxa"/>
            <w:vAlign w:val="bottom"/>
          </w:tcPr>
          <w:p>
            <w:pPr>
              <w:jc w:val="center"/>
              <w:ind w:left="1350"/>
              <w:spacing w:after="0" w:line="176" w:lineRule="exact"/>
              <w:rPr>
                <w:sz w:val="20"/>
                <w:szCs w:val="20"/>
                <w:color w:val="auto"/>
              </w:rPr>
            </w:pPr>
            <w:r>
              <w:rPr>
                <w:rFonts w:ascii="Times New Roman" w:cs="Times New Roman" w:eastAsia="Times New Roman" w:hAnsi="Times New Roman"/>
                <w:sz w:val="18"/>
                <w:szCs w:val="18"/>
                <w:color w:val="auto"/>
                <w:w w:val="98"/>
              </w:rPr>
              <w:t>(IRS Employer</w:t>
            </w:r>
          </w:p>
        </w:tc>
        <w:tc>
          <w:tcPr>
            <w:tcW w:w="0" w:type="dxa"/>
            <w:vAlign w:val="bottom"/>
          </w:tcPr>
          <w:p>
            <w:pPr>
              <w:spacing w:after="0"/>
              <w:rPr>
                <w:sz w:val="1"/>
                <w:szCs w:val="1"/>
                <w:color w:val="auto"/>
              </w:rPr>
            </w:pPr>
          </w:p>
        </w:tc>
      </w:tr>
      <w:tr>
        <w:trPr>
          <w:trHeight w:val="234"/>
        </w:trPr>
        <w:tc>
          <w:tcPr>
            <w:tcW w:w="35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File Number)</w:t>
            </w:r>
          </w:p>
        </w:tc>
        <w:tc>
          <w:tcPr>
            <w:tcW w:w="27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25"/>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25 Broadway, 9th Floor</w:t>
            </w:r>
          </w:p>
        </w:tc>
        <w:tc>
          <w:tcPr>
            <w:tcW w:w="2120" w:type="dxa"/>
            <w:vAlign w:val="bottom"/>
          </w:tcPr>
          <w:p>
            <w:pPr>
              <w:spacing w:after="0"/>
              <w:rPr>
                <w:sz w:val="19"/>
                <w:szCs w:val="19"/>
                <w:color w:val="auto"/>
              </w:rPr>
            </w:pPr>
          </w:p>
        </w:tc>
        <w:tc>
          <w:tcPr>
            <w:tcW w:w="276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137795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94" w:lineRule="exact"/>
        <w:rPr>
          <w:sz w:val="24"/>
          <w:szCs w:val="24"/>
          <w:color w:val="auto"/>
        </w:rPr>
      </w:pPr>
    </w:p>
    <w:p>
      <w:pPr>
        <w:ind w:left="1" w:right="22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0"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ind w:left="1"/>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1"/>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313690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476250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January 30, 2019, Axsome Therapeutics, Inc. (the “Company”) issued a press release announcing the initiation of the Company’s CONCERT (Clinical Outcomes in Narcolepsy and Cataplexy: An Evaluation of Reboxetine Treatment) study, a Phase 2 randomized, controlled trial of AXS-12 (reboxetine) in patients with narcolepsy.</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incorporated herein by reference.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96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-635</wp:posOffset>
            </wp:positionV>
            <wp:extent cx="6200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ind w:left="520"/>
        <w:spacing w:after="0"/>
        <w:tabs>
          <w:tab w:leader="none" w:pos="13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January 30, 2019.</w:t>
        </w:r>
      </w:hyperlink>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668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30, 2019</w:t>
            </w:r>
          </w:p>
        </w:tc>
        <w:tc>
          <w:tcPr>
            <w:tcW w:w="21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60" w:type="dxa"/>
            <w:vAlign w:val="bottom"/>
            <w:vMerge w:val="restart"/>
          </w:tcPr>
          <w:p>
            <w:pPr>
              <w:ind w:left="1660"/>
              <w:spacing w:after="0" w:line="189" w:lineRule="exact"/>
              <w:rPr>
                <w:sz w:val="20"/>
                <w:szCs w:val="20"/>
                <w:color w:val="auto"/>
              </w:rPr>
            </w:pPr>
            <w:r>
              <w:rPr>
                <w:rFonts w:ascii="Times New Roman" w:cs="Times New Roman" w:eastAsia="Times New Roman" w:hAnsi="Times New Roman"/>
                <w:sz w:val="18"/>
                <w:szCs w:val="18"/>
                <w:color w:val="auto"/>
                <w:w w:val="79"/>
              </w:rPr>
              <w:t>Name:</w:t>
            </w:r>
          </w:p>
        </w:tc>
        <w:tc>
          <w:tcPr>
            <w:tcW w:w="1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52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Herriot Tabuteau, M.D.</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21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346"/>
        </w:trPr>
        <w:tc>
          <w:tcPr>
            <w:tcW w:w="338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80" w:type="dxa"/>
            <w:vAlign w:val="bottom"/>
            <w:tcBorders>
              <w:bottom w:val="single" w:sz="8" w:color="010101"/>
            </w:tcBorders>
          </w:tcPr>
          <w:p>
            <w:pPr>
              <w:spacing w:after="0"/>
              <w:rPr>
                <w:sz w:val="8"/>
                <w:szCs w:val="8"/>
                <w:color w:val="auto"/>
              </w:rPr>
            </w:pPr>
          </w:p>
        </w:tc>
        <w:tc>
          <w:tcPr>
            <w:tcW w:w="2060" w:type="dxa"/>
            <w:vAlign w:val="bottom"/>
            <w:tcBorders>
              <w:bottom w:val="single" w:sz="8" w:color="010101"/>
            </w:tcBorders>
          </w:tcPr>
          <w:p>
            <w:pPr>
              <w:spacing w:after="0"/>
              <w:rPr>
                <w:sz w:val="8"/>
                <w:szCs w:val="8"/>
                <w:color w:val="auto"/>
              </w:rPr>
            </w:pPr>
          </w:p>
        </w:tc>
        <w:tc>
          <w:tcPr>
            <w:tcW w:w="100" w:type="dxa"/>
            <w:vAlign w:val="bottom"/>
            <w:tcBorders>
              <w:bottom w:val="single" w:sz="8" w:color="010101"/>
            </w:tcBorders>
          </w:tcPr>
          <w:p>
            <w:pPr>
              <w:spacing w:after="0"/>
              <w:rPr>
                <w:sz w:val="8"/>
                <w:szCs w:val="8"/>
                <w:color w:val="auto"/>
              </w:rPr>
            </w:pPr>
          </w:p>
        </w:tc>
        <w:tc>
          <w:tcPr>
            <w:tcW w:w="4520" w:type="dxa"/>
            <w:vAlign w:val="bottom"/>
            <w:tcBorders>
              <w:bottom w:val="single" w:sz="8" w:color="010101"/>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4"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44081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Initiates Phase 2 Trial of AXS-12 in Narcolepsy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results anticipated in 2Q 2019</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January 30, 2019 (Globe Newswire) – Axsome Therapeutics, Inc. (NASDAQ: AXSM), a clinical-stage biopharmaceutical company developing novel therapies for the management of central nervous system (CNS) disorders, has initiated the CONCERT (Clinical Outcomes in Narcolepsy and Cataplexy: An Evaluation of Reboxetine Treatment) study, a Phase 2, randomized, controlled trial of AXS-12 (reboxetine) in narcolepsy. AXS-12 has been granted Orphan Drug Designation by the U.S. Food and Drug Administration (FDA) for the treatment of narcolepsy. Topline results from the CONCERT trial are expected in the second quarter of 2019.</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initiation of the CONCERT trial of AXS-12 for the treatment of narcolepsy reflects Axsome’s advancing pipeline of differentiated CNS product candidates, and our continued commitment to developing novel medicines to improve the lives of patients living with serious and difficult-to-treat CNS disorders,” said Herriot Tabuteau, MD, Chief Executive Officer of Axsome. “The CONCERT trial utilizes an efficient crossover design to improve signal detection and speed trial conduct. We look forward to topline results from this study in the second quarter of this year.”</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“Narcolepsy is debilitating for the nearly 200,000 individuals living with this condition in the U.S. Unfortunately, treatment options for these patients are limited,” said Cedric O’Gorman, MD, Senior Vice President of Clinical Development and Medical Affairs of Axsome. “AXS-12 has the potential to address the key symptoms of this disorder and may not share the limitations of currently approved agents. We look forward to evaluating the potential of AXS-12 in the CONCERT trial, with the goal of providing a more effective treatment for narcolepsy.”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CONCERT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CONCERT (Clinical Outcomes in Narcolepsy and Cataplexy: An Evaluation of Reboxetine Treatment) is a Phase 2, double-blind, randomized, placebo-controlled, crossover, multicenter trial of AXS-12 in patients with narcolepsy. The study will enroll approximately 20 patients, all of whom will be treated with AXS-12 for three weeks, and with placebo for three weeks. Eligible patients will be randomized to receive either AXS-12 followed by placebo, or placebo followed by AXS-12. Efficacy assessments will include the frequency of cataplexy attacks, and measures of other symptoms of narcolepsy.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Narcolepsy</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 Depression is reported in up to 57% of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AXS-12</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AXS-12 (reboxetine) is a novel, oral, investigational medicine in development for the treatment of the symptoms of narcolepsy. AXS-12 is a highly selective and potent norepinephrine reuptake inhibitor. AXS-12 is an investigational drug product not approved by the FDA.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59601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117" w:right="1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Axsome Therapeutics,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a Phase 2 trial in smoking cessation. AXS-07 is being developed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Axsome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Jacobson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Broadway, 9</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212-332-3243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www.axsome.com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5960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400"/>
      </w:cols>
      <w:pgMar w:left="1260" w:top="54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2019-12-28T16:58:21Z</dcterms:created>
  <dcterms:modified xsi:type="dcterms:W3CDTF">2019-12-28T16:58:21Z</dcterms:modified>
</cp:coreProperties>
</file>