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144145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jc w:val="center"/>
        <w:ind w:right="-20"/>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August 20, 2019</w:t>
      </w: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Axsome Therapeutics,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001-37635</w:t>
            </w:r>
          </w:p>
        </w:tc>
        <w:tc>
          <w:tcPr>
            <w:tcW w:w="276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Arial" w:cs="Arial" w:eastAsia="Arial" w:hAnsi="Arial"/>
                <w:sz w:val="18"/>
                <w:szCs w:val="18"/>
                <w:color w:val="auto"/>
                <w:w w:val="91"/>
              </w:rPr>
              <w:t>(State or other jurisdiction</w:t>
            </w:r>
          </w:p>
        </w:tc>
        <w:tc>
          <w:tcPr>
            <w:tcW w:w="21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3"/>
              </w:rPr>
              <w:t>(Commission</w:t>
            </w:r>
          </w:p>
        </w:tc>
        <w:tc>
          <w:tcPr>
            <w:tcW w:w="27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610"/>
              <w:spacing w:after="0"/>
              <w:rPr>
                <w:sz w:val="20"/>
                <w:szCs w:val="20"/>
                <w:color w:val="auto"/>
              </w:rPr>
            </w:pPr>
            <w:r>
              <w:rPr>
                <w:rFonts w:ascii="Arial" w:cs="Arial" w:eastAsia="Arial" w:hAnsi="Arial"/>
                <w:sz w:val="18"/>
                <w:szCs w:val="18"/>
                <w:color w:val="auto"/>
                <w:w w:val="93"/>
              </w:rPr>
              <w:t>of incorporation)</w:t>
            </w:r>
          </w:p>
        </w:tc>
        <w:tc>
          <w:tcPr>
            <w:tcW w:w="2120" w:type="dxa"/>
            <w:vAlign w:val="bottom"/>
          </w:tcPr>
          <w:p>
            <w:pPr>
              <w:jc w:val="center"/>
              <w:ind w:right="41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20" w:type="dxa"/>
            <w:vAlign w:val="bottom"/>
          </w:tcPr>
          <w:p>
            <w:pPr>
              <w:spacing w:after="0"/>
              <w:rPr>
                <w:sz w:val="21"/>
                <w:szCs w:val="21"/>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661" w:type="dxa"/>
        <w:tblCellMar>
          <w:top w:w="0" w:type="dxa"/>
          <w:left w:w="0" w:type="dxa"/>
          <w:bottom w:w="0" w:type="dxa"/>
          <w:right w:w="0" w:type="dxa"/>
        </w:tblCellMar>
      </w:tblPr>
      <w:tr>
        <w:trPr>
          <w:trHeight w:val="171"/>
        </w:trPr>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107315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1" w:lineRule="exact"/>
        <w:rPr>
          <w:sz w:val="24"/>
          <w:szCs w:val="24"/>
          <w:color w:val="auto"/>
        </w:rPr>
      </w:pPr>
    </w:p>
    <w:p>
      <w:pPr>
        <w:ind w:left="1" w:right="220"/>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left="1"/>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476885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ind w:left="1"/>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ind w:left="1" w:right="60" w:firstLine="648"/>
        <w:spacing w:after="0" w:line="224" w:lineRule="auto"/>
        <w:rPr>
          <w:sz w:val="20"/>
          <w:szCs w:val="20"/>
          <w:color w:val="auto"/>
        </w:rPr>
      </w:pPr>
      <w:r>
        <w:rPr>
          <w:rFonts w:ascii="Arial" w:cs="Arial" w:eastAsia="Arial" w:hAnsi="Arial"/>
          <w:sz w:val="18"/>
          <w:szCs w:val="18"/>
          <w:color w:val="auto"/>
        </w:rPr>
        <w:t>On August 20, 2019, Axsome Therapeutics, Inc. (the “Company”) issued a press release announcing that David Marek has been appointed as the Company’s Chief Commercial Officer, effective August 31, 2019. A copy of the press release is attached hereto as Exhibit 99.1 and is incorporated herein by reference.</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ind w:left="861" w:hanging="861"/>
        <w:spacing w:after="0"/>
        <w:tabs>
          <w:tab w:leader="none" w:pos="8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7"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576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1360" w:type="dxa"/>
            <w:vAlign w:val="bottom"/>
            <w:gridSpan w:val="2"/>
          </w:tcPr>
          <w:p>
            <w:pPr>
              <w:ind w:left="320"/>
              <w:spacing w:after="0"/>
              <w:rPr>
                <w:sz w:val="20"/>
                <w:szCs w:val="20"/>
                <w:color w:val="auto"/>
              </w:rPr>
            </w:pPr>
            <w:r>
              <w:rPr>
                <w:rFonts w:ascii="Arial" w:cs="Arial" w:eastAsia="Arial" w:hAnsi="Arial"/>
                <w:sz w:val="18"/>
                <w:szCs w:val="18"/>
                <w:color w:val="auto"/>
              </w:rPr>
              <w:t>99.1</w:t>
            </w:r>
          </w:p>
        </w:tc>
        <w:tc>
          <w:tcPr>
            <w:tcW w:w="8740" w:type="dxa"/>
            <w:vAlign w:val="bottom"/>
            <w:gridSpan w:val="4"/>
          </w:tcPr>
          <w:p>
            <w:pPr>
              <w:ind w:left="28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August 20, 2019.</w:t>
              </w:r>
            </w:hyperlink>
          </w:p>
        </w:tc>
      </w:tr>
      <w:tr>
        <w:trPr>
          <w:trHeight w:val="859"/>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Borders>
              <w:top w:val="single" w:sz="8" w:color="0000EE"/>
            </w:tcBorders>
          </w:tcPr>
          <w:p>
            <w:pPr>
              <w:spacing w:after="0"/>
              <w:rPr>
                <w:sz w:val="24"/>
                <w:szCs w:val="24"/>
                <w:color w:val="auto"/>
              </w:rPr>
            </w:pPr>
          </w:p>
        </w:tc>
        <w:tc>
          <w:tcPr>
            <w:tcW w:w="5720" w:type="dxa"/>
            <w:vAlign w:val="bottom"/>
          </w:tcPr>
          <w:p>
            <w:pPr>
              <w:jc w:val="right"/>
              <w:ind w:right="4928"/>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4"/>
                <w:szCs w:val="24"/>
                <w:color w:val="auto"/>
              </w:rPr>
            </w:pPr>
          </w:p>
        </w:tc>
      </w:tr>
      <w:tr>
        <w:trPr>
          <w:trHeight w:val="721"/>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01"/>
          </w:cols>
          <w:pgMar w:left="919" w:top="108"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6700" w:type="dxa"/>
            <w:vAlign w:val="bottom"/>
            <w:gridSpan w:val="2"/>
          </w:tcPr>
          <w:p>
            <w:pPr>
              <w:ind w:left="168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360" w:type="dxa"/>
            <w:vAlign w:val="bottom"/>
          </w:tcPr>
          <w:p>
            <w:pPr>
              <w:spacing w:after="0"/>
              <w:rPr>
                <w:sz w:val="20"/>
                <w:szCs w:val="20"/>
                <w:color w:val="auto"/>
              </w:rPr>
            </w:pPr>
            <w:r>
              <w:rPr>
                <w:rFonts w:ascii="Arial" w:cs="Arial" w:eastAsia="Arial" w:hAnsi="Arial"/>
                <w:sz w:val="18"/>
                <w:szCs w:val="18"/>
                <w:color w:val="auto"/>
              </w:rPr>
              <w:t>Dated: August 20, 2019</w:t>
            </w:r>
          </w:p>
        </w:tc>
        <w:tc>
          <w:tcPr>
            <w:tcW w:w="2080" w:type="dxa"/>
            <w:vAlign w:val="bottom"/>
          </w:tcPr>
          <w:p>
            <w:pPr>
              <w:ind w:left="1680"/>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080" w:type="dxa"/>
            <w:vAlign w:val="bottom"/>
            <w:vMerge w:val="restart"/>
          </w:tcPr>
          <w:p>
            <w:pPr>
              <w:ind w:left="1680"/>
              <w:spacing w:after="0" w:line="189" w:lineRule="exact"/>
              <w:rPr>
                <w:sz w:val="20"/>
                <w:szCs w:val="20"/>
                <w:color w:val="auto"/>
              </w:rPr>
            </w:pPr>
            <w:r>
              <w:rPr>
                <w:rFonts w:ascii="Arial" w:cs="Arial" w:eastAsia="Arial" w:hAnsi="Arial"/>
                <w:sz w:val="18"/>
                <w:szCs w:val="18"/>
                <w:color w:val="auto"/>
                <w:w w:val="71"/>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2080" w:type="dxa"/>
            <w:vAlign w:val="bottom"/>
          </w:tcPr>
          <w:p>
            <w:pPr>
              <w:ind w:left="1680"/>
              <w:spacing w:after="0"/>
              <w:rPr>
                <w:sz w:val="20"/>
                <w:szCs w:val="20"/>
                <w:color w:val="auto"/>
              </w:rPr>
            </w:pPr>
            <w:r>
              <w:rPr>
                <w:rFonts w:ascii="Arial" w:cs="Arial" w:eastAsia="Arial" w:hAnsi="Arial"/>
                <w:sz w:val="18"/>
                <w:szCs w:val="18"/>
                <w:color w:val="auto"/>
                <w:w w:val="97"/>
              </w:rPr>
              <w:t>Title:</w:t>
            </w:r>
          </w:p>
        </w:tc>
        <w:tc>
          <w:tcPr>
            <w:tcW w:w="46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360" w:type="dxa"/>
            <w:vAlign w:val="bottom"/>
          </w:tcPr>
          <w:p>
            <w:pPr>
              <w:spacing w:after="0"/>
              <w:rPr>
                <w:sz w:val="24"/>
                <w:szCs w:val="24"/>
                <w:color w:val="auto"/>
              </w:rPr>
            </w:pPr>
          </w:p>
        </w:tc>
        <w:tc>
          <w:tcPr>
            <w:tcW w:w="2080" w:type="dxa"/>
            <w:vAlign w:val="bottom"/>
          </w:tcPr>
          <w:p>
            <w:pPr>
              <w:ind w:left="1640"/>
              <w:spacing w:after="0"/>
              <w:rPr>
                <w:sz w:val="20"/>
                <w:szCs w:val="20"/>
                <w:color w:val="auto"/>
              </w:rPr>
            </w:pPr>
            <w:r>
              <w:rPr>
                <w:rFonts w:ascii="Arial" w:cs="Arial" w:eastAsia="Arial" w:hAnsi="Arial"/>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3" w:name="page4"/>
    <w:bookmarkEnd w:id="3"/>
    <w:p>
      <w:pPr>
        <w:ind w:left="846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144081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Appoints David Marek as Chief Commercial Officer</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August 20, 2019 (Globe Newswire) – Axsome Therapeutics, Inc. (NASDAQ: AXSM), a clinical-stage biopharmaceutical company developing novel therapies for the management of central nervous system (CNS) disorders, today announced the appointment of David Marek as Chief Commercial Officer, effective August 31, 2019. Mr. Marek joins Axsome from Amgen, where he was Vice President, and General Manager of Amgen’s Neuroscience business unit, and previously held executive positions at WebMD and at Saatchi &amp; Saatchi Healthcare Advertising.</w:t>
      </w:r>
    </w:p>
    <w:p>
      <w:pPr>
        <w:spacing w:after="0" w:line="18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“As our innovative CNS pipeline rapidly matures towards four pivotal clinical trial readouts, and two potential NDA filings and product launches, we are pleased to welcome Dave to the Axsome team as Chief Commercial Officer,” said Herriot Tabuteau, MD, Chief Executive Officer of Axsome. “Dave’s expertise in both digital and traditional media, creative commercialization strategies, value and access, and new product launches, is an important addition to Axsome as we create and execute our commercial plans and continue our growth into a leading CNS biopharmaceutical company.”</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Amgen, Mr. Marek led the U.S. commercialization strategy and launch of Aimovig™ for migraine prevention, achieving industry-record launch performance for a biologic. Prior to heading the Neuroscience business unit, he was Vice President of Marketing of Amgen’s U.S. Inflammation and Nephrology business leading it to attain over $9 billion in annual revenue. Before Amgen, Mr. Marek served as Executive Vice President, Consumer Services, and Commercial Strategy Officer of WebMD, one of the largest providers of healthcare digital content, and the top healthcare website by unique visitors. Prior to WebMD, Mr. Marek was the Managing Director of Saatchi &amp; Saatchi Healthcare Advertising where he developed and implemented creative strategies to grow many of the most successful pharmaceutical brands. Mr. Marek began his career at Eli Lilly and Company, followed by AstraZeneca, where he served in a variety of marketing and sales roles of increasing responsibility. He earned his Bachelor of Arts degree in Business Administration from Washington State University.</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“Axsome’s growing pipeline of clinically and mechanistically differentiated, late-stage product candidates for CNS conditions with high medical need exemplify its patient-centric approach to innovation,” said Mr. Marek. “I am excited to join Axsome at such a significant time as we approach multiple clinical trial readouts later this year, and I look forward to working with the rest of the team to bring our novel investigational medicines to patients as expediently and as efficiently as possible.”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a Phase 3 trial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495300</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1" w:right="1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the Company’s current expectations regarding its plans for future equity financings prior to the readout from its Phase 3 trials;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Broadway, 3</w:t>
      </w:r>
      <w:r>
        <w:rPr>
          <w:rFonts w:ascii="Arial" w:cs="Arial" w:eastAsia="Arial" w:hAnsi="Arial"/>
          <w:sz w:val="8"/>
          <w:szCs w:val="8"/>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495300</wp:posOffset>
            </wp:positionV>
            <wp:extent cx="5960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37" w:right="1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2019-12-28T07:01:23Z</dcterms:created>
  <dcterms:modified xsi:type="dcterms:W3CDTF">2019-12-28T07:01:23Z</dcterms:modified>
</cp:coreProperties>
</file>