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81" w:lineRule="exact"/>
        <w:rPr>
          <w:sz w:val="24"/>
          <w:szCs w:val="24"/>
          <w:color w:val="auto"/>
        </w:rPr>
      </w:pPr>
    </w:p>
    <w:p>
      <w:pPr>
        <w:ind w:left="1600" w:hanging="187"/>
        <w:spacing w:after="0"/>
        <w:tabs>
          <w:tab w:leader="none" w:pos="1600" w:val="left"/>
        </w:tabs>
        <w:numPr>
          <w:ilvl w:val="1"/>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2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quarterly period ended June 30, 2021</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00" w:hanging="2393"/>
        <w:spacing w:after="0" w:line="334" w:lineRule="auto"/>
        <w:tabs>
          <w:tab w:leader="none" w:pos="15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71755</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AXSOME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8" w:lineRule="exact"/>
        <w:rPr>
          <w:sz w:val="24"/>
          <w:szCs w:val="24"/>
          <w:color w:val="auto"/>
        </w:rPr>
      </w:pPr>
    </w:p>
    <w:tbl>
      <w:tblPr>
        <w:tblLayout w:type="fixed"/>
        <w:tblInd w:w="1100" w:type="dxa"/>
        <w:tblCellMar>
          <w:top w:w="0" w:type="dxa"/>
          <w:left w:w="0" w:type="dxa"/>
          <w:bottom w:w="0" w:type="dxa"/>
          <w:right w:w="0" w:type="dxa"/>
        </w:tblCellMar>
      </w:tblPr>
      <w:tr>
        <w:trPr>
          <w:trHeight w:val="198"/>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Delaware</w:t>
            </w:r>
          </w:p>
        </w:tc>
        <w:tc>
          <w:tcPr>
            <w:tcW w:w="3520" w:type="dxa"/>
            <w:vAlign w:val="bottom"/>
          </w:tcPr>
          <w:p>
            <w:pPr>
              <w:jc w:val="right"/>
              <w:ind w:right="584"/>
              <w:spacing w:after="0"/>
              <w:rPr>
                <w:sz w:val="20"/>
                <w:szCs w:val="20"/>
                <w:color w:val="auto"/>
              </w:rPr>
            </w:pPr>
            <w:r>
              <w:rPr>
                <w:rFonts w:ascii="Arial" w:cs="Arial" w:eastAsia="Arial" w:hAnsi="Arial"/>
                <w:sz w:val="16"/>
                <w:szCs w:val="16"/>
                <w:b w:val="1"/>
                <w:bCs w:val="1"/>
                <w:color w:val="auto"/>
              </w:rPr>
              <w:t>45-4241907</w:t>
            </w:r>
          </w:p>
        </w:tc>
      </w:tr>
      <w:tr>
        <w:trPr>
          <w:trHeight w:val="182"/>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7"/>
              </w:rPr>
              <w:t>(I.R.S. Employer Identification No.)</w:t>
            </w:r>
          </w:p>
        </w:tc>
      </w:tr>
      <w:tr>
        <w:trPr>
          <w:trHeight w:val="241"/>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22 Cortlandt Street</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Arial" w:cs="Arial" w:eastAsia="Arial" w:hAnsi="Arial"/>
                <w:sz w:val="16"/>
                <w:szCs w:val="16"/>
                <w:b w:val="1"/>
                <w:bCs w:val="1"/>
                <w:color w:val="auto"/>
                <w:w w:val="93"/>
              </w:rPr>
              <w:t>16th Floor</w:t>
            </w:r>
          </w:p>
        </w:tc>
        <w:tc>
          <w:tcPr>
            <w:tcW w:w="3520" w:type="dxa"/>
            <w:vAlign w:val="bottom"/>
          </w:tcPr>
          <w:p>
            <w:pPr>
              <w:spacing w:after="0"/>
              <w:rPr>
                <w:sz w:val="17"/>
                <w:szCs w:val="17"/>
                <w:color w:val="auto"/>
              </w:rPr>
            </w:pPr>
          </w:p>
        </w:tc>
      </w:tr>
      <w:tr>
        <w:trPr>
          <w:trHeight w:val="198"/>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4"/>
              </w:rPr>
              <w:t>New York, New York</w:t>
            </w:r>
          </w:p>
        </w:tc>
        <w:tc>
          <w:tcPr>
            <w:tcW w:w="3520" w:type="dxa"/>
            <w:vAlign w:val="bottom"/>
          </w:tcPr>
          <w:p>
            <w:pPr>
              <w:jc w:val="right"/>
              <w:ind w:right="764"/>
              <w:spacing w:after="0"/>
              <w:rPr>
                <w:sz w:val="20"/>
                <w:szCs w:val="20"/>
                <w:color w:val="auto"/>
              </w:rPr>
            </w:pPr>
            <w:r>
              <w:rPr>
                <w:rFonts w:ascii="Arial" w:cs="Arial" w:eastAsia="Arial" w:hAnsi="Arial"/>
                <w:sz w:val="16"/>
                <w:szCs w:val="16"/>
                <w:b w:val="1"/>
                <w:bCs w:val="1"/>
                <w:color w:val="auto"/>
              </w:rPr>
              <w:t>10007</w:t>
            </w:r>
          </w:p>
        </w:tc>
      </w:tr>
      <w:tr>
        <w:trPr>
          <w:trHeight w:val="182"/>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3"/>
              </w:rPr>
              <w:t>(Zip Code)</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6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6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40" w:type="dxa"/>
            <w:vAlign w:val="bottom"/>
          </w:tcPr>
          <w:p>
            <w:pPr>
              <w:ind w:left="13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Trading Symbol(s)</w:t>
            </w:r>
          </w:p>
        </w:tc>
        <w:tc>
          <w:tcPr>
            <w:tcW w:w="360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6"/>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20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There were 37,681,948 shares of the registrant’s common stock, $0.0001 par value, outstanding as of 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500" w:type="dxa"/>
            <w:vAlign w:val="bottom"/>
            <w:gridSpan w:val="1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41"/>
        </w:trPr>
        <w:tc>
          <w:tcPr>
            <w:tcW w:w="7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rPr>
              <w:t>AXSOME THERAPEUTICS, INC.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6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rPr>
              <w:t>QUARTERLY REPORT ON FORM 10-Q</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6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w w:val="98"/>
              </w:rPr>
              <w:t>FOR THE QUARTER ENDED JUNE 30, 2021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4"/>
          </w:tcPr>
          <w:p>
            <w:pPr>
              <w:jc w:val="center"/>
              <w:ind w:right="2180"/>
              <w:spacing w:after="0"/>
              <w:rPr>
                <w:sz w:val="20"/>
                <w:szCs w:val="20"/>
                <w:color w:val="auto"/>
              </w:rPr>
            </w:pPr>
            <w:r>
              <w:rPr>
                <w:rFonts w:ascii="Arial" w:cs="Arial" w:eastAsia="Arial" w:hAnsi="Arial"/>
                <w:sz w:val="16"/>
                <w:szCs w:val="16"/>
                <w:b w:val="1"/>
                <w:bCs w:val="1"/>
                <w:color w:val="auto"/>
              </w:rPr>
              <w:t>TABLE OF CONTENTS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Page</w:t>
            </w:r>
          </w:p>
        </w:tc>
      </w:tr>
      <w:tr>
        <w:trPr>
          <w:trHeight w:val="161"/>
        </w:trPr>
        <w:tc>
          <w:tcPr>
            <w:tcW w:w="10500" w:type="dxa"/>
            <w:vAlign w:val="bottom"/>
            <w:gridSpan w:val="14"/>
          </w:tcPr>
          <w:p>
            <w:pPr>
              <w:spacing w:after="0" w:line="161" w:lineRule="exact"/>
              <w:rPr>
                <w:rFonts w:ascii="Arial" w:cs="Arial" w:eastAsia="Arial" w:hAnsi="Arial"/>
                <w:sz w:val="16"/>
                <w:szCs w:val="16"/>
                <w:color w:val="0000EE"/>
              </w:rPr>
            </w:pPr>
            <w:hyperlink w:anchor="page3">
              <w:r>
                <w:rPr>
                  <w:rFonts w:ascii="Arial" w:cs="Arial" w:eastAsia="Arial" w:hAnsi="Arial"/>
                  <w:sz w:val="16"/>
                  <w:szCs w:val="16"/>
                  <w:color w:val="0000EE"/>
                </w:rPr>
                <w:t>CAUTIONARY NOTE REGARDING FORWARD LOOKING STATEMENTS</w:t>
              </w:r>
            </w:hyperlink>
          </w:p>
        </w:tc>
        <w:tc>
          <w:tcPr>
            <w:tcW w:w="7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4"/>
                <w:szCs w:val="14"/>
                <w:color w:val="auto"/>
              </w:rPr>
            </w:pPr>
          </w:p>
        </w:tc>
      </w:tr>
      <w:tr>
        <w:trPr>
          <w:trHeight w:val="183"/>
        </w:trPr>
        <w:tc>
          <w:tcPr>
            <w:tcW w:w="294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 FINANCIAL INFORMATION</w:t>
              </w:r>
            </w:hyperlink>
          </w:p>
        </w:tc>
        <w:tc>
          <w:tcPr>
            <w:tcW w:w="2260" w:type="dxa"/>
            <w:vAlign w:val="bottom"/>
            <w:tcBorders>
              <w:top w:val="single" w:sz="8" w:color="0000EE"/>
            </w:tcBorders>
            <w:gridSpan w:val="2"/>
          </w:tcPr>
          <w:p>
            <w:pPr>
              <w:spacing w:after="0"/>
              <w:rPr>
                <w:sz w:val="15"/>
                <w:szCs w:val="15"/>
                <w:color w:val="auto"/>
              </w:rPr>
            </w:pPr>
          </w:p>
        </w:tc>
        <w:tc>
          <w:tcPr>
            <w:tcW w:w="53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1</w:t>
            </w:r>
          </w:p>
        </w:tc>
        <w:tc>
          <w:tcPr>
            <w:tcW w:w="9580" w:type="dxa"/>
            <w:vAlign w:val="bottom"/>
            <w:gridSpan w:val="12"/>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11"/>
          </w:tcPr>
          <w:p>
            <w:pPr>
              <w:spacing w:after="0" w:line="183" w:lineRule="exact"/>
              <w:rPr>
                <w:rFonts w:ascii="Arial" w:cs="Arial" w:eastAsia="Arial" w:hAnsi="Arial"/>
                <w:sz w:val="16"/>
                <w:szCs w:val="16"/>
                <w:color w:val="0000EE"/>
                <w:w w:val="92"/>
              </w:rPr>
            </w:pPr>
            <w:hyperlink w:anchor="page20">
              <w:r>
                <w:rPr>
                  <w:rFonts w:ascii="Arial" w:cs="Arial" w:eastAsia="Arial" w:hAnsi="Arial"/>
                  <w:sz w:val="16"/>
                  <w:szCs w:val="16"/>
                  <w:color w:val="0000EE"/>
                  <w:w w:val="92"/>
                </w:rPr>
                <w:t>Management’s Discussion and Analysis of Financial Condition and Results of Operations</w:t>
              </w:r>
            </w:hyperlink>
          </w:p>
        </w:tc>
        <w:tc>
          <w:tcPr>
            <w:tcW w:w="3760" w:type="dxa"/>
            <w:vAlign w:val="bottom"/>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20</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3</w:t>
            </w:r>
          </w:p>
        </w:tc>
        <w:tc>
          <w:tcPr>
            <w:tcW w:w="9580" w:type="dxa"/>
            <w:vAlign w:val="bottom"/>
            <w:gridSpan w:val="12"/>
          </w:tcPr>
          <w:p>
            <w:pPr>
              <w:spacing w:after="0" w:line="183" w:lineRule="exact"/>
              <w:rPr>
                <w:rFonts w:ascii="Arial" w:cs="Arial" w:eastAsia="Arial" w:hAnsi="Arial"/>
                <w:sz w:val="16"/>
                <w:szCs w:val="16"/>
                <w:color w:val="0000EE"/>
              </w:rPr>
            </w:pPr>
            <w:hyperlink w:anchor="page32">
              <w:r>
                <w:rPr>
                  <w:rFonts w:ascii="Arial" w:cs="Arial" w:eastAsia="Arial" w:hAnsi="Arial"/>
                  <w:sz w:val="16"/>
                  <w:szCs w:val="16"/>
                  <w:color w:val="0000EE"/>
                </w:rPr>
                <w:t>Quantitative and Qualitative Disclosure About Market Risk</w:t>
              </w:r>
            </w:hyperlink>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32</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4</w:t>
            </w:r>
          </w:p>
        </w:tc>
        <w:tc>
          <w:tcPr>
            <w:tcW w:w="160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89"/>
              </w:rPr>
            </w:pPr>
            <w:hyperlink w:anchor="page33">
              <w:r>
                <w:rPr>
                  <w:rFonts w:ascii="Arial" w:cs="Arial" w:eastAsia="Arial" w:hAnsi="Arial"/>
                  <w:sz w:val="16"/>
                  <w:szCs w:val="16"/>
                  <w:color w:val="0000EE"/>
                  <w:w w:val="89"/>
                </w:rPr>
                <w:t>Controls and Procedures</w:t>
              </w:r>
            </w:hyperlink>
          </w:p>
        </w:tc>
        <w:tc>
          <w:tcPr>
            <w:tcW w:w="2260" w:type="dxa"/>
            <w:vAlign w:val="bottom"/>
            <w:tcBorders>
              <w:top w:val="single" w:sz="8" w:color="0000EE"/>
            </w:tcBorders>
            <w:gridSpan w:val="3"/>
          </w:tcPr>
          <w:p>
            <w:pPr>
              <w:spacing w:after="0"/>
              <w:rPr>
                <w:sz w:val="15"/>
                <w:szCs w:val="15"/>
                <w:color w:val="auto"/>
              </w:rPr>
            </w:pPr>
          </w:p>
        </w:tc>
        <w:tc>
          <w:tcPr>
            <w:tcW w:w="5720" w:type="dxa"/>
            <w:vAlign w:val="bottom"/>
            <w:gridSpan w:val="3"/>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33</w:t>
            </w:r>
          </w:p>
        </w:tc>
      </w:tr>
      <w:tr>
        <w:trPr>
          <w:trHeight w:val="183"/>
        </w:trPr>
        <w:tc>
          <w:tcPr>
            <w:tcW w:w="10500" w:type="dxa"/>
            <w:vAlign w:val="bottom"/>
            <w:gridSpan w:val="14"/>
          </w:tcPr>
          <w:p>
            <w:pPr>
              <w:spacing w:after="0" w:line="183"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PART II — OTHER INFORMATION</w:t>
              </w:r>
            </w:hyperlink>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tcBorders>
              <w:top w:val="single" w:sz="8" w:color="0000EE"/>
            </w:tcBorders>
            <w:gridSpan w:val="2"/>
          </w:tcPr>
          <w:p>
            <w:pPr>
              <w:spacing w:after="0" w:line="183" w:lineRule="exact"/>
              <w:rPr>
                <w:sz w:val="20"/>
                <w:szCs w:val="20"/>
                <w:color w:val="auto"/>
              </w:rPr>
            </w:pPr>
            <w:r>
              <w:rPr>
                <w:rFonts w:ascii="Arial" w:cs="Arial" w:eastAsia="Arial" w:hAnsi="Arial"/>
                <w:sz w:val="16"/>
                <w:szCs w:val="16"/>
                <w:color w:val="auto"/>
              </w:rPr>
              <w:t>ITEM 1</w:t>
            </w:r>
          </w:p>
        </w:tc>
        <w:tc>
          <w:tcPr>
            <w:tcW w:w="174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7840" w:type="dxa"/>
            <w:vAlign w:val="bottom"/>
            <w:gridSpan w:val="5"/>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34</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1A</w:t>
            </w:r>
          </w:p>
        </w:tc>
        <w:tc>
          <w:tcPr>
            <w:tcW w:w="120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8380" w:type="dxa"/>
            <w:vAlign w:val="bottom"/>
            <w:gridSpan w:val="8"/>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34</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6</w:t>
            </w:r>
          </w:p>
        </w:tc>
        <w:tc>
          <w:tcPr>
            <w:tcW w:w="82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w:anchor="page85">
              <w:r>
                <w:rPr>
                  <w:rFonts w:ascii="Arial" w:cs="Arial" w:eastAsia="Arial" w:hAnsi="Arial"/>
                  <w:sz w:val="16"/>
                  <w:szCs w:val="16"/>
                  <w:color w:val="0000EE"/>
                </w:rPr>
                <w:t>Exhibits</w:t>
              </w:r>
            </w:hyperlink>
          </w:p>
        </w:tc>
        <w:tc>
          <w:tcPr>
            <w:tcW w:w="8760" w:type="dxa"/>
            <w:vAlign w:val="bottom"/>
            <w:gridSpan w:val="9"/>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85</w:t>
            </w:r>
          </w:p>
        </w:tc>
      </w:tr>
      <w:tr>
        <w:trPr>
          <w:trHeight w:val="183"/>
        </w:trPr>
        <w:tc>
          <w:tcPr>
            <w:tcW w:w="700" w:type="dxa"/>
            <w:vAlign w:val="bottom"/>
            <w:tcBorders>
              <w:bottom w:val="single" w:sz="8" w:color="0000EE"/>
            </w:tcBorders>
          </w:tcPr>
          <w:p>
            <w:pPr>
              <w:spacing w:after="0" w:line="183" w:lineRule="exact"/>
              <w:rPr>
                <w:rFonts w:ascii="Arial" w:cs="Arial" w:eastAsia="Arial" w:hAnsi="Arial"/>
                <w:sz w:val="16"/>
                <w:szCs w:val="16"/>
                <w:color w:val="0000EE"/>
                <w:w w:val="88"/>
              </w:rPr>
            </w:pPr>
            <w:hyperlink w:anchor="page86">
              <w:r>
                <w:rPr>
                  <w:rFonts w:ascii="Arial" w:cs="Arial" w:eastAsia="Arial" w:hAnsi="Arial"/>
                  <w:sz w:val="16"/>
                  <w:szCs w:val="16"/>
                  <w:color w:val="0000EE"/>
                  <w:w w:val="88"/>
                </w:rPr>
                <w:t>Signatures</w:t>
              </w:r>
            </w:hyperlink>
          </w:p>
        </w:tc>
        <w:tc>
          <w:tcPr>
            <w:tcW w:w="2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9" w:lineRule="exact"/>
        <w:rPr>
          <w:sz w:val="20"/>
          <w:szCs w:val="20"/>
          <w:color w:val="auto"/>
        </w:rPr>
      </w:pPr>
    </w:p>
    <w:p>
      <w:pPr>
        <w:ind w:firstLine="777"/>
        <w:spacing w:after="0" w:line="287"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78" w:lineRule="exact"/>
        <w:rPr>
          <w:sz w:val="20"/>
          <w:szCs w:val="20"/>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increases or decreases in expenses;</w:t>
      </w:r>
    </w:p>
    <w:p>
      <w:pPr>
        <w:spacing w:after="0" w:line="126" w:lineRule="exact"/>
        <w:rPr>
          <w:rFonts w:ascii="Arial" w:cs="Arial" w:eastAsia="Arial" w:hAnsi="Arial"/>
          <w:sz w:val="16"/>
          <w:szCs w:val="16"/>
          <w:color w:val="auto"/>
        </w:rPr>
      </w:pPr>
    </w:p>
    <w:p>
      <w:pPr>
        <w:ind w:left="1200" w:right="120" w:hanging="423"/>
        <w:spacing w:after="0" w:line="293" w:lineRule="auto"/>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3"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estimates of the sufficiency of our existing capital resources combined with future anticipated cash flows to finance our operating requirements;</w:t>
      </w:r>
    </w:p>
    <w:p>
      <w:pPr>
        <w:spacing w:after="0" w:line="138" w:lineRule="exact"/>
        <w:rPr>
          <w:rFonts w:ascii="Arial" w:cs="Arial" w:eastAsia="Arial" w:hAnsi="Arial"/>
          <w:sz w:val="15"/>
          <w:szCs w:val="15"/>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incurring capital expenditures to expand our research and development and manufacturing capabilities;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unforeseen circumstances or other disruptions to normal business operations arising from or related to COVID-19;</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generating revenue or becoming profitable on a sustained basis;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enter into marketing and other partnership agreements;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enter into product acquisition and in-licensing transactions;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or ability to build our own commercial infrastructure to manufacture, market and sell our product candidates;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expected losses;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 candidates;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acceptance of our products by doctors, patients, or payors;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stock price and its volatility;</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performance of our third-party manufacturers;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for future capital requirements; and</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successfully implement our strategy.</w:t>
      </w:r>
    </w:p>
    <w:p>
      <w:pPr>
        <w:spacing w:after="0" w:line="235" w:lineRule="exact"/>
        <w:rPr>
          <w:sz w:val="20"/>
          <w:szCs w:val="20"/>
          <w:color w:val="auto"/>
        </w:rPr>
      </w:pPr>
    </w:p>
    <w:p>
      <w:pPr>
        <w:ind w:right="240" w:firstLine="777"/>
        <w:spacing w:after="0" w:line="293"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72"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141,219,090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183,876,453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141,654,894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184,024,826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 operating lease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1,209,037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143,264,750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186,134,323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11,611,996</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13,504,022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10,162,831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1,088,841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22,863,668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23,437,858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Loan payable, long-term</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48,882,599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48,321,848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long-term</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71,828,130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72,341,414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8"/>
                <w:szCs w:val="18"/>
                <w:color w:val="auto"/>
                <w:w w:val="89"/>
              </w:rPr>
              <w:t>Preferred stock, $0.0001 par value per share (10,000,000 shares authorized, none issued and outstanding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at June 30, 2021 and December 31, 2020,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$0.0001 par value per share (150,000,000 shares authorized, 37,648,948 and</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w w:val="96"/>
              </w:rPr>
              <w:t>37,374,088 shares issued and outstanding at June 30, 2021 and December 31, 2020, respectively)</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411,773,127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392,585,265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(340,340,272)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(278,796,093)</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71,436,620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113,792,909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143,264,750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186,134,323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center"/>
              <w:ind w:right="381"/>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26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14,503,326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10,542,957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31,099,014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38,064,357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16,344,361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7,235,877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27,592,734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12,205,934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30,847,687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17,778,834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58,691,748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50,270,291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(30,847,687)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(17,778,834)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(58,691,748)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(50,270,291)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Interest and amortization of debt discount (expense) income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(1,436,522)</w:t>
            </w:r>
          </w:p>
        </w:tc>
        <w:tc>
          <w:tcPr>
            <w:tcW w:w="10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(548,158)</w:t>
            </w:r>
          </w:p>
        </w:tc>
        <w:tc>
          <w:tcPr>
            <w:tcW w:w="1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(2,852,431)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(540,847)</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(32,284,209</w:t>
            </w:r>
          </w:p>
        </w:tc>
        <w:tc>
          <w:tcPr>
            <w:tcW w:w="240" w:type="dxa"/>
            <w:vAlign w:val="bottom"/>
            <w:tcBorders>
              <w:top w:val="single" w:sz="8" w:color="CFF0FC"/>
              <w:bottom w:val="single" w:sz="8" w:color="CFF0FC"/>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(18,326,992</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(61,544,179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(50,811,138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9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37,595,069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37,100,770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37,512,716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37,081,064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220" w:type="dxa"/>
            <w:vAlign w:val="bottom"/>
            <w:gridSpan w:val="2"/>
            <w:vMerge w:val="restart"/>
          </w:tcPr>
          <w:p>
            <w:pPr>
              <w:jc w:val="right"/>
              <w:ind w:right="239"/>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9"/>
              </w:rPr>
              <w:t>paid-in 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36,933,217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354,614,189</w:t>
            </w:r>
          </w:p>
        </w:tc>
        <w:tc>
          <w:tcPr>
            <w:tcW w:w="1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(175,895,493)</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178,722,389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2,133,530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629,750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related to license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82,019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7,155,329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7,155,337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(32,484,146)</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(32,484,146)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Balance at March 31, 2020</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2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37,075,422</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3,707</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364,532,798</w:t>
            </w:r>
          </w:p>
        </w:tc>
        <w:tc>
          <w:tcPr>
            <w:tcW w:w="140" w:type="dxa"/>
            <w:vAlign w:val="bottom"/>
          </w:tcPr>
          <w:p>
            <w:pPr>
              <w:spacing w:after="0"/>
              <w:rPr>
                <w:sz w:val="21"/>
                <w:szCs w:val="21"/>
                <w:color w:val="auto"/>
              </w:rPr>
            </w:pPr>
          </w:p>
        </w:tc>
        <w:tc>
          <w:tcPr>
            <w:tcW w:w="1300" w:type="dxa"/>
            <w:vAlign w:val="bottom"/>
            <w:gridSpan w:val="3"/>
          </w:tcPr>
          <w:p>
            <w:pPr>
              <w:jc w:val="right"/>
              <w:ind w:right="79"/>
              <w:spacing w:after="0"/>
              <w:rPr>
                <w:sz w:val="20"/>
                <w:szCs w:val="20"/>
                <w:color w:val="auto"/>
              </w:rPr>
            </w:pPr>
            <w:r>
              <w:rPr>
                <w:rFonts w:ascii="Arial" w:cs="Arial" w:eastAsia="Arial" w:hAnsi="Arial"/>
                <w:sz w:val="16"/>
                <w:szCs w:val="16"/>
                <w:color w:val="auto"/>
                <w:w w:val="99"/>
              </w:rPr>
              <w:t>$ (208,379,639)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156,156,866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4,148,025</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4,148,025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exercise of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20,428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warrants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financing</w:t>
            </w:r>
          </w:p>
        </w:tc>
        <w:tc>
          <w:tcPr>
            <w:tcW w:w="1000" w:type="dxa"/>
            <w:vAlign w:val="bottom"/>
          </w:tcPr>
          <w:p>
            <w:pPr>
              <w:jc w:val="right"/>
              <w:spacing w:after="0"/>
              <w:rPr>
                <w:sz w:val="20"/>
                <w:szCs w:val="20"/>
                <w:color w:val="auto"/>
              </w:rPr>
            </w:pPr>
            <w:r>
              <w:rPr>
                <w:rFonts w:ascii="Arial" w:cs="Arial" w:eastAsia="Arial" w:hAnsi="Arial"/>
                <w:sz w:val="16"/>
                <w:szCs w:val="16"/>
                <w:color w:val="auto"/>
              </w:rPr>
              <w:t>141,678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12,074,985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12,074,999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(18,326,992)</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(18,326,992)</w:t>
            </w:r>
          </w:p>
        </w:tc>
        <w:tc>
          <w:tcPr>
            <w:tcW w:w="0" w:type="dxa"/>
            <w:vAlign w:val="bottom"/>
          </w:tcPr>
          <w:p>
            <w:pPr>
              <w:spacing w:after="0"/>
              <w:rPr>
                <w:sz w:val="1"/>
                <w:szCs w:val="1"/>
                <w:color w:val="auto"/>
              </w:rPr>
            </w:pPr>
          </w:p>
        </w:tc>
      </w:tr>
      <w:tr>
        <w:trPr>
          <w:trHeight w:val="247"/>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37,267,510</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3,726</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380,946,215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 (226,706,631</w:t>
            </w:r>
          </w:p>
        </w:tc>
        <w:tc>
          <w:tcPr>
            <w:tcW w:w="220" w:type="dxa"/>
            <w:vAlign w:val="bottom"/>
            <w:tcBorders>
              <w:bottom w:val="single" w:sz="8" w:color="CFF0FC"/>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154,243,310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1000" w:type="dxa"/>
            <w:vAlign w:val="bottom"/>
          </w:tcPr>
          <w:p>
            <w:pPr>
              <w:jc w:val="right"/>
              <w:spacing w:after="0"/>
              <w:rPr>
                <w:sz w:val="20"/>
                <w:szCs w:val="20"/>
                <w:color w:val="auto"/>
              </w:rPr>
            </w:pPr>
            <w:r>
              <w:rPr>
                <w:rFonts w:ascii="Arial" w:cs="Arial" w:eastAsia="Arial" w:hAnsi="Arial"/>
                <w:sz w:val="16"/>
                <w:szCs w:val="16"/>
                <w:color w:val="auto"/>
              </w:rPr>
              <w:t>37,374,088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392,585,265</w:t>
            </w:r>
          </w:p>
        </w:tc>
        <w:tc>
          <w:tcPr>
            <w:tcW w:w="140" w:type="dxa"/>
            <w:vAlign w:val="bottom"/>
          </w:tcPr>
          <w:p>
            <w:pPr>
              <w:spacing w:after="0"/>
              <w:rPr>
                <w:sz w:val="18"/>
                <w:szCs w:val="18"/>
                <w:color w:val="auto"/>
              </w:rPr>
            </w:pPr>
          </w:p>
        </w:tc>
        <w:tc>
          <w:tcPr>
            <w:tcW w:w="1300" w:type="dxa"/>
            <w:vAlign w:val="bottom"/>
            <w:gridSpan w:val="3"/>
          </w:tcPr>
          <w:p>
            <w:pPr>
              <w:jc w:val="right"/>
              <w:ind w:right="79"/>
              <w:spacing w:after="0"/>
              <w:rPr>
                <w:sz w:val="20"/>
                <w:szCs w:val="20"/>
                <w:color w:val="auto"/>
              </w:rPr>
            </w:pPr>
            <w:r>
              <w:rPr>
                <w:rFonts w:ascii="Arial" w:cs="Arial" w:eastAsia="Arial" w:hAnsi="Arial"/>
                <w:sz w:val="16"/>
                <w:szCs w:val="16"/>
                <w:color w:val="auto"/>
              </w:rPr>
              <w:t>(278,796,093)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113,792,909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3,731,097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3,731,097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exercise of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94,000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1,913,289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1,913,299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vesting of RSUs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financing</w:t>
            </w:r>
          </w:p>
        </w:tc>
        <w:tc>
          <w:tcPr>
            <w:tcW w:w="1000" w:type="dxa"/>
            <w:vAlign w:val="bottom"/>
          </w:tcPr>
          <w:p>
            <w:pPr>
              <w:jc w:val="right"/>
              <w:spacing w:after="0"/>
              <w:rPr>
                <w:sz w:val="20"/>
                <w:szCs w:val="20"/>
                <w:color w:val="auto"/>
              </w:rPr>
            </w:pPr>
            <w:r>
              <w:rPr>
                <w:rFonts w:ascii="Arial" w:cs="Arial" w:eastAsia="Arial" w:hAnsi="Arial"/>
                <w:sz w:val="16"/>
                <w:szCs w:val="16"/>
                <w:color w:val="auto"/>
              </w:rPr>
              <w:t>93,877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6,115,855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(29,259,970)</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(29,259,970)</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Balance at March 31, 2021</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2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37,563,882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404,345,506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(308,056,063)</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96,293,199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5,456,242</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5,456,242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exercise of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68,503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958,888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958,895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vesting of RSUs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financing</w:t>
            </w:r>
          </w:p>
        </w:tc>
        <w:tc>
          <w:tcPr>
            <w:tcW w:w="1000" w:type="dxa"/>
            <w:vAlign w:val="bottom"/>
          </w:tcPr>
          <w:p>
            <w:pPr>
              <w:jc w:val="right"/>
              <w:spacing w:after="0"/>
              <w:rPr>
                <w:sz w:val="20"/>
                <w:szCs w:val="20"/>
                <w:color w:val="auto"/>
              </w:rPr>
            </w:pPr>
            <w:r>
              <w:rPr>
                <w:rFonts w:ascii="Arial" w:cs="Arial" w:eastAsia="Arial" w:hAnsi="Arial"/>
                <w:sz w:val="16"/>
                <w:szCs w:val="16"/>
                <w:color w:val="auto"/>
              </w:rPr>
              <w:t>16,419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1,096,501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Shares tendered for withholding taxes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(84,010)</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(84,010)</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79"/>
              <w:spacing w:after="0"/>
              <w:rPr>
                <w:sz w:val="20"/>
                <w:szCs w:val="20"/>
                <w:color w:val="auto"/>
              </w:rPr>
            </w:pPr>
            <w:r>
              <w:rPr>
                <w:rFonts w:ascii="Arial" w:cs="Arial" w:eastAsia="Arial" w:hAnsi="Arial"/>
                <w:sz w:val="16"/>
                <w:szCs w:val="16"/>
                <w:color w:val="auto"/>
              </w:rPr>
              <w:t>(32,284,209)</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(32,284,209)</w:t>
            </w:r>
          </w:p>
        </w:tc>
        <w:tc>
          <w:tcPr>
            <w:tcW w:w="0" w:type="dxa"/>
            <w:vAlign w:val="bottom"/>
          </w:tcPr>
          <w:p>
            <w:pPr>
              <w:spacing w:after="0"/>
              <w:rPr>
                <w:sz w:val="1"/>
                <w:szCs w:val="1"/>
                <w:color w:val="auto"/>
              </w:rPr>
            </w:pPr>
          </w:p>
        </w:tc>
      </w:tr>
      <w:tr>
        <w:trPr>
          <w:trHeight w:val="210"/>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June 30,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37,648,948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3,765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411,773,127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1"/>
              </w:rPr>
              <w:t>$ (340,340,272</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71,436,620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75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(61,544,179)</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(50,811,138)</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9,187,339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6,281,555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Non-cash research and development license expense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operating lease right-of-use asset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Change in operating lease liability</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(631,591)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(287,431)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(1,892,026)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(1,580,100)</w:t>
            </w: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1,449,582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(3,857,658)</w:t>
            </w:r>
          </w:p>
        </w:tc>
        <w:tc>
          <w:tcPr>
            <w:tcW w:w="0" w:type="dxa"/>
            <w:vAlign w:val="bottom"/>
          </w:tcPr>
          <w:p>
            <w:pPr>
              <w:spacing w:after="0"/>
              <w:rPr>
                <w:sz w:val="1"/>
                <w:szCs w:val="1"/>
                <w:color w:val="auto"/>
              </w:rPr>
            </w:pP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(52,609,042)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(42,168,466)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Purchases of equipment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(48,872)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(10,759)</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Proceeds from issuance of common stock upon financing,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7,212,367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12,074,999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exercise of options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2,872,194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Proceeds from issuance of common stock upon exercise of warrants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Payments of tax withholdings on stock award</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(84,010)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10,000,551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12,895,167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(42,657,363)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(29,284,058)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183,876,453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219,966,167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141,219,090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190,682,109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2,312,917</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1. Nature of Business and Basis of Presentation</w:t>
      </w:r>
    </w:p>
    <w:p>
      <w:pPr>
        <w:spacing w:after="0" w:line="212" w:lineRule="exact"/>
        <w:rPr>
          <w:sz w:val="20"/>
          <w:szCs w:val="20"/>
          <w:color w:val="auto"/>
        </w:rPr>
      </w:pPr>
    </w:p>
    <w:p>
      <w:pPr>
        <w:ind w:right="60" w:firstLine="777"/>
        <w:spacing w:after="0" w:line="269" w:lineRule="auto"/>
        <w:rPr>
          <w:sz w:val="20"/>
          <w:szCs w:val="20"/>
          <w:color w:val="auto"/>
        </w:rPr>
      </w:pPr>
      <w:r>
        <w:rPr>
          <w:rFonts w:ascii="Arial" w:cs="Arial" w:eastAsia="Arial" w:hAnsi="Arial"/>
          <w:sz w:val="16"/>
          <w:szCs w:val="16"/>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53" w:lineRule="exact"/>
        <w:rPr>
          <w:sz w:val="20"/>
          <w:szCs w:val="20"/>
          <w:color w:val="auto"/>
        </w:rPr>
      </w:pPr>
    </w:p>
    <w:p>
      <w:pPr>
        <w:jc w:val="both"/>
        <w:ind w:right="60" w:firstLine="777"/>
        <w:spacing w:after="0" w:line="318" w:lineRule="auto"/>
        <w:rPr>
          <w:sz w:val="20"/>
          <w:szCs w:val="20"/>
          <w:color w:val="auto"/>
        </w:rPr>
      </w:pPr>
      <w:r>
        <w:rPr>
          <w:rFonts w:ascii="Arial" w:cs="Arial" w:eastAsia="Arial" w:hAnsi="Arial"/>
          <w:sz w:val="14"/>
          <w:szCs w:val="14"/>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2020 filed with the SEC on March 1, 2021.</w:t>
      </w:r>
    </w:p>
    <w:p>
      <w:pPr>
        <w:spacing w:after="0" w:line="121" w:lineRule="exact"/>
        <w:rPr>
          <w:sz w:val="20"/>
          <w:szCs w:val="20"/>
          <w:color w:val="auto"/>
        </w:rPr>
      </w:pPr>
    </w:p>
    <w:p>
      <w:pPr>
        <w:ind w:firstLine="777"/>
        <w:spacing w:after="0" w:line="278" w:lineRule="auto"/>
        <w:rPr>
          <w:sz w:val="20"/>
          <w:szCs w:val="20"/>
          <w:color w:val="auto"/>
        </w:rPr>
      </w:pPr>
      <w:r>
        <w:rPr>
          <w:rFonts w:ascii="Arial" w:cs="Arial" w:eastAsia="Arial" w:hAnsi="Arial"/>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2021 are not necessarily indicative of the operating results for the full fiscal year or any future period.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right="520" w:firstLine="777"/>
        <w:spacing w:after="0" w:line="293" w:lineRule="auto"/>
        <w:rPr>
          <w:sz w:val="20"/>
          <w:szCs w:val="20"/>
          <w:color w:val="auto"/>
        </w:rPr>
      </w:pPr>
      <w:r>
        <w:rPr>
          <w:rFonts w:ascii="Arial" w:cs="Arial" w:eastAsia="Arial" w:hAnsi="Arial"/>
          <w:sz w:val="16"/>
          <w:szCs w:val="16"/>
          <w:color w:val="auto"/>
        </w:rPr>
        <w:t>The Company has incurred operating losses since its inception, and expects to continue to incur operating losses for the foreseeable future and may never become profitable. As of June 30, 2021, the Company had an accumulated deficit of $340.3 million.</w:t>
      </w:r>
    </w:p>
    <w:p>
      <w:pPr>
        <w:spacing w:after="0" w:line="131" w:lineRule="exact"/>
        <w:rPr>
          <w:sz w:val="20"/>
          <w:szCs w:val="20"/>
          <w:color w:val="auto"/>
        </w:rPr>
      </w:pPr>
    </w:p>
    <w:p>
      <w:pPr>
        <w:ind w:right="40" w:firstLine="777"/>
        <w:spacing w:after="0" w:line="271" w:lineRule="auto"/>
        <w:rPr>
          <w:sz w:val="20"/>
          <w:szCs w:val="20"/>
          <w:color w:val="auto"/>
        </w:rPr>
      </w:pPr>
      <w:r>
        <w:rPr>
          <w:rFonts w:ascii="Arial" w:cs="Arial" w:eastAsia="Arial" w:hAnsi="Arial"/>
          <w:sz w:val="16"/>
          <w:szCs w:val="16"/>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3" w:lineRule="exact"/>
        <w:rPr>
          <w:sz w:val="20"/>
          <w:szCs w:val="20"/>
          <w:color w:val="auto"/>
        </w:rPr>
      </w:pPr>
    </w:p>
    <w:p>
      <w:pPr>
        <w:ind w:right="60" w:firstLine="777"/>
        <w:spacing w:after="0" w:line="271" w:lineRule="auto"/>
        <w:rPr>
          <w:sz w:val="20"/>
          <w:szCs w:val="20"/>
          <w:color w:val="auto"/>
        </w:rPr>
      </w:pPr>
      <w:r>
        <w:rPr>
          <w:rFonts w:ascii="Arial" w:cs="Arial" w:eastAsia="Arial" w:hAnsi="Arial"/>
          <w:sz w:val="16"/>
          <w:szCs w:val="16"/>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Company’s common stock is listed on the Nasdaq Global Market and trades under the symbol “AXSM”.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212" w:lineRule="exact"/>
        <w:rPr>
          <w:sz w:val="20"/>
          <w:szCs w:val="20"/>
          <w:color w:val="auto"/>
        </w:rPr>
      </w:pPr>
    </w:p>
    <w:p>
      <w:pPr>
        <w:ind w:right="20" w:firstLine="777"/>
        <w:spacing w:after="0" w:line="267"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Risks and Uncertainties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Company’s operations are subject to a number of factors that can affect its operating results and financial condition. Such factors include, but are not limited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the results of clinical testing and trial activities of the Company’s product candidates; the Company’s ability to obtain regulatory approval to market its products, if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approved; competition from products manufactured and sold or being developed by other companies; the price of, and demand for, the Company’s products, if approved; the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Company’s ability to negotiate favorable licensing or other manufacturing and marketing agreements for its products, if approved; and the Company’s ability to raise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additional financing. If the Company does not successfully commercialize any of its product candidates, it will be unable to generate recurring product revenue or achieve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maintain profitability.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ind w:right="100" w:firstLine="777"/>
        <w:spacing w:after="0" w:line="203" w:lineRule="exact"/>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39" w:lineRule="exact"/>
        <w:rPr>
          <w:sz w:val="20"/>
          <w:szCs w:val="20"/>
          <w:color w:val="auto"/>
        </w:rPr>
      </w:pPr>
    </w:p>
    <w:p>
      <w:pPr>
        <w:ind w:right="280" w:firstLine="777"/>
        <w:spacing w:after="0" w:line="278" w:lineRule="auto"/>
        <w:rPr>
          <w:sz w:val="20"/>
          <w:szCs w:val="20"/>
          <w:color w:val="auto"/>
        </w:rPr>
      </w:pPr>
      <w:r>
        <w:rPr>
          <w:rFonts w:ascii="Arial" w:cs="Arial" w:eastAsia="Arial" w:hAnsi="Arial"/>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239" w:lineRule="exact"/>
        <w:rPr>
          <w:sz w:val="20"/>
          <w:szCs w:val="20"/>
          <w:color w:val="auto"/>
        </w:rPr>
      </w:pPr>
    </w:p>
    <w:p>
      <w:pPr>
        <w:ind w:firstLine="777"/>
        <w:spacing w:after="0" w:line="278"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39"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2021, the balance of cash and cash equivalents was $141.2 million, which approximates fair value and was determined based upon Level 1 inputs. The sweep account is valued using quoted market prices with no valuation adjustments applied. Accordingly, these securities are categorized as Level 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39" w:lineRule="exact"/>
        <w:rPr>
          <w:sz w:val="20"/>
          <w:szCs w:val="20"/>
          <w:color w:val="auto"/>
        </w:rPr>
      </w:pPr>
    </w:p>
    <w:p>
      <w:pPr>
        <w:ind w:right="200" w:firstLine="777"/>
        <w:spacing w:after="0" w:line="273"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June 30, 2021,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39" w:lineRule="exact"/>
        <w:rPr>
          <w:sz w:val="20"/>
          <w:szCs w:val="20"/>
          <w:color w:val="auto"/>
        </w:rPr>
      </w:pPr>
    </w:p>
    <w:p>
      <w:pPr>
        <w:ind w:right="100" w:firstLine="777"/>
        <w:spacing w:after="0" w:line="204"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Level 1—Quoted prices in active markets for identical assets or liabilities that the Company has the ability to access at the measurement date.</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Level 2—Inputs other than quoted prices in active markets that are observable for the asset or liability, either directly or indirectly.</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Level 3—Inputs that are unobservable for the asset or liability.</w:t>
      </w:r>
    </w:p>
    <w:p>
      <w:pPr>
        <w:spacing w:after="0" w:line="235" w:lineRule="exact"/>
        <w:rPr>
          <w:sz w:val="20"/>
          <w:szCs w:val="20"/>
          <w:color w:val="auto"/>
        </w:rPr>
      </w:pPr>
    </w:p>
    <w:p>
      <w:pPr>
        <w:ind w:right="280" w:firstLine="777"/>
        <w:spacing w:after="0" w:line="305"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260" w:firstLine="777"/>
        <w:spacing w:after="0" w:line="273" w:lineRule="auto"/>
        <w:rPr>
          <w:sz w:val="20"/>
          <w:szCs w:val="20"/>
          <w:color w:val="auto"/>
        </w:rPr>
      </w:pPr>
      <w:r>
        <w:rPr>
          <w:rFonts w:ascii="Arial" w:cs="Arial" w:eastAsia="Arial" w:hAnsi="Arial"/>
          <w:sz w:val="16"/>
          <w:szCs w:val="16"/>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39" w:lineRule="exact"/>
        <w:rPr>
          <w:sz w:val="20"/>
          <w:szCs w:val="20"/>
          <w:color w:val="auto"/>
        </w:rPr>
      </w:pPr>
    </w:p>
    <w:p>
      <w:pPr>
        <w:ind w:firstLine="777"/>
        <w:spacing w:after="0" w:line="278" w:lineRule="auto"/>
        <w:rPr>
          <w:sz w:val="20"/>
          <w:szCs w:val="20"/>
          <w:color w:val="auto"/>
        </w:rPr>
      </w:pPr>
      <w:r>
        <w:rPr>
          <w:rFonts w:ascii="Arial" w:cs="Arial" w:eastAsia="Arial" w:hAnsi="Arial"/>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w:t>
      </w:r>
    </w:p>
    <w:p>
      <w:pPr>
        <w:spacing w:after="0" w:line="239" w:lineRule="exact"/>
        <w:rPr>
          <w:sz w:val="20"/>
          <w:szCs w:val="20"/>
          <w:color w:val="auto"/>
        </w:rPr>
      </w:pPr>
    </w:p>
    <w:p>
      <w:pPr>
        <w:jc w:val="both"/>
        <w:ind w:right="340" w:firstLine="777"/>
        <w:spacing w:after="0" w:line="204" w:lineRule="exact"/>
        <w:rPr>
          <w:sz w:val="20"/>
          <w:szCs w:val="20"/>
          <w:color w:val="auto"/>
        </w:rPr>
      </w:pPr>
      <w:r>
        <w:rPr>
          <w:rFonts w:ascii="Arial" w:cs="Arial" w:eastAsia="Arial" w:hAnsi="Arial"/>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ind w:right="20" w:firstLine="777"/>
        <w:spacing w:after="0" w:line="287" w:lineRule="auto"/>
        <w:rPr>
          <w:sz w:val="20"/>
          <w:szCs w:val="20"/>
          <w:color w:val="auto"/>
        </w:rPr>
      </w:pPr>
      <w:r>
        <w:rPr>
          <w:rFonts w:ascii="Arial" w:cs="Arial" w:eastAsia="Arial" w:hAnsi="Arial"/>
          <w:sz w:val="15"/>
          <w:szCs w:val="15"/>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ind w:firstLine="777"/>
        <w:spacing w:after="0" w:line="269"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4" w:lineRule="exact"/>
        <w:rPr>
          <w:sz w:val="20"/>
          <w:szCs w:val="20"/>
          <w:color w:val="auto"/>
        </w:rPr>
      </w:pPr>
    </w:p>
    <w:p>
      <w:pPr>
        <w:ind w:firstLine="777"/>
        <w:spacing w:after="0" w:line="293" w:lineRule="auto"/>
        <w:rPr>
          <w:sz w:val="20"/>
          <w:szCs w:val="20"/>
          <w:color w:val="auto"/>
        </w:rPr>
      </w:pPr>
      <w:r>
        <w:rPr>
          <w:rFonts w:ascii="Arial" w:cs="Arial" w:eastAsia="Arial" w:hAnsi="Arial"/>
          <w:sz w:val="16"/>
          <w:szCs w:val="16"/>
          <w:color w:val="auto"/>
        </w:rPr>
        <w:t>The Company estimates an annual effective tax rate of 0% for the year ending December 31, 2021 and has not recorded an income tax benefit for the six months ended June 30, 2021 and 2020 since it determined that a full valuation allowance is required against the Company’s deferred tax assets.</w:t>
      </w:r>
    </w:p>
    <w:p>
      <w:pPr>
        <w:spacing w:after="0" w:line="172"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2021,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ind w:firstLine="777"/>
        <w:spacing w:after="0" w:line="203" w:lineRule="exact"/>
        <w:rPr>
          <w:sz w:val="20"/>
          <w:szCs w:val="20"/>
          <w:color w:val="auto"/>
        </w:rPr>
      </w:pPr>
      <w:r>
        <w:rPr>
          <w:rFonts w:ascii="Arial" w:cs="Arial" w:eastAsia="Arial" w:hAnsi="Arial"/>
          <w:sz w:val="15"/>
          <w:szCs w:val="15"/>
          <w:color w:val="auto"/>
        </w:rPr>
        <w:t>For stock options issued, the Company estimates the grant date fair value of each option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 For awards subject to service-based vesting conditions, the Company recognizes stock-based compensation expense on a straight-line basis over the requisite service period, which is generally the vesting term.</w:t>
      </w:r>
    </w:p>
    <w:p>
      <w:pPr>
        <w:spacing w:after="0" w:line="215" w:lineRule="exact"/>
        <w:rPr>
          <w:sz w:val="20"/>
          <w:szCs w:val="20"/>
          <w:color w:val="auto"/>
        </w:rPr>
      </w:pPr>
    </w:p>
    <w:p>
      <w:pPr>
        <w:ind w:right="280" w:firstLine="777"/>
        <w:spacing w:after="0" w:line="278" w:lineRule="auto"/>
        <w:rPr>
          <w:sz w:val="20"/>
          <w:szCs w:val="20"/>
          <w:color w:val="auto"/>
        </w:rPr>
      </w:pPr>
      <w:r>
        <w:rPr>
          <w:rFonts w:ascii="Arial" w:cs="Arial" w:eastAsia="Arial" w:hAnsi="Arial"/>
          <w:sz w:val="16"/>
          <w:szCs w:val="16"/>
          <w:color w:val="auto"/>
        </w:rPr>
        <w:t>For restricted stock units (“RSUs”), the Company issues them in the form of Company common stock. The fair market value of these awards is based on the market closing price per share on the grant date. Prior to January 1, 2020, the Company only granted stock options. Beginning in 2020, for grants to employees, the Company granted a mix of stock options and RSUs.</w:t>
      </w:r>
    </w:p>
    <w:p>
      <w:pPr>
        <w:spacing w:after="0" w:line="184"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9" w:lineRule="exact"/>
        <w:rPr>
          <w:sz w:val="20"/>
          <w:szCs w:val="20"/>
          <w:color w:val="auto"/>
        </w:rPr>
      </w:pPr>
    </w:p>
    <w:p>
      <w:pPr>
        <w:ind w:right="60" w:firstLine="777"/>
        <w:spacing w:after="0" w:line="293" w:lineRule="auto"/>
        <w:rPr>
          <w:sz w:val="20"/>
          <w:szCs w:val="20"/>
          <w:color w:val="auto"/>
        </w:rPr>
      </w:pPr>
      <w:r>
        <w:rPr>
          <w:rFonts w:ascii="Arial" w:cs="Arial" w:eastAsia="Arial" w:hAnsi="Arial"/>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Net Loss per Common Share</w:t>
      </w:r>
    </w:p>
    <w:p>
      <w:pPr>
        <w:spacing w:after="0" w:line="239" w:lineRule="exact"/>
        <w:rPr>
          <w:sz w:val="20"/>
          <w:szCs w:val="20"/>
          <w:color w:val="auto"/>
        </w:rPr>
      </w:pPr>
    </w:p>
    <w:p>
      <w:pPr>
        <w:ind w:right="140" w:firstLine="777"/>
        <w:spacing w:after="0" w:line="297" w:lineRule="auto"/>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six months ended June 30, 2021 and 2020.</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39" w:lineRule="exact"/>
        <w:rPr>
          <w:sz w:val="20"/>
          <w:szCs w:val="20"/>
          <w:color w:val="auto"/>
        </w:rPr>
      </w:pPr>
    </w:p>
    <w:p>
      <w:pPr>
        <w:ind w:right="20" w:firstLine="777"/>
        <w:spacing w:after="0" w:line="324" w:lineRule="auto"/>
        <w:rPr>
          <w:sz w:val="20"/>
          <w:szCs w:val="20"/>
          <w:color w:val="auto"/>
        </w:rPr>
      </w:pPr>
      <w:r>
        <w:rPr>
          <w:rFonts w:ascii="Arial" w:cs="Arial" w:eastAsia="Arial" w:hAnsi="Arial"/>
          <w:sz w:val="14"/>
          <w:szCs w:val="14"/>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57" w:lineRule="exact"/>
        <w:rPr>
          <w:sz w:val="20"/>
          <w:szCs w:val="20"/>
          <w:color w:val="auto"/>
        </w:rPr>
      </w:pPr>
    </w:p>
    <w:p>
      <w:pPr>
        <w:ind w:right="40" w:firstLine="777"/>
        <w:spacing w:after="0" w:line="273" w:lineRule="auto"/>
        <w:rPr>
          <w:sz w:val="20"/>
          <w:szCs w:val="20"/>
          <w:color w:val="auto"/>
        </w:rPr>
      </w:pPr>
      <w:r>
        <w:rPr>
          <w:rFonts w:ascii="Arial" w:cs="Arial" w:eastAsia="Arial" w:hAnsi="Arial"/>
          <w:sz w:val="16"/>
          <w:szCs w:val="16"/>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89" w:lineRule="exact"/>
        <w:rPr>
          <w:sz w:val="20"/>
          <w:szCs w:val="20"/>
          <w:color w:val="auto"/>
        </w:rPr>
      </w:pPr>
    </w:p>
    <w:p>
      <w:pPr>
        <w:ind w:right="140" w:firstLine="777"/>
        <w:spacing w:after="0" w:line="297" w:lineRule="auto"/>
        <w:rPr>
          <w:sz w:val="20"/>
          <w:szCs w:val="20"/>
          <w:color w:val="auto"/>
        </w:rPr>
      </w:pPr>
      <w:r>
        <w:rPr>
          <w:rFonts w:ascii="Arial" w:cs="Arial" w:eastAsia="Arial" w:hAnsi="Arial"/>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2" w:lineRule="exact"/>
        <w:rPr>
          <w:sz w:val="20"/>
          <w:szCs w:val="20"/>
          <w:color w:val="auto"/>
        </w:rPr>
      </w:pPr>
    </w:p>
    <w:p>
      <w:pPr>
        <w:ind w:right="40" w:firstLine="777"/>
        <w:spacing w:after="0" w:line="324" w:lineRule="auto"/>
        <w:rPr>
          <w:sz w:val="20"/>
          <w:szCs w:val="20"/>
          <w:color w:val="auto"/>
        </w:rPr>
      </w:pPr>
      <w:r>
        <w:rPr>
          <w:rFonts w:ascii="Arial" w:cs="Arial" w:eastAsia="Arial" w:hAnsi="Arial"/>
          <w:sz w:val="14"/>
          <w:szCs w:val="14"/>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160" w:firstLine="777"/>
        <w:spacing w:after="0" w:line="293" w:lineRule="auto"/>
        <w:rPr>
          <w:sz w:val="20"/>
          <w:szCs w:val="20"/>
          <w:color w:val="auto"/>
        </w:rPr>
      </w:pPr>
      <w:r>
        <w:rPr>
          <w:rFonts w:ascii="Arial" w:cs="Arial" w:eastAsia="Arial" w:hAnsi="Arial"/>
          <w:sz w:val="15"/>
          <w:szCs w:val="15"/>
          <w:color w:val="auto"/>
        </w:rPr>
        <w:t>In December 2019, the FASB issued ASU 2019-12, Income Taxes (Topic 740): Simplifying the Accounting for Income Taxes,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adopted this standard on January 1, 2021, and the standard did not have a significant impact on its consolidated financial statements.</w:t>
      </w:r>
    </w:p>
    <w:p>
      <w:pPr>
        <w:spacing w:after="0" w:line="176"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In October 2020, the FASB issued ASU 2020-10, Codification Improvements, which clarifies various topics in the Accounting Standards Codification, including the addition of existing disclosure requirements to the relevant disclosure sections. The amendments in ASU 2020-10 do not change GAAP and, therefore, are not expected to result in a significant change in practice. ASU 2020-10 should be applied retrospectively to the beginning of the period that includes the adoption date. ASU 2020-10 is effective for fiscal years, and interim periods within those fiscal years, beginning after December 15, 2020. The Company adopted this standard on January 1, 2021, and the standard did not have a significant impact on its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Accrued Expenses and Other Current Liabilities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At June 30, 2021 and December 31, 2020 accrued expenses and other current liabilities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6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2,195,033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4,293,522</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Accrued compensation</w:t>
            </w: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3,034,669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2,870,261</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general and administrative</w:t>
            </w:r>
          </w:p>
        </w:tc>
        <w:tc>
          <w:tcPr>
            <w:tcW w:w="3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4,551,879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1,155,508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interest</w:t>
            </w:r>
          </w:p>
        </w:tc>
        <w:tc>
          <w:tcPr>
            <w:tcW w:w="36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381,250</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393,958</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10,162,831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8,713,249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60" w:type="dxa"/>
            <w:vAlign w:val="bottom"/>
            <w:vMerge w:val="restart"/>
          </w:tcPr>
          <w:p>
            <w:pPr>
              <w:jc w:val="right"/>
              <w:ind w:right="1939"/>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0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Loan and Security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Hercules Capital, Inc.</w:t>
      </w:r>
    </w:p>
    <w:p>
      <w:pPr>
        <w:spacing w:after="0" w:line="235" w:lineRule="exact"/>
        <w:rPr>
          <w:sz w:val="20"/>
          <w:szCs w:val="20"/>
          <w:color w:val="auto"/>
        </w:rPr>
      </w:pPr>
    </w:p>
    <w:p>
      <w:pPr>
        <w:ind w:firstLine="777"/>
        <w:spacing w:after="0" w:line="306" w:lineRule="auto"/>
        <w:rPr>
          <w:sz w:val="20"/>
          <w:szCs w:val="20"/>
          <w:color w:val="auto"/>
        </w:rPr>
      </w:pPr>
      <w:r>
        <w:rPr>
          <w:rFonts w:ascii="Arial" w:cs="Arial" w:eastAsia="Arial" w:hAnsi="Arial"/>
          <w:sz w:val="14"/>
          <w:szCs w:val="14"/>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is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Company intends to use the proceeds of the Term Loan Advances for working capital and general corporate purposes. In addition, approximately $21.7 million of the proceeds from the First Advance was used to satisfy in full and retire the Company’s indebtedness under the 2019 Term Loan (as defined below), as amended.</w:t>
      </w:r>
    </w:p>
    <w:p>
      <w:pPr>
        <w:spacing w:after="0" w:line="377" w:lineRule="exact"/>
        <w:rPr>
          <w:sz w:val="20"/>
          <w:szCs w:val="20"/>
          <w:color w:val="auto"/>
        </w:rPr>
      </w:pPr>
    </w:p>
    <w:p>
      <w:pPr>
        <w:jc w:val="both"/>
        <w:ind w:right="140" w:firstLine="777"/>
        <w:spacing w:after="0" w:line="303" w:lineRule="auto"/>
        <w:rPr>
          <w:sz w:val="20"/>
          <w:szCs w:val="20"/>
          <w:color w:val="auto"/>
        </w:rPr>
      </w:pPr>
      <w:r>
        <w:rPr>
          <w:rFonts w:ascii="Arial" w:cs="Arial" w:eastAsia="Arial" w:hAnsi="Arial"/>
          <w:sz w:val="14"/>
          <w:szCs w:val="14"/>
          <w:color w:val="auto"/>
        </w:rPr>
        <w:t xml:space="preserve">The outstanding principal balance of the term loans bears interest at an annual rate equal to the greater of either (i) the prime rate as reported in </w:t>
      </w:r>
      <w:r>
        <w:rPr>
          <w:rFonts w:ascii="Arial" w:cs="Arial" w:eastAsia="Arial" w:hAnsi="Arial"/>
          <w:sz w:val="14"/>
          <w:szCs w:val="14"/>
          <w:i w:val="1"/>
          <w:iCs w:val="1"/>
          <w:color w:val="auto"/>
        </w:rPr>
        <w:t>The Wall Street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Journal </w:t>
      </w:r>
      <w:r>
        <w:rPr>
          <w:rFonts w:ascii="Arial" w:cs="Arial" w:eastAsia="Arial" w:hAnsi="Arial"/>
          <w:sz w:val="14"/>
          <w:szCs w:val="14"/>
          <w:color w:val="auto"/>
        </w:rPr>
        <w:t>plus 5.90% or (ii) 9.15%, subject to an ability by the Company, during certain periods (each, a “PIK Deferral Period”), to request a reduction of the then-effective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cash-pay interest rate by up to 1.00% per annum (the “Cash Interest Reduction Amount”). Accrued interest is payable monthly following the funding of each term loan.</w:t>
      </w:r>
    </w:p>
    <w:p>
      <w:pPr>
        <w:spacing w:after="0" w:line="2" w:lineRule="exact"/>
        <w:rPr>
          <w:sz w:val="20"/>
          <w:szCs w:val="20"/>
          <w:color w:val="auto"/>
        </w:rPr>
      </w:pPr>
    </w:p>
    <w:p>
      <w:pPr>
        <w:jc w:val="both"/>
        <w:ind w:right="80"/>
        <w:spacing w:after="0" w:line="276" w:lineRule="auto"/>
        <w:rPr>
          <w:sz w:val="20"/>
          <w:szCs w:val="20"/>
          <w:color w:val="auto"/>
        </w:rPr>
      </w:pPr>
      <w:r>
        <w:rPr>
          <w:rFonts w:ascii="Arial" w:cs="Arial" w:eastAsia="Arial" w:hAnsi="Arial"/>
          <w:sz w:val="16"/>
          <w:szCs w:val="16"/>
          <w:color w:val="auto"/>
        </w:rPr>
        <w:t>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85" w:lineRule="exact"/>
        <w:rPr>
          <w:sz w:val="20"/>
          <w:szCs w:val="20"/>
          <w:color w:val="auto"/>
        </w:rPr>
      </w:pPr>
    </w:p>
    <w:p>
      <w:pPr>
        <w:ind w:right="100" w:firstLine="777"/>
        <w:spacing w:after="0" w:line="269" w:lineRule="auto"/>
        <w:rPr>
          <w:sz w:val="20"/>
          <w:szCs w:val="20"/>
          <w:color w:val="auto"/>
        </w:rPr>
      </w:pPr>
      <w:r>
        <w:rPr>
          <w:rFonts w:ascii="Arial" w:cs="Arial" w:eastAsia="Arial" w:hAnsi="Arial"/>
          <w:sz w:val="16"/>
          <w:szCs w:val="16"/>
          <w:color w:val="auto"/>
        </w:rPr>
        <w:t>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94" w:lineRule="exact"/>
        <w:rPr>
          <w:sz w:val="20"/>
          <w:szCs w:val="20"/>
          <w:color w:val="auto"/>
        </w:rPr>
      </w:pPr>
    </w:p>
    <w:p>
      <w:pPr>
        <w:ind w:right="140" w:firstLine="777"/>
        <w:spacing w:after="0" w:line="271" w:lineRule="auto"/>
        <w:rPr>
          <w:sz w:val="20"/>
          <w:szCs w:val="20"/>
          <w:color w:val="auto"/>
        </w:rPr>
      </w:pPr>
      <w:r>
        <w:rPr>
          <w:rFonts w:ascii="Arial" w:cs="Arial" w:eastAsia="Arial" w:hAnsi="Arial"/>
          <w:sz w:val="16"/>
          <w:szCs w:val="16"/>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Arial" w:cs="Arial" w:eastAsia="Arial" w:hAnsi="Arial"/>
          <w:sz w:val="16"/>
          <w:szCs w:val="16"/>
          <w:color w:val="FF0000"/>
        </w:rPr>
        <w:t>.</w:t>
      </w:r>
      <w:r>
        <w:rPr>
          <w:rFonts w:ascii="Arial" w:cs="Arial" w:eastAsia="Arial" w:hAnsi="Arial"/>
          <w:sz w:val="16"/>
          <w:szCs w:val="16"/>
          <w:color w:val="auto"/>
        </w:rPr>
        <w:t xml:space="preserve"> Antecip consented to the collateral assignment of the License Agreement, among other things, under a direct agreement (the “Direct Agreement”) with the Company and Hercules.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90" w:lineRule="exact"/>
        <w:rPr>
          <w:sz w:val="20"/>
          <w:szCs w:val="20"/>
          <w:color w:val="auto"/>
        </w:rPr>
      </w:pPr>
    </w:p>
    <w:p>
      <w:pPr>
        <w:jc w:val="both"/>
        <w:ind w:left="1200" w:right="160" w:hanging="423"/>
        <w:spacing w:after="0" w:line="297" w:lineRule="auto"/>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64" w:lineRule="exact"/>
        <w:rPr>
          <w:rFonts w:ascii="Arial" w:cs="Arial" w:eastAsia="Arial" w:hAnsi="Arial"/>
          <w:sz w:val="15"/>
          <w:szCs w:val="15"/>
          <w:color w:val="auto"/>
        </w:rPr>
      </w:pPr>
    </w:p>
    <w:p>
      <w:pPr>
        <w:ind w:left="1200" w:hanging="423"/>
        <w:spacing w:after="0" w:line="286" w:lineRule="auto"/>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neither of which have occurred yet,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(B) ensure that at all times that it maintains cash in an account which Hercules has a first priority security interest in an amount not less than 100%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74" w:lineRule="exact"/>
        <w:rPr>
          <w:rFonts w:ascii="Arial" w:cs="Arial" w:eastAsia="Arial" w:hAnsi="Arial"/>
          <w:sz w:val="15"/>
          <w:szCs w:val="15"/>
          <w:color w:val="auto"/>
        </w:rPr>
      </w:pPr>
    </w:p>
    <w:p>
      <w:pPr>
        <w:ind w:left="1200" w:hanging="423"/>
        <w:spacing w:after="0" w:line="293"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ind w:right="40" w:firstLine="777"/>
        <w:spacing w:after="0" w:line="293" w:lineRule="auto"/>
        <w:rPr>
          <w:sz w:val="20"/>
          <w:szCs w:val="20"/>
          <w:color w:val="auto"/>
        </w:rPr>
      </w:pPr>
      <w:r>
        <w:rPr>
          <w:rFonts w:ascii="Arial" w:cs="Arial" w:eastAsia="Arial" w:hAnsi="Arial"/>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72" w:lineRule="exact"/>
        <w:rPr>
          <w:sz w:val="20"/>
          <w:szCs w:val="20"/>
          <w:color w:val="auto"/>
        </w:rPr>
      </w:pPr>
    </w:p>
    <w:p>
      <w:pPr>
        <w:ind w:right="200" w:firstLine="777"/>
        <w:spacing w:after="0" w:line="278" w:lineRule="auto"/>
        <w:rPr>
          <w:sz w:val="20"/>
          <w:szCs w:val="20"/>
          <w:color w:val="auto"/>
        </w:rPr>
      </w:pPr>
      <w:r>
        <w:rPr>
          <w:rFonts w:ascii="Arial" w:cs="Arial" w:eastAsia="Arial" w:hAnsi="Arial"/>
          <w:sz w:val="16"/>
          <w:szCs w:val="16"/>
          <w:color w:val="auto"/>
        </w:rPr>
        <w:t>In addition, the Company is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jc w:val="both"/>
        <w:ind w:right="100" w:firstLine="777"/>
        <w:spacing w:after="0" w:line="273" w:lineRule="auto"/>
        <w:rPr>
          <w:sz w:val="20"/>
          <w:szCs w:val="20"/>
          <w:color w:val="auto"/>
        </w:rPr>
      </w:pPr>
      <w:r>
        <w:rPr>
          <w:rFonts w:ascii="Arial" w:cs="Arial" w:eastAsia="Arial" w:hAnsi="Arial"/>
          <w:sz w:val="16"/>
          <w:szCs w:val="16"/>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Silicon Valley Bank</w:t>
      </w:r>
    </w:p>
    <w:p>
      <w:pPr>
        <w:spacing w:after="0" w:line="235"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or SVB and West River Innovation Lending Fund VIII, L.P., or WestRiver. In September 2020, the Company used a portion of the 2020 Term Loan to terminate and repay all amounts outstanding under the 2019 Term Loan and recorded a loss on extinguishment of the 2019 Term Loan.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 Interest Expense and Amortization</w:t>
      </w:r>
    </w:p>
    <w:p>
      <w:pPr>
        <w:spacing w:after="0" w:line="235" w:lineRule="exact"/>
        <w:rPr>
          <w:sz w:val="20"/>
          <w:szCs w:val="20"/>
          <w:color w:val="auto"/>
        </w:rPr>
      </w:pPr>
    </w:p>
    <w:p>
      <w:pPr>
        <w:jc w:val="both"/>
        <w:ind w:right="80" w:firstLine="777"/>
        <w:spacing w:after="0" w:line="278" w:lineRule="auto"/>
        <w:rPr>
          <w:sz w:val="20"/>
          <w:szCs w:val="20"/>
          <w:color w:val="auto"/>
        </w:rPr>
      </w:pPr>
      <w:r>
        <w:rPr>
          <w:rFonts w:ascii="Arial" w:cs="Arial" w:eastAsia="Arial" w:hAnsi="Arial"/>
          <w:sz w:val="16"/>
          <w:szCs w:val="16"/>
          <w:color w:val="auto"/>
        </w:rPr>
        <w:t>The Company incurred interest expense of $1,156,458 and $2,300,208 for the three and six months ended June 30, 2021 and 379,167 and 758,334 three and six months ended June 30, 2020, respectively. In addition, amortization of the final payment fee was $149,281 and $292,870 for the three and six months ended June 30, 2021 and $119,014 and $238,028 three and six months ended June 30, 2020,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outstanding debt and unamortized debt discount balances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5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Outstanding Debt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50,000,000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50,000,000</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Add: accreted liability of final payment fee</w:t>
            </w:r>
          </w:p>
        </w:tc>
        <w:tc>
          <w:tcPr>
            <w:tcW w:w="30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444,783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151,912</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unamortized debt discount, long-term</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(1,562,184)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(1,830,064)</w:t>
            </w: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 payable, long-term</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48,882,599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48,321,848</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60" w:firstLine="777"/>
        <w:spacing w:after="0" w:line="278" w:lineRule="auto"/>
        <w:rPr>
          <w:sz w:val="20"/>
          <w:szCs w:val="20"/>
          <w:color w:val="auto"/>
        </w:rPr>
      </w:pPr>
      <w:r>
        <w:rPr>
          <w:rFonts w:ascii="Arial" w:cs="Arial" w:eastAsia="Arial" w:hAnsi="Arial"/>
          <w:sz w:val="16"/>
          <w:szCs w:val="16"/>
          <w:color w:val="auto"/>
        </w:rPr>
        <w:t>In connection with the entry into the Hercules Term Loan, the Company issued to Hercules a warrant to purchase a number of shares of the Company’s common stock equal to 2.5% of the aggregate amount of the Term Loan Advances that are funded. Further information on warrants issued related to this loan and prior debt financings and amendments are disclosed in Note 7 - Stockholders’ Equity under the “Warrants” section.</w:t>
      </w:r>
    </w:p>
    <w:p>
      <w:pPr>
        <w:spacing w:after="0" w:line="184" w:lineRule="exact"/>
        <w:rPr>
          <w:sz w:val="20"/>
          <w:szCs w:val="20"/>
          <w:color w:val="auto"/>
        </w:rPr>
      </w:pPr>
    </w:p>
    <w:p>
      <w:pPr>
        <w:ind w:firstLine="777"/>
        <w:spacing w:after="0" w:line="293" w:lineRule="auto"/>
        <w:rPr>
          <w:sz w:val="20"/>
          <w:szCs w:val="20"/>
          <w:color w:val="auto"/>
        </w:rPr>
      </w:pPr>
      <w:r>
        <w:rPr>
          <w:rFonts w:ascii="Arial" w:cs="Arial" w:eastAsia="Arial" w:hAnsi="Arial"/>
          <w:sz w:val="16"/>
          <w:szCs w:val="16"/>
          <w:color w:val="auto"/>
        </w:rPr>
        <w:t>Amortization of the debt discount in relation to warrants issued as described above was $132,508 and $267,882 for the three and six months ended June 30, 2021 and $59,998 and $118,636 for the three and six months ended June 30, 2020,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ind w:left="780"/>
              <w:spacing w:after="0"/>
              <w:rPr>
                <w:sz w:val="20"/>
                <w:szCs w:val="20"/>
                <w:color w:val="auto"/>
              </w:rPr>
            </w:pPr>
            <w:r>
              <w:rPr>
                <w:rFonts w:ascii="Arial" w:cs="Arial" w:eastAsia="Arial" w:hAnsi="Arial"/>
                <w:sz w:val="16"/>
                <w:szCs w:val="16"/>
                <w:color w:val="auto"/>
              </w:rPr>
              <w:t>Scheduled Principal Payments on Outstanding Debt, as of June 30, 2021, are as follows: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9"/>
        </w:trPr>
        <w:tc>
          <w:tcPr>
            <w:tcW w:w="9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12,193,153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19,761,468</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18,045,379</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 payments outstanding</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50,000,000</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Company was in compliance with all covenants and requirements of its financing arrangements as of and during the six months ended June 30, 2021.</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Loss per Common Share</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the computation of basic and diluted net loss per common share: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5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2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(32,284,209)</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(18,326,992)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(61,544,179)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(50,811,138)</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common shares outstanding—basic and diluted</w:t>
            </w:r>
          </w:p>
        </w:tc>
        <w:tc>
          <w:tcPr>
            <w:tcW w:w="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37,595,069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37,100,770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37,512,716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37,081,064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loss per common share—basic and diluted</w:t>
            </w: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20" w:firstLine="777"/>
        <w:spacing w:after="0" w:line="293" w:lineRule="auto"/>
        <w:rPr>
          <w:sz w:val="20"/>
          <w:szCs w:val="20"/>
          <w:color w:val="auto"/>
        </w:rPr>
      </w:pPr>
      <w:r>
        <w:rPr>
          <w:rFonts w:ascii="Arial" w:cs="Arial" w:eastAsia="Arial" w:hAnsi="Arial"/>
          <w:sz w:val="16"/>
          <w:szCs w:val="16"/>
          <w:color w:val="auto"/>
        </w:rPr>
        <w:t>The following potentially dilutive securities outstanding at June 30, 2021 and 2020 have been excluded from the computation of diluted weighted average shares outstanding, as they would be anti-dilutive: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2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rPr>
              <w:t>June 30,</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Borders>
              <w:bottom w:val="single" w:sz="8" w:color="CFF0FC"/>
            </w:tcBorders>
          </w:tcPr>
          <w:p>
            <w:pPr>
              <w:spacing w:after="0"/>
              <w:rPr>
                <w:sz w:val="13"/>
                <w:szCs w:val="13"/>
                <w:color w:val="auto"/>
              </w:rPr>
            </w:pPr>
          </w:p>
        </w:tc>
        <w:tc>
          <w:tcPr>
            <w:tcW w:w="4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4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4,461,985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3,979,607</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840" w:type="dxa"/>
            <w:vAlign w:val="bottom"/>
            <w:gridSpan w:val="2"/>
          </w:tcPr>
          <w:p>
            <w:pPr>
              <w:jc w:val="right"/>
              <w:ind w:right="59"/>
              <w:spacing w:after="0"/>
              <w:rPr>
                <w:sz w:val="20"/>
                <w:szCs w:val="20"/>
                <w:color w:val="auto"/>
              </w:rPr>
            </w:pPr>
            <w:r>
              <w:rPr>
                <w:rFonts w:ascii="Arial" w:cs="Arial" w:eastAsia="Arial" w:hAnsi="Arial"/>
                <w:sz w:val="18"/>
                <w:szCs w:val="18"/>
                <w:color w:val="auto"/>
              </w:rPr>
              <w:t>309,126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150,143</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58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15,541</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37,042</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4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4,786,652</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4,166,792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160" w:type="dxa"/>
            <w:vAlign w:val="bottom"/>
            <w:vMerge w:val="restart"/>
          </w:tcPr>
          <w:p>
            <w:pPr>
              <w:jc w:val="right"/>
              <w:ind w:right="1933"/>
              <w:spacing w:after="0"/>
              <w:rPr>
                <w:sz w:val="20"/>
                <w:szCs w:val="20"/>
                <w:color w:val="auto"/>
              </w:rPr>
            </w:pPr>
            <w:r>
              <w:rPr>
                <w:rFonts w:ascii="Arial" w:cs="Arial" w:eastAsia="Arial" w:hAnsi="Arial"/>
                <w:sz w:val="16"/>
                <w:szCs w:val="16"/>
                <w:color w:val="auto"/>
              </w:rPr>
              <w:t>15</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56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2021, the Company had the following operating lease expense: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4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Pr>
          <w:p>
            <w:pPr>
              <w:spacing w:after="0"/>
              <w:rPr>
                <w:sz w:val="14"/>
                <w:szCs w:val="14"/>
                <w:color w:val="auto"/>
              </w:rPr>
            </w:pPr>
          </w:p>
        </w:tc>
        <w:tc>
          <w:tcPr>
            <w:tcW w:w="20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ind w:right="150"/>
              <w:spacing w:after="0" w:line="155"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8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General and administrative and Research and</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p>
        </w:tc>
        <w:tc>
          <w:tcPr>
            <w:tcW w:w="40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286,923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573,846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w w:val="99"/>
              </w:rPr>
              <w:t>Total operating lease expense</w:t>
            </w: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286,923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573,846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20" w:type="dxa"/>
            <w:vAlign w:val="bottom"/>
            <w:gridSpan w:val="7"/>
          </w:tcPr>
          <w:p>
            <w:pPr>
              <w:spacing w:after="0"/>
              <w:rPr>
                <w:sz w:val="20"/>
                <w:szCs w:val="20"/>
                <w:color w:val="auto"/>
              </w:rPr>
            </w:pPr>
            <w:r>
              <w:rPr>
                <w:rFonts w:ascii="Arial" w:cs="Arial" w:eastAsia="Arial" w:hAnsi="Arial"/>
                <w:sz w:val="16"/>
                <w:szCs w:val="16"/>
                <w:color w:val="auto"/>
              </w:rPr>
              <w:t>Future minimum lease payments of the Company’s operating leases as of June 30, 2021 were as follows: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center"/>
              <w:ind w:right="3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lease payments</w:t>
            </w:r>
          </w:p>
        </w:tc>
        <w:tc>
          <w:tcPr>
            <w:tcW w:w="28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1,205,000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(34,296)</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bottom w:val="single" w:sz="8" w:color="CFF0FC"/>
            </w:tcBorders>
            <w:gridSpan w:val="4"/>
            <w:shd w:val="clear" w:color="auto" w:fill="CFF0FC"/>
          </w:tcPr>
          <w:p>
            <w:pPr>
              <w:ind w:left="140"/>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center"/>
              <w:ind w:right="3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1,170,704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firstLine="777"/>
        <w:spacing w:after="0" w:line="273" w:lineRule="auto"/>
        <w:rPr>
          <w:sz w:val="20"/>
          <w:szCs w:val="20"/>
          <w:color w:val="auto"/>
        </w:rPr>
      </w:pPr>
      <w:r>
        <w:rPr>
          <w:rFonts w:ascii="Arial" w:cs="Arial" w:eastAsia="Arial" w:hAnsi="Arial"/>
          <w:sz w:val="16"/>
          <w:szCs w:val="16"/>
          <w:color w:val="auto"/>
        </w:rPr>
        <w:t>As of June 30, 2021, the remaining lease term for our operating lease was 1.1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7. Stockholders’ Equity</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Capital Structure</w:t>
      </w:r>
    </w:p>
    <w:p>
      <w:pPr>
        <w:spacing w:after="0" w:line="239" w:lineRule="exact"/>
        <w:rPr>
          <w:sz w:val="20"/>
          <w:szCs w:val="20"/>
          <w:color w:val="auto"/>
        </w:rPr>
      </w:pPr>
    </w:p>
    <w:p>
      <w:pPr>
        <w:ind w:right="40" w:firstLine="777"/>
        <w:spacing w:after="0" w:line="271" w:lineRule="auto"/>
        <w:rPr>
          <w:sz w:val="20"/>
          <w:szCs w:val="20"/>
          <w:color w:val="auto"/>
        </w:rPr>
      </w:pPr>
      <w:r>
        <w:rPr>
          <w:rFonts w:ascii="Arial" w:cs="Arial" w:eastAsia="Arial" w:hAnsi="Arial"/>
          <w:sz w:val="16"/>
          <w:szCs w:val="16"/>
          <w:color w:val="auto"/>
        </w:rPr>
        <w:t>In May 2019, the Company entered into the May 2019 Sales Agreement with SVB Leerink, pursuant to which the Company may sell up to $50 million in shares of the Company’s common stock from time to time through SVB Leerink, acting as the Company’s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at the Company’s option, the shares that were unsold of approximately $29.9 million under the May 2019 Sales Agreement, may be rolled over to the December 2019 Sales Agreement (see below).</w:t>
      </w:r>
    </w:p>
    <w:p>
      <w:pPr>
        <w:spacing w:after="0" w:line="190" w:lineRule="exact"/>
        <w:rPr>
          <w:sz w:val="20"/>
          <w:szCs w:val="20"/>
          <w:color w:val="auto"/>
        </w:rPr>
      </w:pPr>
    </w:p>
    <w:p>
      <w:pPr>
        <w:ind w:right="20" w:firstLine="777"/>
        <w:spacing w:after="0" w:line="277" w:lineRule="auto"/>
        <w:rPr>
          <w:sz w:val="20"/>
          <w:szCs w:val="20"/>
          <w:color w:val="auto"/>
        </w:rPr>
      </w:pPr>
      <w:r>
        <w:rPr>
          <w:rFonts w:ascii="Arial" w:cs="Arial" w:eastAsia="Arial" w:hAnsi="Arial"/>
          <w:sz w:val="16"/>
          <w:szCs w:val="16"/>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For the six months ended June 30, 2021, the Company received approximately $7.4 million in gross proceeds through the sale of 110,296 shares, of which net proceeds were approximately $7.2 million. For the six months ended June 30, 2020, the Company received approximately $12.4 million in gross proceeds through the sale of 141,678 shares, of which net proceeds were approximately $12.1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80" w:firstLine="777"/>
        <w:spacing w:after="0" w:line="278" w:lineRule="auto"/>
        <w:rPr>
          <w:sz w:val="20"/>
          <w:szCs w:val="20"/>
          <w:color w:val="auto"/>
        </w:rPr>
      </w:pPr>
      <w:r>
        <w:rPr>
          <w:rFonts w:ascii="Arial" w:cs="Arial" w:eastAsia="Arial" w:hAnsi="Arial"/>
          <w:sz w:val="16"/>
          <w:szCs w:val="16"/>
          <w:color w:val="auto"/>
        </w:rPr>
        <w:t>In December 2019, the Company completed an underwritten public offering, whereby the Company sold 2,300,000 shares of our common stock at a public offering price of $87.00 per share. The Company received gross proceeds of approximately $200.1 million and net proceeds of approximately $187.1 million, net of underwriting discounts and offering expenses.</w:t>
      </w:r>
    </w:p>
    <w:p>
      <w:pPr>
        <w:spacing w:after="0" w:line="184"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Shelf Registration Statement</w:t>
      </w:r>
    </w:p>
    <w:p>
      <w:pPr>
        <w:spacing w:after="0" w:line="239" w:lineRule="exact"/>
        <w:rPr>
          <w:sz w:val="20"/>
          <w:szCs w:val="20"/>
          <w:color w:val="auto"/>
        </w:rPr>
      </w:pPr>
    </w:p>
    <w:p>
      <w:pPr>
        <w:ind w:right="180" w:firstLine="777"/>
        <w:spacing w:after="0" w:line="273" w:lineRule="auto"/>
        <w:rPr>
          <w:sz w:val="20"/>
          <w:szCs w:val="20"/>
          <w:color w:val="auto"/>
        </w:rPr>
      </w:pPr>
      <w:r>
        <w:rPr>
          <w:rFonts w:ascii="Arial" w:cs="Arial" w:eastAsia="Arial" w:hAnsi="Arial"/>
          <w:sz w:val="16"/>
          <w:szCs w:val="16"/>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$229.3 million pursuant to such shelf registration statement.</w:t>
      </w:r>
    </w:p>
    <w:p>
      <w:pPr>
        <w:spacing w:after="0" w:line="189" w:lineRule="exact"/>
        <w:rPr>
          <w:sz w:val="20"/>
          <w:szCs w:val="20"/>
          <w:color w:val="auto"/>
        </w:rPr>
      </w:pPr>
    </w:p>
    <w:p>
      <w:pPr>
        <w:ind w:right="120" w:firstLine="777"/>
        <w:spacing w:after="0" w:line="273" w:lineRule="auto"/>
        <w:rPr>
          <w:sz w:val="20"/>
          <w:szCs w:val="20"/>
          <w:color w:val="auto"/>
        </w:rPr>
      </w:pPr>
      <w:r>
        <w:rPr>
          <w:rFonts w:ascii="Arial" w:cs="Arial" w:eastAsia="Arial" w:hAnsi="Arial"/>
          <w:sz w:val="16"/>
          <w:szCs w:val="16"/>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39" w:lineRule="exact"/>
        <w:rPr>
          <w:sz w:val="20"/>
          <w:szCs w:val="20"/>
          <w:color w:val="auto"/>
        </w:rPr>
      </w:pPr>
    </w:p>
    <w:p>
      <w:pPr>
        <w:ind w:right="300" w:firstLine="777"/>
        <w:spacing w:after="0" w:line="293" w:lineRule="auto"/>
        <w:rPr>
          <w:sz w:val="20"/>
          <w:szCs w:val="20"/>
          <w:color w:val="auto"/>
        </w:rPr>
      </w:pPr>
      <w:r>
        <w:rPr>
          <w:rFonts w:ascii="Arial" w:cs="Arial" w:eastAsia="Arial" w:hAnsi="Arial"/>
          <w:sz w:val="16"/>
          <w:szCs w:val="16"/>
          <w:color w:val="auto"/>
        </w:rPr>
        <w:t>There were 4,572,808 shares available for the issuance of stock options or stock-based awards under the Company’s 2015 Omnibus Incentive Compensation Plan at June 30,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the stock option activity for the six months ended June 30,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contractual term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3,725,648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16.36</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955,213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66.05</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(55,727)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63.58</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87.76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4,461,985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26.35</w:t>
            </w:r>
          </w:p>
        </w:tc>
        <w:tc>
          <w:tcPr>
            <w:tcW w:w="1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99"/>
              </w:rPr>
              <w:t>186,299,331</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June 30, 2021</w:t>
            </w: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4,455,816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26.38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185,891,183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2,670,402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145,918,708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0" w:firstLine="777"/>
        <w:spacing w:after="0" w:line="291" w:lineRule="auto"/>
        <w:rPr>
          <w:sz w:val="20"/>
          <w:szCs w:val="20"/>
          <w:color w:val="auto"/>
        </w:rPr>
      </w:pPr>
      <w:r>
        <w:rPr>
          <w:rFonts w:ascii="Arial" w:cs="Arial" w:eastAsia="Arial" w:hAnsi="Arial"/>
          <w:sz w:val="15"/>
          <w:szCs w:val="15"/>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firstLine="777"/>
        <w:spacing w:after="0" w:line="204" w:lineRule="exact"/>
        <w:rPr>
          <w:sz w:val="20"/>
          <w:szCs w:val="20"/>
          <w:color w:val="auto"/>
        </w:rPr>
      </w:pPr>
      <w:r>
        <w:rPr>
          <w:rFonts w:ascii="Arial" w:cs="Arial" w:eastAsia="Arial" w:hAnsi="Arial"/>
          <w:sz w:val="15"/>
          <w:szCs w:val="15"/>
          <w:color w:val="auto"/>
        </w:rPr>
        <w:t>The weighted average grant date fair value of options granted was $48.74 per option for the six months ended June 30, 2021. As of June 30, 2021, there was $57.0 million of total unrecognized compensation cost related to non-vested stock options which is expected to be recognized over a weighted average period of 3.3 years. These amounts do not include 8,647 options outstanding as of June 30, 2021, which are performance-based and vest upon the achievement of certain corporate milestones.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will be measured and recorded if and when it is probable that the milestone will occur.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right="20" w:firstLine="777"/>
        <w:spacing w:after="0" w:line="273" w:lineRule="auto"/>
        <w:rPr>
          <w:sz w:val="20"/>
          <w:szCs w:val="20"/>
          <w:color w:val="auto"/>
        </w:rPr>
      </w:pPr>
      <w:r>
        <w:rPr>
          <w:rFonts w:ascii="Arial" w:cs="Arial" w:eastAsia="Arial" w:hAnsi="Arial"/>
          <w:sz w:val="16"/>
          <w:szCs w:val="16"/>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June 30, 2021, total compensation cost not yet recognized related to unvested RSUs was $11.5 million, which is expected to be recognized over a weighted-average period of 3.4 years.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the RSU activity for the six months ended June 30,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4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6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Weighted average</w:t>
            </w:r>
          </w:p>
        </w:tc>
      </w:tr>
      <w:tr>
        <w:trPr>
          <w:trHeight w:val="171"/>
        </w:trPr>
        <w:tc>
          <w:tcPr>
            <w:tcW w:w="7720" w:type="dxa"/>
            <w:vAlign w:val="bottom"/>
          </w:tcPr>
          <w:p>
            <w:pPr>
              <w:spacing w:after="0"/>
              <w:rPr>
                <w:sz w:val="14"/>
                <w:szCs w:val="14"/>
                <w:color w:val="auto"/>
              </w:rPr>
            </w:pPr>
          </w:p>
        </w:tc>
        <w:tc>
          <w:tcPr>
            <w:tcW w:w="1840" w:type="dxa"/>
            <w:vAlign w:val="bottom"/>
            <w:gridSpan w:val="2"/>
          </w:tcPr>
          <w:p>
            <w:pPr>
              <w:ind w:left="50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56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grant date fair 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6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136,067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36.82</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182,187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55"/>
              <w:spacing w:after="0"/>
              <w:rPr>
                <w:sz w:val="20"/>
                <w:szCs w:val="20"/>
                <w:color w:val="auto"/>
              </w:rPr>
            </w:pPr>
            <w:r>
              <w:rPr>
                <w:rFonts w:ascii="Arial" w:cs="Arial" w:eastAsia="Arial" w:hAnsi="Arial"/>
                <w:sz w:val="18"/>
                <w:szCs w:val="18"/>
                <w:color w:val="auto"/>
              </w:rPr>
              <w:t>49.92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47.54</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jc w:val="right"/>
              <w:ind w:right="55"/>
              <w:spacing w:after="0"/>
              <w:rPr>
                <w:sz w:val="20"/>
                <w:szCs w:val="20"/>
                <w:color w:val="auto"/>
              </w:rPr>
            </w:pPr>
            <w:r>
              <w:rPr>
                <w:rFonts w:ascii="Arial" w:cs="Arial" w:eastAsia="Arial" w:hAnsi="Arial"/>
                <w:sz w:val="18"/>
                <w:szCs w:val="18"/>
                <w:color w:val="auto"/>
              </w:rPr>
              <w:t>71.48</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309,126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43.78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Stock-based compensation expense recognized for the three and six months ended June 30, 2021 and 2020 was allocated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90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2,302,504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1,037,530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3,836,899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1,671,905</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3,153,738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Arial" w:cs="Arial" w:eastAsia="Arial" w:hAnsi="Arial"/>
                <w:sz w:val="18"/>
                <w:szCs w:val="18"/>
                <w:color w:val="auto"/>
              </w:rPr>
              <w:t>3,110,495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5,350,440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4,609,650</w:t>
            </w: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5,456,242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4,148,025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9,187,339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6,281,555</w:t>
            </w:r>
          </w:p>
        </w:tc>
      </w:tr>
      <w:tr>
        <w:trPr>
          <w:trHeight w:val="20"/>
        </w:trPr>
        <w:tc>
          <w:tcPr>
            <w:tcW w:w="3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summarizes warrant activity for the six months ended June 30, 2021: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warrants</w:t>
            </w:r>
          </w:p>
        </w:tc>
        <w:tc>
          <w:tcPr>
            <w:tcW w:w="220" w:type="dxa"/>
            <w:vAlign w:val="bottom"/>
          </w:tcPr>
          <w:p>
            <w:pPr>
              <w:spacing w:after="0"/>
              <w:rPr>
                <w:sz w:val="14"/>
                <w:szCs w:val="14"/>
                <w:color w:val="auto"/>
              </w:rPr>
            </w:pPr>
          </w:p>
        </w:tc>
        <w:tc>
          <w:tcPr>
            <w:tcW w:w="1460" w:type="dxa"/>
            <w:vAlign w:val="bottom"/>
          </w:tcPr>
          <w:p>
            <w:pPr>
              <w:jc w:val="center"/>
              <w:ind w:right="25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36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15,541</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Issued</w:t>
            </w:r>
          </w:p>
        </w:tc>
        <w:tc>
          <w:tcPr>
            <w:tcW w:w="368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36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368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15,541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vMerge w:val="restart"/>
          </w:tcPr>
          <w:p>
            <w:pPr>
              <w:jc w:val="right"/>
              <w:ind w:right="1939"/>
              <w:spacing w:after="0"/>
              <w:rPr>
                <w:sz w:val="20"/>
                <w:szCs w:val="20"/>
                <w:color w:val="auto"/>
              </w:rPr>
            </w:pPr>
            <w:r>
              <w:rPr>
                <w:rFonts w:ascii="Arial" w:cs="Arial" w:eastAsia="Arial" w:hAnsi="Arial"/>
                <w:sz w:val="16"/>
                <w:szCs w:val="16"/>
                <w:color w:val="auto"/>
              </w:rPr>
              <w:t>18</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Warrants</w:t>
      </w:r>
    </w:p>
    <w:p>
      <w:pPr>
        <w:spacing w:after="0" w:line="262" w:lineRule="exact"/>
        <w:rPr>
          <w:sz w:val="20"/>
          <w:szCs w:val="20"/>
          <w:color w:val="auto"/>
        </w:rPr>
      </w:pPr>
    </w:p>
    <w:p>
      <w:pPr>
        <w:ind w:right="20" w:firstLine="777"/>
        <w:spacing w:after="0" w:line="313" w:lineRule="auto"/>
        <w:rPr>
          <w:sz w:val="20"/>
          <w:szCs w:val="20"/>
          <w:color w:val="auto"/>
        </w:rPr>
      </w:pPr>
      <w:r>
        <w:rPr>
          <w:rFonts w:ascii="Arial" w:cs="Arial" w:eastAsia="Arial" w:hAnsi="Arial"/>
          <w:sz w:val="15"/>
          <w:szCs w:val="15"/>
          <w:color w:val="auto"/>
        </w:rPr>
        <w:t>In connection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License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 with Pfizer</w:t>
      </w:r>
    </w:p>
    <w:p>
      <w:pPr>
        <w:spacing w:after="0" w:line="235" w:lineRule="exact"/>
        <w:rPr>
          <w:sz w:val="20"/>
          <w:szCs w:val="20"/>
          <w:color w:val="auto"/>
        </w:rPr>
      </w:pPr>
    </w:p>
    <w:p>
      <w:pPr>
        <w:ind w:right="20" w:firstLine="777"/>
        <w:spacing w:after="0" w:line="273" w:lineRule="auto"/>
        <w:rPr>
          <w:sz w:val="20"/>
          <w:szCs w:val="20"/>
          <w:color w:val="auto"/>
        </w:rPr>
      </w:pPr>
      <w:r>
        <w:rPr>
          <w:rFonts w:ascii="Arial" w:cs="Arial" w:eastAsia="Arial" w:hAnsi="Arial"/>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89" w:lineRule="exact"/>
        <w:rPr>
          <w:sz w:val="20"/>
          <w:szCs w:val="20"/>
          <w:color w:val="auto"/>
        </w:rPr>
      </w:pPr>
    </w:p>
    <w:p>
      <w:pPr>
        <w:ind w:right="40" w:firstLine="777"/>
        <w:spacing w:after="0" w:line="293" w:lineRule="auto"/>
        <w:rPr>
          <w:sz w:val="20"/>
          <w:szCs w:val="20"/>
          <w:color w:val="auto"/>
        </w:rPr>
      </w:pPr>
      <w:r>
        <w:rPr>
          <w:rFonts w:ascii="Arial" w:cs="Arial" w:eastAsia="Arial" w:hAnsi="Arial"/>
          <w:sz w:val="15"/>
          <w:szCs w:val="15"/>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six months ended June 30, 2020.</w:t>
      </w:r>
    </w:p>
    <w:p>
      <w:pPr>
        <w:spacing w:after="0" w:line="176" w:lineRule="exact"/>
        <w:rPr>
          <w:sz w:val="20"/>
          <w:szCs w:val="20"/>
          <w:color w:val="auto"/>
        </w:rPr>
      </w:pPr>
    </w:p>
    <w:p>
      <w:pPr>
        <w:ind w:right="60" w:firstLine="777"/>
        <w:spacing w:after="0" w:line="278" w:lineRule="auto"/>
        <w:rPr>
          <w:sz w:val="20"/>
          <w:szCs w:val="20"/>
          <w:color w:val="auto"/>
        </w:rPr>
      </w:pPr>
      <w:r>
        <w:rPr>
          <w:rFonts w:ascii="Arial" w:cs="Arial" w:eastAsia="Arial" w:hAnsi="Arial"/>
          <w:sz w:val="16"/>
          <w:szCs w:val="16"/>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three months ended June 30, 2021, no milestone payments or royalties were paid to Pfizer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Agreements with Antecip</w:t>
      </w:r>
    </w:p>
    <w:p>
      <w:pPr>
        <w:spacing w:after="0" w:line="235" w:lineRule="exact"/>
        <w:rPr>
          <w:sz w:val="20"/>
          <w:szCs w:val="20"/>
          <w:color w:val="auto"/>
        </w:rPr>
      </w:pPr>
    </w:p>
    <w:p>
      <w:pPr>
        <w:ind w:firstLine="777"/>
        <w:spacing w:after="0" w:line="286" w:lineRule="auto"/>
        <w:rPr>
          <w:sz w:val="20"/>
          <w:szCs w:val="20"/>
          <w:color w:val="auto"/>
        </w:rPr>
      </w:pPr>
      <w:r>
        <w:rPr>
          <w:rFonts w:ascii="Arial" w:cs="Arial" w:eastAsia="Arial" w:hAnsi="Arial"/>
          <w:sz w:val="15"/>
          <w:szCs w:val="15"/>
          <w:color w:val="auto"/>
        </w:rPr>
        <w:t>In 2012, the Company entered into three exclusive license agreements with Antecip, in which it was granted exclusive licenses to develop, manufacture, and commercialize Antecip’s patents and applications related to the development of AXS-02, AXS-05, and AXS-04, a product candidate that is currently in early stage development,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79" w:lineRule="exact"/>
        <w:rPr>
          <w:sz w:val="20"/>
          <w:szCs w:val="20"/>
          <w:color w:val="auto"/>
        </w:rPr>
      </w:pPr>
    </w:p>
    <w:p>
      <w:pPr>
        <w:ind w:right="380" w:firstLine="777"/>
        <w:spacing w:after="0" w:line="293" w:lineRule="auto"/>
        <w:rPr>
          <w:sz w:val="20"/>
          <w:szCs w:val="20"/>
          <w:color w:val="auto"/>
        </w:rPr>
      </w:pPr>
      <w:r>
        <w:rPr>
          <w:rFonts w:ascii="Arial" w:cs="Arial" w:eastAsia="Arial" w:hAnsi="Arial"/>
          <w:sz w:val="16"/>
          <w:szCs w:val="16"/>
          <w:color w:val="auto"/>
        </w:rPr>
        <w:t>In connection with the 2020 Term Loan, the Company entered into a Direct Agreement with Antecip pursuant to which Antecip consented to the collateral assignment of the License Agreement to Hercules, among other things.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9" w:lineRule="exact"/>
        <w:rPr>
          <w:sz w:val="20"/>
          <w:szCs w:val="20"/>
          <w:color w:val="auto"/>
        </w:rPr>
      </w:pPr>
    </w:p>
    <w:p>
      <w:pPr>
        <w:ind w:firstLine="777"/>
        <w:spacing w:after="0" w:line="297" w:lineRule="auto"/>
        <w:rPr>
          <w:sz w:val="20"/>
          <w:szCs w:val="20"/>
          <w:color w:val="auto"/>
        </w:rPr>
      </w:pPr>
      <w:r>
        <w:rPr>
          <w:rFonts w:ascii="Arial" w:cs="Arial" w:eastAsia="Arial" w:hAnsi="Arial"/>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2" w:lineRule="exact"/>
        <w:rPr>
          <w:sz w:val="20"/>
          <w:szCs w:val="20"/>
          <w:color w:val="auto"/>
        </w:rPr>
      </w:pPr>
    </w:p>
    <w:p>
      <w:pPr>
        <w:ind w:right="20" w:firstLine="777"/>
        <w:spacing w:after="0" w:line="305" w:lineRule="auto"/>
        <w:rPr>
          <w:sz w:val="20"/>
          <w:szCs w:val="20"/>
          <w:color w:val="auto"/>
        </w:rPr>
      </w:pPr>
      <w:r>
        <w:rPr>
          <w:rFonts w:ascii="Arial" w:cs="Arial" w:eastAsia="Arial" w:hAnsi="Arial"/>
          <w:sz w:val="15"/>
          <w:szCs w:val="15"/>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2020 </w:t>
      </w:r>
      <w:r>
        <w:rPr>
          <w:rFonts w:ascii="Arial" w:cs="Arial" w:eastAsia="Arial" w:hAnsi="Arial"/>
          <w:sz w:val="15"/>
          <w:szCs w:val="15"/>
          <w:color w:val="auto"/>
        </w:rPr>
        <w:t>which wa</w:t>
      </w:r>
      <w:r>
        <w:rPr>
          <w:rFonts w:ascii="Arial" w:cs="Arial" w:eastAsia="Arial" w:hAnsi="Arial"/>
          <w:sz w:val="15"/>
          <w:szCs w:val="15"/>
          <w:i w:val="1"/>
          <w:iCs w:val="1"/>
          <w:color w:val="auto"/>
        </w:rPr>
        <w:t>s filed with the Securities and Exchange Commission, or SEC, on March 1, 2021</w:t>
      </w:r>
      <w:r>
        <w:rPr>
          <w:rFonts w:ascii="Arial" w:cs="Arial" w:eastAsia="Arial" w:hAnsi="Arial"/>
          <w:sz w:val="15"/>
          <w:szCs w:val="15"/>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20" w:firstLine="792"/>
        <w:spacing w:after="0" w:line="284" w:lineRule="auto"/>
        <w:rPr>
          <w:sz w:val="20"/>
          <w:szCs w:val="20"/>
          <w:color w:val="auto"/>
        </w:rPr>
      </w:pPr>
      <w:r>
        <w:rPr>
          <w:rFonts w:ascii="Arial" w:cs="Arial" w:eastAsia="Arial" w:hAnsi="Arial"/>
          <w:sz w:val="15"/>
          <w:szCs w:val="15"/>
          <w:color w:val="auto"/>
        </w:rPr>
        <w:t>We are a biopharmaceutical company developing novel therapies for the management of central nervous system, or CNS, conditions that have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and accepted for filing for AXS-05 for the treatment of MDD. The FDA has set a Prescription Drug User Fee Act (PDUFA) target action date for the AXS-05 NDA of August 22, 2021. AXS-05 is also under development for the treatment of Alzheimer's disease agitation, or AD agitation. We have completed one Phase 2/3 controlled trial, which we refer to as the ADVANCE-1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 AXS-07 is being developed for the acute treatment of migraine, for which we have completed two Phase 3 controlled trials, which we refer to as the MOMENTUM study and the INTERCEPT study, and one Phase 3 long-term open-label trial, which we refer to as the MOVEMENT study. An NDA has been submitted for filing for AXS-07 for the acute treatment of migraine. AXS-09 is being developed for the treatment of CNS disorders. AXS-12 is being developed for the treatment of narcolepsy. We have completed a Phase 2 trial with AXS-12, which we refer to as the CONCERT study. A Phase 3 trial with AXS-12 in narcolepsy is planned. AXS-14 is being developed for the treatment of fibromyalgia. We plan to submit an NDA for AXS-14 in fourth quarter of 2022 for the management of fibromyalgia following a pre-NDA meeting with the FDA.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9" w:lineRule="exact"/>
        <w:rPr>
          <w:sz w:val="20"/>
          <w:szCs w:val="20"/>
          <w:color w:val="auto"/>
        </w:rPr>
      </w:pPr>
    </w:p>
    <w:p>
      <w:pPr>
        <w:ind w:right="100" w:firstLine="792"/>
        <w:spacing w:after="0" w:line="203" w:lineRule="exact"/>
        <w:rPr>
          <w:sz w:val="20"/>
          <w:szCs w:val="20"/>
          <w:color w:val="auto"/>
        </w:rPr>
      </w:pPr>
      <w:r>
        <w:rPr>
          <w:rFonts w:ascii="Arial" w:cs="Arial" w:eastAsia="Arial" w:hAnsi="Arial"/>
          <w:sz w:val="15"/>
          <w:szCs w:val="15"/>
          <w:color w:val="auto"/>
        </w:rPr>
        <w:t>AXS-05 is a novel, oral, investigational NMDA, or N-methyl-D-aspartate, receptor antagonist with multimodal activity under development for the treatment of CNS disorders. AXS-05 consists of a proprietary formulation and dose of bupropion and dextromethorphan and utilizes our metabolic inhibition technology. The dextromethorphan component of AXS-05 is an uncompetitive NMDA, receptor antagonist, also known as a glutamate receptor modulator.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are seeking U.S. Food and Drug Administration, or FDA, approval for AXS</w:t>
      </w:r>
      <w:r>
        <w:rPr>
          <w:rFonts w:ascii="MS PGothic" w:cs="MS PGothic" w:eastAsia="MS PGothic" w:hAnsi="MS PGothic"/>
          <w:sz w:val="15"/>
          <w:szCs w:val="15"/>
          <w:color w:val="auto"/>
        </w:rPr>
        <w:t>‑</w:t>
      </w:r>
      <w:r>
        <w:rPr>
          <w:rFonts w:ascii="Arial" w:cs="Arial" w:eastAsia="Arial" w:hAnsi="Arial"/>
          <w:sz w:val="15"/>
          <w:szCs w:val="15"/>
          <w:color w:val="auto"/>
        </w:rPr>
        <w:t>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777"/>
        <w:spacing w:after="0" w:line="284" w:lineRule="auto"/>
        <w:rPr>
          <w:sz w:val="20"/>
          <w:szCs w:val="20"/>
          <w:color w:val="auto"/>
        </w:rPr>
      </w:pPr>
      <w:r>
        <w:rPr>
          <w:rFonts w:ascii="Arial" w:cs="Arial" w:eastAsia="Arial" w:hAnsi="Arial"/>
          <w:sz w:val="15"/>
          <w:szCs w:val="15"/>
          <w:color w:val="auto"/>
        </w:rPr>
        <w:t>We have completed two pivotal trials, one Phase 2 and one Phase 3, of AXS-05 in MDD, which we refer to as the ASCEND and GEMINI trials, respectively. AXS-05 achieved the primary endpoint in both the ASCEND and GEMINI trials. A Phase 3, open-label, long-term safety study with AXS-05 in patients with MDD and TRD known as the COMET trial has also been completed. Additionally, three Phase 2 open-label efficacy sub-studies of the COMET trial have been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In the overall COMET trial, AXS-05 treatment resulted in rapid, substantial, and durable improvement in depressive symptoms, measured using the MADRS, which was sustained or increased with long-term treatment. Additionally, AXS-05 was well tolerated with long-term dosing. Similar findings of rapid and durable improvements in depressive symptoms were demonstrated in the COMET-AU and COMET-TRD sub-studies. In the COMET-SI trial, a rapid reduction in suicidal ideation was observed with AXS-05 treatment, as demonstrated by reductions in the MADRS-SI score. We have completed a Phase 3 trial of AXS-05 in TRD, which we refer to as the STRIDE-1 trial, which met key secondary endpoints but did not reach statistical significance on the primary endpoint. Additionally, we have completed a Phase 2, double-blind, placebo-controlled, multi-center, relapse prevention study in patients with TRD, which we call the MERIT trial. In the MERIT trial, AXS-05 achieved its primary and secondary endpoints by delaying time to relapse and preventing relapse as compared to placebo. We have also completed a Phase 2/3 trial of AXS-05 in AD agitation, which we refer to as the ADVANCE-1 trial. AXS-05 achieved the primary endpoint in the ADVANCE-1 trial. We are conducting the ACCORD trial, a Phase 3, double blind, placebo-controlled, randomized withdrawal trial in patients with AD agitation, and one open-label long-term safety study in AD agitation. AXS-05 is also being developed as an aid to smoking cessation treatment and a positive Phase 2 trial in this indication has been completed under a research collaboration between us and Duke University. We have submitted a New Drug Application, or NDA, for AXS-05 for the treatment of MDD supported by the positive results from the ASCEND and GEMINI trials which has been accepted for filing by the FDA and has granted the application Priority Review resulting in a Prescription Drug User Fee Act (PDUFA) target action date of August 22, 2021.</w:t>
      </w:r>
    </w:p>
    <w:p>
      <w:pPr>
        <w:spacing w:after="0" w:line="189" w:lineRule="exact"/>
        <w:rPr>
          <w:sz w:val="20"/>
          <w:szCs w:val="20"/>
          <w:color w:val="auto"/>
        </w:rPr>
      </w:pPr>
    </w:p>
    <w:p>
      <w:pPr>
        <w:ind w:right="80" w:firstLine="777"/>
        <w:spacing w:after="0" w:line="242" w:lineRule="auto"/>
        <w:rPr>
          <w:sz w:val="20"/>
          <w:szCs w:val="20"/>
          <w:color w:val="auto"/>
        </w:rPr>
      </w:pPr>
      <w:r>
        <w:rPr>
          <w:rFonts w:ascii="Arial" w:cs="Arial" w:eastAsia="Arial" w:hAnsi="Arial"/>
          <w:sz w:val="15"/>
          <w:szCs w:val="15"/>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5"/>
          <w:szCs w:val="25"/>
          <w:color w:val="auto"/>
          <w:vertAlign w:val="subscript"/>
        </w:rPr>
        <w:t>max</w:t>
      </w:r>
      <w:r>
        <w:rPr>
          <w:rFonts w:ascii="Arial" w:cs="Arial" w:eastAsia="Arial" w:hAnsi="Arial"/>
          <w:sz w:val="15"/>
          <w:szCs w:val="15"/>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5"/>
          <w:szCs w:val="25"/>
          <w:color w:val="auto"/>
          <w:vertAlign w:val="subscript"/>
        </w:rPr>
        <w:t>1B/1D</w:t>
      </w:r>
      <w:r>
        <w:rPr>
          <w:rFonts w:ascii="Arial" w:cs="Arial" w:eastAsia="Arial" w:hAnsi="Arial"/>
          <w:sz w:val="15"/>
          <w:szCs w:val="15"/>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213"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We have completed two Phase 3 trials of AXS-07 for the acute treatment of migraine, which we refer to as the MOMENTUM and INTERCEPT trials. AXS-07 achieved the co-primary endpoints in both the MOMENTUM and INTERCEPT trials. An NDA has been submitted for filing for AXS-07 for the acute treatment of migraine supported by the positive results from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w:t>
      </w:r>
    </w:p>
    <w:p>
      <w:pPr>
        <w:spacing w:after="0" w:line="190" w:lineRule="exact"/>
        <w:rPr>
          <w:sz w:val="20"/>
          <w:szCs w:val="20"/>
          <w:color w:val="auto"/>
        </w:rPr>
      </w:pPr>
    </w:p>
    <w:p>
      <w:pPr>
        <w:ind w:right="140" w:firstLine="777"/>
        <w:spacing w:after="0" w:line="293" w:lineRule="auto"/>
        <w:rPr>
          <w:sz w:val="20"/>
          <w:szCs w:val="20"/>
          <w:color w:val="auto"/>
        </w:rPr>
      </w:pPr>
      <w:r>
        <w:rPr>
          <w:rFonts w:ascii="Arial" w:cs="Arial" w:eastAsia="Arial" w:hAnsi="Arial"/>
          <w:sz w:val="15"/>
          <w:szCs w:val="15"/>
          <w:color w:val="auto"/>
        </w:rPr>
        <w:t>AXS-09 is an oral, investigational NMDA receptor antagonist with multimodal activity consisting of esbupropion and dextromethorphan,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dextromethorphan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76" w:lineRule="exact"/>
        <w:rPr>
          <w:sz w:val="20"/>
          <w:szCs w:val="20"/>
          <w:color w:val="auto"/>
        </w:rPr>
      </w:pPr>
    </w:p>
    <w:p>
      <w:pPr>
        <w:ind w:right="20" w:firstLine="777"/>
        <w:spacing w:after="0" w:line="273" w:lineRule="auto"/>
        <w:rPr>
          <w:sz w:val="20"/>
          <w:szCs w:val="20"/>
          <w:color w:val="auto"/>
        </w:rPr>
      </w:pPr>
      <w:r>
        <w:rPr>
          <w:rFonts w:ascii="Arial" w:cs="Arial" w:eastAsia="Arial" w:hAnsi="Arial"/>
          <w:sz w:val="16"/>
          <w:szCs w:val="16"/>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trial. AXS-12 achieved the primary endpoint in the CONCERT trial. We plan to initiate a Phase 3 trial with AXS-12 in narcolepsy in the third quarter of 2021.</w:t>
      </w:r>
    </w:p>
    <w:p>
      <w:pPr>
        <w:spacing w:after="0" w:line="189"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the fourth quarter of 2022 for the management of fibromyalgia.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firstLine="777"/>
        <w:spacing w:after="0" w:line="324" w:lineRule="auto"/>
        <w:rPr>
          <w:sz w:val="20"/>
          <w:szCs w:val="20"/>
          <w:color w:val="auto"/>
        </w:rPr>
      </w:pPr>
      <w:r>
        <w:rPr>
          <w:rFonts w:ascii="Arial" w:cs="Arial" w:eastAsia="Arial" w:hAnsi="Arial"/>
          <w:sz w:val="14"/>
          <w:szCs w:val="14"/>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57" w:lineRule="exact"/>
        <w:rPr>
          <w:sz w:val="20"/>
          <w:szCs w:val="20"/>
          <w:color w:val="auto"/>
        </w:rPr>
      </w:pPr>
    </w:p>
    <w:p>
      <w:pPr>
        <w:ind w:right="600" w:firstLine="777"/>
        <w:spacing w:after="0" w:line="293" w:lineRule="auto"/>
        <w:rPr>
          <w:sz w:val="20"/>
          <w:szCs w:val="20"/>
          <w:color w:val="auto"/>
        </w:rPr>
      </w:pPr>
      <w:r>
        <w:rPr>
          <w:rFonts w:ascii="Arial" w:cs="Arial" w:eastAsia="Arial" w:hAnsi="Arial"/>
          <w:sz w:val="16"/>
          <w:szCs w:val="16"/>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72" w:lineRule="exact"/>
        <w:rPr>
          <w:sz w:val="20"/>
          <w:szCs w:val="20"/>
          <w:color w:val="auto"/>
        </w:rPr>
      </w:pPr>
    </w:p>
    <w:p>
      <w:pPr>
        <w:ind w:right="40" w:firstLine="777"/>
        <w:spacing w:after="0" w:line="287" w:lineRule="auto"/>
        <w:rPr>
          <w:sz w:val="20"/>
          <w:szCs w:val="20"/>
          <w:color w:val="auto"/>
        </w:rPr>
      </w:pPr>
      <w:r>
        <w:rPr>
          <w:rFonts w:ascii="Arial" w:cs="Arial" w:eastAsia="Arial" w:hAnsi="Arial"/>
          <w:sz w:val="15"/>
          <w:szCs w:val="15"/>
          <w:color w:val="auto"/>
        </w:rPr>
        <w:t>We have incurred significant operating expenses and net losses since inception. We incurred net losses of $61.5 million and $50.8 million for the six months ended June 30, 2021 and 2020, respectively. Our accumulated deficit as of June 30, 2021 was $340.3 million, and we expect to incur significant expenses and increasing operating losses for the foreseeable future.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In preparation for obtaining regulatory approval for our product candidates, we expect to incur significant expenses in order to create an infrastructure and market readiness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 and 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AXS-05</w:t>
      </w:r>
    </w:p>
    <w:p>
      <w:pPr>
        <w:spacing w:after="0" w:line="235" w:lineRule="exact"/>
        <w:rPr>
          <w:sz w:val="20"/>
          <w:szCs w:val="20"/>
          <w:color w:val="auto"/>
        </w:rPr>
      </w:pPr>
    </w:p>
    <w:p>
      <w:pPr>
        <w:ind w:right="380" w:firstLine="777"/>
        <w:spacing w:after="0" w:line="293" w:lineRule="auto"/>
        <w:rPr>
          <w:sz w:val="20"/>
          <w:szCs w:val="20"/>
          <w:color w:val="auto"/>
        </w:rPr>
      </w:pPr>
      <w:r>
        <w:rPr>
          <w:rFonts w:ascii="Arial" w:cs="Arial" w:eastAsia="Arial" w:hAnsi="Arial"/>
          <w:sz w:val="16"/>
          <w:szCs w:val="16"/>
          <w:color w:val="auto"/>
        </w:rPr>
        <w:t>In April 2021, we announced that the FDA has accepted for filing the NDA for AXS-05 for the treatment of MDD, and has granted the application Priority Review resulting in a PDUFA target action date of August 22, 2021.</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5"/>
          <w:szCs w:val="15"/>
          <w:color w:val="auto"/>
        </w:rPr>
        <w:t>In August 2021, we announced that AXS-05 achieved primary and key secondary endpoints in the MERIT Phase 2 Trial in treatment resistant depression.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AXS-07</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June 2021, we submitted an NDA for filing for AXS-07 for the acute treatment of migraine.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AXS-12</w:t>
      </w:r>
    </w:p>
    <w:p>
      <w:pPr>
        <w:spacing w:after="0" w:line="235" w:lineRule="exact"/>
        <w:rPr>
          <w:sz w:val="20"/>
          <w:szCs w:val="20"/>
          <w:color w:val="auto"/>
        </w:rPr>
      </w:pPr>
    </w:p>
    <w:p>
      <w:pPr>
        <w:ind w:right="320" w:firstLine="864"/>
        <w:spacing w:after="0" w:line="278" w:lineRule="auto"/>
        <w:rPr>
          <w:sz w:val="20"/>
          <w:szCs w:val="20"/>
          <w:color w:val="auto"/>
        </w:rPr>
      </w:pPr>
      <w:r>
        <w:rPr>
          <w:rFonts w:ascii="Arial" w:cs="Arial" w:eastAsia="Arial" w:hAnsi="Arial"/>
          <w:sz w:val="16"/>
          <w:szCs w:val="16"/>
          <w:color w:val="auto"/>
        </w:rPr>
        <w:t>In July 2021, we announced that we were notified by the FDA that the FDA has rescinded our Breakthrough Therapy Designation for our AXS-12 product candidate for the treatment of cataplexy in narcolepsy, due to the FDA approving an additional drug product for the treatment of cataplexy in narcolepsy subsequent to granting AXS-12 Breakthrough Therapy Designation.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AXS-14</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June 2021, we announced that we plan to submit an NDA for AXS-14 for the management of fibromyalgia following a pre-NDA meeting with the U.S.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Food and Drug Administration.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35" w:lineRule="exact"/>
        <w:rPr>
          <w:sz w:val="20"/>
          <w:szCs w:val="20"/>
          <w:color w:val="auto"/>
        </w:rPr>
      </w:pPr>
    </w:p>
    <w:p>
      <w:pPr>
        <w:ind w:firstLine="777"/>
        <w:spacing w:after="0" w:line="273" w:lineRule="auto"/>
        <w:rPr>
          <w:sz w:val="20"/>
          <w:szCs w:val="20"/>
          <w:color w:val="auto"/>
        </w:rPr>
      </w:pPr>
      <w:r>
        <w:rPr>
          <w:rFonts w:ascii="Arial" w:cs="Arial" w:eastAsia="Arial" w:hAnsi="Arial"/>
          <w:sz w:val="16"/>
          <w:szCs w:val="16"/>
          <w:color w:val="auto"/>
        </w:rPr>
        <w:t>We have not generated any revenue and have incurred significant operating losses since inception, and we do not expect to generate any revenue from the sale of any products unless or until we obtain regulatory approval. If we fail to complete the development of our product candidates in a timely manner or obtain regulatory approval for them, our ability to generate future revenue, and our results of operations and financial position, would be materially and adversely affected. If we enter into licensing or collaboration arrangements, such agreements may generate revenue in the future.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ind w:right="240" w:firstLine="777"/>
        <w:spacing w:after="0" w:line="204" w:lineRule="exact"/>
        <w:rPr>
          <w:sz w:val="20"/>
          <w:szCs w:val="20"/>
          <w:color w:val="auto"/>
        </w:rPr>
      </w:pPr>
      <w:r>
        <w:rPr>
          <w:rFonts w:ascii="Arial" w:cs="Arial" w:eastAsia="Arial" w:hAnsi="Arial"/>
          <w:sz w:val="16"/>
          <w:szCs w:val="16"/>
          <w:color w:val="auto"/>
        </w:rPr>
        <w:t>Research and development expenses primarily include preclinical studies, clinical trials, manufacturing costs, employee salaries and benefits,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14" w:lineRule="exact"/>
        <w:rPr>
          <w:sz w:val="20"/>
          <w:szCs w:val="20"/>
          <w:color w:val="auto"/>
        </w:rPr>
      </w:pPr>
    </w:p>
    <w:p>
      <w:pPr>
        <w:ind w:firstLine="777"/>
        <w:spacing w:after="0" w:line="288" w:lineRule="auto"/>
        <w:rPr>
          <w:sz w:val="20"/>
          <w:szCs w:val="20"/>
          <w:color w:val="auto"/>
        </w:rPr>
      </w:pPr>
      <w:r>
        <w:rPr>
          <w:rFonts w:ascii="Arial" w:cs="Arial" w:eastAsia="Arial" w:hAnsi="Arial"/>
          <w:sz w:val="15"/>
          <w:szCs w:val="15"/>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0" w:lineRule="exact"/>
        <w:rPr>
          <w:sz w:val="20"/>
          <w:szCs w:val="20"/>
          <w:color w:val="auto"/>
        </w:rPr>
      </w:pPr>
    </w:p>
    <w:p>
      <w:pPr>
        <w:ind w:right="160" w:firstLine="777"/>
        <w:spacing w:after="0" w:line="315" w:lineRule="auto"/>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following table summarizes our research and development expenses for our primary programs for the three and six months ended June 30, 2021 and 2020:</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AXS-05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2,184,776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5,257,477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12,228,922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7"/>
              </w:rPr>
              <w:t>14,575,299</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AXS-07</w:t>
            </w: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7,290,067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2,920,493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9,821,616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8,930,771</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AXS-12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819,569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153,901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1,553,427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5,710,963</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AXS-14</w:t>
            </w: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5,077,669</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research and development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1,902,371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1,173,556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3,654,111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2,097,750</w:t>
            </w: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2,302,504</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1,037,530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3,836,899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1,671,905</w:t>
            </w: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9"/>
              </w:rPr>
              <w:t>14,503,326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7"/>
              </w:rPr>
              <w:t>10,542,957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31,099,014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97"/>
              </w:rPr>
              <w:t>38,064,357</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Other research and development expenses primarily consist of employee salaries and benefits, facilities, and overhead costs.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20" w:firstLine="777"/>
        <w:spacing w:after="0" w:line="273" w:lineRule="auto"/>
        <w:rPr>
          <w:sz w:val="20"/>
          <w:szCs w:val="20"/>
          <w:color w:val="auto"/>
        </w:rPr>
      </w:pPr>
      <w:r>
        <w:rPr>
          <w:rFonts w:ascii="Arial" w:cs="Arial" w:eastAsia="Arial" w:hAnsi="Arial"/>
          <w:sz w:val="16"/>
          <w:szCs w:val="16"/>
          <w:color w:val="auto"/>
        </w:rPr>
        <w:t>General and administrative expenses primarily consist of salaries and related costs for personnel in executive, commercial, finance, and operational functions, including stock based compensation and travel expenses. Also included in general and administrative expenses are pre-commercialization costs, facility-related costs, insurance expense, professional fees for legal and accounting services, and patent filing and prosecution costs. General and administrative expenses are expensed when incurred.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amortization of debt discount (expense) income</w:t>
      </w:r>
    </w:p>
    <w:p>
      <w:pPr>
        <w:spacing w:after="0" w:line="235" w:lineRule="exact"/>
        <w:rPr>
          <w:sz w:val="20"/>
          <w:szCs w:val="20"/>
          <w:color w:val="auto"/>
        </w:rPr>
      </w:pPr>
    </w:p>
    <w:p>
      <w:pPr>
        <w:ind w:right="160" w:firstLine="777"/>
        <w:spacing w:after="0" w:line="278" w:lineRule="auto"/>
        <w:rPr>
          <w:sz w:val="20"/>
          <w:szCs w:val="20"/>
          <w:color w:val="auto"/>
        </w:rPr>
      </w:pPr>
      <w:r>
        <w:rPr>
          <w:rFonts w:ascii="Arial" w:cs="Arial" w:eastAsia="Arial" w:hAnsi="Arial"/>
          <w:sz w:val="16"/>
          <w:szCs w:val="16"/>
          <w:color w:val="auto"/>
        </w:rPr>
        <w:t>Interest and amortization of debt discount (expense) income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and amortization of debt discount (expense) income also includes interest income earned on cash.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39" w:lineRule="exact"/>
        <w:rPr>
          <w:sz w:val="20"/>
          <w:szCs w:val="20"/>
          <w:color w:val="auto"/>
        </w:rPr>
      </w:pPr>
    </w:p>
    <w:p>
      <w:pPr>
        <w:ind w:right="140" w:firstLine="777"/>
        <w:spacing w:after="0" w:line="26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94" w:lineRule="exact"/>
        <w:rPr>
          <w:sz w:val="20"/>
          <w:szCs w:val="20"/>
          <w:color w:val="auto"/>
        </w:rPr>
      </w:pPr>
    </w:p>
    <w:p>
      <w:pPr>
        <w:ind w:right="120" w:firstLine="777"/>
        <w:spacing w:after="0" w:line="305" w:lineRule="auto"/>
        <w:rPr>
          <w:sz w:val="20"/>
          <w:szCs w:val="20"/>
          <w:color w:val="auto"/>
        </w:rPr>
      </w:pPr>
      <w:r>
        <w:rPr>
          <w:rFonts w:ascii="Arial" w:cs="Arial" w:eastAsia="Arial" w:hAnsi="Arial"/>
          <w:sz w:val="15"/>
          <w:szCs w:val="15"/>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2020 and in the notes to the condensed consolidated financial statements appearing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summarizes our results of operations for the periods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50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4"/>
                <w:szCs w:val="14"/>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14,503,326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99"/>
              </w:rPr>
              <w:t>10,542,957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31,099,014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38,064,357</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16,344,361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7,235,877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27,592,734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12,205,934</w:t>
            </w: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30,847,687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17,778,834</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58,691,748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50,270,291</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(30,847,687)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(17,778,834)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(58,691,748)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(50,270,291)</w:t>
            </w: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amortization of debt discount (expense) income</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(1,436,522)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(548,158)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(2,852,431)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(540,847)</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(32,284,209)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(18,326,992)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(61,544,179)</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(50,811,138)</w:t>
            </w: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June 30, 2021 and 2020</w:t>
      </w:r>
    </w:p>
    <w:p>
      <w:pPr>
        <w:spacing w:after="0" w:line="235" w:lineRule="exact"/>
        <w:rPr>
          <w:sz w:val="20"/>
          <w:szCs w:val="20"/>
          <w:color w:val="auto"/>
        </w:rPr>
      </w:pPr>
    </w:p>
    <w:p>
      <w:pPr>
        <w:ind w:right="60" w:firstLine="777"/>
        <w:spacing w:after="0" w:line="27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three months ended June 30, 2021 were $14.5 million, compared to $10.5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2020, an increase of $4.0 million. The increase was driven by costs to support the NDA filings and personnel expense which includes an increase in headcount along with an increase in stock compensation expense.</w:t>
      </w:r>
    </w:p>
    <w:p>
      <w:pPr>
        <w:spacing w:after="0" w:line="184" w:lineRule="exact"/>
        <w:rPr>
          <w:sz w:val="20"/>
          <w:szCs w:val="20"/>
          <w:color w:val="auto"/>
        </w:rPr>
      </w:pPr>
    </w:p>
    <w:p>
      <w:pPr>
        <w:ind w:right="80" w:firstLine="777"/>
        <w:spacing w:after="0" w:line="278"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three months ended June 30, 2021 were $16.3 million, compared to $7.2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2020, an increase of $9.1 million. The increase was primarily due to pre-commercial activities and personnel expense which includes an increase in headcount along with an increase in stock compensation expense.</w:t>
      </w:r>
    </w:p>
    <w:p>
      <w:pPr>
        <w:spacing w:after="0" w:line="76" w:lineRule="exact"/>
        <w:rPr>
          <w:sz w:val="20"/>
          <w:szCs w:val="20"/>
          <w:color w:val="auto"/>
        </w:rPr>
      </w:pPr>
    </w:p>
    <w:p>
      <w:pPr>
        <w:ind w:right="200" w:firstLine="777"/>
        <w:spacing w:after="0" w:line="278" w:lineRule="auto"/>
        <w:rPr>
          <w:sz w:val="20"/>
          <w:szCs w:val="20"/>
          <w:color w:val="auto"/>
        </w:rPr>
      </w:pPr>
      <w:r>
        <w:rPr>
          <w:rFonts w:ascii="Arial" w:cs="Arial" w:eastAsia="Arial" w:hAnsi="Arial"/>
          <w:sz w:val="16"/>
          <w:szCs w:val="16"/>
          <w:i w:val="1"/>
          <w:iCs w:val="1"/>
          <w:color w:val="auto"/>
        </w:rPr>
        <w:t xml:space="preserve">Interest and amortization of debt discount (expense) income. </w:t>
      </w:r>
      <w:r>
        <w:rPr>
          <w:rFonts w:ascii="Arial" w:cs="Arial" w:eastAsia="Arial" w:hAnsi="Arial"/>
          <w:sz w:val="16"/>
          <w:szCs w:val="16"/>
          <w:color w:val="auto"/>
        </w:rPr>
        <w:t>Interest and amortization of debt discount expense for the three months ended June 30, 2021 was</w:t>
      </w:r>
      <w:r>
        <w:rPr>
          <w:rFonts w:ascii="Arial" w:cs="Arial" w:eastAsia="Arial" w:hAnsi="Arial"/>
          <w:sz w:val="16"/>
          <w:szCs w:val="16"/>
          <w:i w:val="1"/>
          <w:iCs w:val="1"/>
          <w:color w:val="auto"/>
        </w:rPr>
        <w:t xml:space="preserve"> </w:t>
      </w:r>
      <w:r>
        <w:rPr>
          <w:rFonts w:ascii="Arial" w:cs="Arial" w:eastAsia="Arial" w:hAnsi="Arial"/>
          <w:sz w:val="16"/>
          <w:szCs w:val="16"/>
          <w:color w:val="auto"/>
        </w:rPr>
        <w:t>$1.4 million, compared to $0.5 million for the three months ended June 30, 2020, an increase of $0.9 million. The change is mainly due to a higher outstanding principal amount on our debt in 2021 as compared to the comparable period in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six months ended June 30, 2021 and 2020</w:t>
      </w:r>
    </w:p>
    <w:p>
      <w:pPr>
        <w:spacing w:after="0" w:line="235" w:lineRule="exact"/>
        <w:rPr>
          <w:sz w:val="20"/>
          <w:szCs w:val="20"/>
          <w:color w:val="auto"/>
        </w:rPr>
      </w:pPr>
    </w:p>
    <w:p>
      <w:pPr>
        <w:jc w:val="both"/>
        <w:ind w:right="140" w:firstLine="777"/>
        <w:spacing w:after="0" w:line="27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six months ended June 30, 2021 were $31.1 million, compared to $38.1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30, 2020, a decrease of $7.0 million. The decrease was driven by a one-time charge of $10.2 million for the Pfizer license agreement in the comparable period in 2020, offset by costs to support the NDA filings.</w:t>
      </w:r>
    </w:p>
    <w:p>
      <w:pPr>
        <w:spacing w:after="0" w:line="184" w:lineRule="exact"/>
        <w:rPr>
          <w:sz w:val="20"/>
          <w:szCs w:val="20"/>
          <w:color w:val="auto"/>
        </w:rPr>
      </w:pPr>
    </w:p>
    <w:p>
      <w:pPr>
        <w:ind w:right="140" w:firstLine="777"/>
        <w:spacing w:after="0" w:line="278"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six months ended June 30, 2021 were $27.6 million, compared to $12.2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30, 2020, an increase of $15.4 million. The increase was primarily due to pre-commercial activities and personnel expense which includes an increase in headcount along with an increase in stock compensation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firstLine="777"/>
        <w:spacing w:after="0" w:line="278" w:lineRule="auto"/>
        <w:rPr>
          <w:sz w:val="20"/>
          <w:szCs w:val="20"/>
          <w:color w:val="auto"/>
        </w:rPr>
      </w:pPr>
      <w:r>
        <w:rPr>
          <w:rFonts w:ascii="Arial" w:cs="Arial" w:eastAsia="Arial" w:hAnsi="Arial"/>
          <w:sz w:val="16"/>
          <w:szCs w:val="16"/>
          <w:i w:val="1"/>
          <w:iCs w:val="1"/>
          <w:color w:val="auto"/>
        </w:rPr>
        <w:t xml:space="preserve">Interest and amortization of debt discount (expense) income. </w:t>
      </w:r>
      <w:r>
        <w:rPr>
          <w:rFonts w:ascii="Arial" w:cs="Arial" w:eastAsia="Arial" w:hAnsi="Arial"/>
          <w:sz w:val="16"/>
          <w:szCs w:val="16"/>
          <w:color w:val="auto"/>
        </w:rPr>
        <w:t>Interest and amortization of debt discount expense for the six months ended June 30, 2021 was $2.9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$0.5 million for the six months ended June 30, 2020, an increase of $2.4 million. The change is mainly due to a higher outstanding principal amount on our debt in 2021 as compared to the comparable period in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600" w:firstLine="777"/>
        <w:spacing w:after="0" w:line="293" w:lineRule="auto"/>
        <w:rPr>
          <w:sz w:val="20"/>
          <w:szCs w:val="20"/>
          <w:color w:val="auto"/>
        </w:rPr>
      </w:pPr>
      <w:r>
        <w:rPr>
          <w:rFonts w:ascii="Arial" w:cs="Arial" w:eastAsia="Arial" w:hAnsi="Arial"/>
          <w:sz w:val="16"/>
          <w:szCs w:val="16"/>
          <w:color w:val="auto"/>
        </w:rPr>
        <w:t>Since our inception through June 30, 2021, we have financed our operations primarily through proceeds from equity offerings and debt borrowings. See discussion below.</w:t>
      </w:r>
    </w:p>
    <w:p>
      <w:pPr>
        <w:spacing w:after="0" w:line="172" w:lineRule="exact"/>
        <w:rPr>
          <w:sz w:val="20"/>
          <w:szCs w:val="20"/>
          <w:color w:val="auto"/>
        </w:rPr>
      </w:pPr>
    </w:p>
    <w:p>
      <w:pPr>
        <w:ind w:right="400" w:firstLine="777"/>
        <w:spacing w:after="0" w:line="278"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84" w:lineRule="exact"/>
        <w:rPr>
          <w:sz w:val="20"/>
          <w:szCs w:val="20"/>
          <w:color w:val="auto"/>
        </w:rPr>
      </w:pPr>
    </w:p>
    <w:p>
      <w:pPr>
        <w:ind w:right="20" w:firstLine="777"/>
        <w:spacing w:after="0" w:line="289" w:lineRule="auto"/>
        <w:rPr>
          <w:sz w:val="20"/>
          <w:szCs w:val="20"/>
          <w:color w:val="auto"/>
        </w:rPr>
      </w:pPr>
      <w:r>
        <w:rPr>
          <w:rFonts w:ascii="Arial" w:cs="Arial" w:eastAsia="Arial" w:hAnsi="Arial"/>
          <w:sz w:val="15"/>
          <w:szCs w:val="15"/>
          <w:color w:val="auto"/>
        </w:rPr>
        <w:t>In November 2016, we entered into a loan and security agreement with SVB for a term loan of up to $20.0 million, which we refer to as the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loan and security agreement with SVB to provide an additional $4 million growth capital loan, related to our narcolepsy clinical program with AXS-12. We refer to this amendment as the First Amendment to the Original Term Loan. The additional capital was available to be drawn, at our option, subject to the achievement of a specified clinical milestone. Our obligations under the loan and security agreement, as amended, along with our ability to draw down on the additional $4.0 million tranche, were subsequently extinguished in connection with the establishment of a new term loan facility with SVB during March 2019 (see below).</w:t>
      </w:r>
    </w:p>
    <w:p>
      <w:pPr>
        <w:spacing w:after="0" w:line="180" w:lineRule="exact"/>
        <w:rPr>
          <w:sz w:val="20"/>
          <w:szCs w:val="20"/>
          <w:color w:val="auto"/>
        </w:rPr>
      </w:pPr>
    </w:p>
    <w:p>
      <w:pPr>
        <w:ind w:right="60" w:firstLine="777"/>
        <w:spacing w:after="0" w:line="269"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completed a registered direct offering priced at the market in December 2017 and September 2018, entered into a sales agreement in May 2019 pursuant to which we sold shares of our common stock from time to time in an at-the-market offering each utilizing the 2016 Shelf Registration Statement. The 2016 Shelf Registration expired in December 2019.</w:t>
      </w:r>
    </w:p>
    <w:p>
      <w:pPr>
        <w:spacing w:after="0" w:line="190" w:lineRule="exact"/>
        <w:rPr>
          <w:sz w:val="20"/>
          <w:szCs w:val="20"/>
          <w:color w:val="auto"/>
        </w:rPr>
      </w:pPr>
    </w:p>
    <w:p>
      <w:pPr>
        <w:jc w:val="both"/>
        <w:ind w:right="240" w:firstLine="777"/>
        <w:spacing w:after="0" w:line="369" w:lineRule="auto"/>
        <w:rPr>
          <w:sz w:val="20"/>
          <w:szCs w:val="20"/>
          <w:color w:val="auto"/>
        </w:rPr>
      </w:pPr>
      <w:r>
        <w:rPr>
          <w:rFonts w:ascii="Arial" w:cs="Arial" w:eastAsia="Arial" w:hAnsi="Arial"/>
          <w:sz w:val="14"/>
          <w:szCs w:val="14"/>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6"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In October 2017, we entered into an “at-the-market” sales agreement, or the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190" w:lineRule="exact"/>
        <w:rPr>
          <w:sz w:val="20"/>
          <w:szCs w:val="20"/>
          <w:color w:val="auto"/>
        </w:rPr>
      </w:pPr>
    </w:p>
    <w:p>
      <w:pPr>
        <w:ind w:right="180" w:firstLine="777"/>
        <w:spacing w:after="0" w:line="289" w:lineRule="auto"/>
        <w:rPr>
          <w:sz w:val="20"/>
          <w:szCs w:val="20"/>
          <w:color w:val="auto"/>
        </w:rPr>
      </w:pPr>
      <w:r>
        <w:rPr>
          <w:rFonts w:ascii="Arial" w:cs="Arial" w:eastAsia="Arial" w:hAnsi="Arial"/>
          <w:sz w:val="15"/>
          <w:szCs w:val="15"/>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180" w:lineRule="exact"/>
        <w:rPr>
          <w:sz w:val="20"/>
          <w:szCs w:val="20"/>
          <w:color w:val="auto"/>
        </w:rPr>
      </w:pPr>
    </w:p>
    <w:p>
      <w:pPr>
        <w:ind w:firstLine="792"/>
        <w:spacing w:after="0" w:line="293" w:lineRule="auto"/>
        <w:rPr>
          <w:sz w:val="20"/>
          <w:szCs w:val="20"/>
          <w:color w:val="auto"/>
        </w:rPr>
      </w:pPr>
      <w:r>
        <w:rPr>
          <w:rFonts w:ascii="Arial" w:cs="Arial" w:eastAsia="Arial" w:hAnsi="Arial"/>
          <w:sz w:val="15"/>
          <w:szCs w:val="15"/>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792"/>
        <w:spacing w:after="0" w:line="269" w:lineRule="auto"/>
        <w:rPr>
          <w:sz w:val="20"/>
          <w:szCs w:val="20"/>
          <w:color w:val="auto"/>
        </w:rPr>
      </w:pPr>
      <w:r>
        <w:rPr>
          <w:rFonts w:ascii="Arial" w:cs="Arial" w:eastAsia="Arial" w:hAnsi="Arial"/>
          <w:sz w:val="16"/>
          <w:szCs w:val="16"/>
          <w:color w:val="auto"/>
        </w:rPr>
        <w:t>In March 2019, we entered into a loan and security agreement, the 2019 Term Loan with SVB and WestRiver, for a term loan up to $24.0 million. The initial tranche of $20.0 million was funded shortly after executing the loan agreement. The second tranche of $4.0 million was available to be drawn, at our option, subject to the achievement of positive data, on or prior to August 15, 2019, with respect to our then ongoing Phase 2 clinical trial for AXS-12 in narcolepsy, sufficient to submit a Phase 3 protocol to FDA, provided that we had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 In September 2020, we terminated and repaid all amounts outstanding under 2019 Term Loan in connection with our entry into the Loan Agreement (see below).</w:t>
      </w:r>
    </w:p>
    <w:p>
      <w:pPr>
        <w:spacing w:after="0" w:line="190" w:lineRule="exact"/>
        <w:rPr>
          <w:sz w:val="20"/>
          <w:szCs w:val="20"/>
          <w:color w:val="auto"/>
        </w:rPr>
      </w:pPr>
    </w:p>
    <w:p>
      <w:pPr>
        <w:ind w:right="20" w:firstLine="792"/>
        <w:spacing w:after="0" w:line="297" w:lineRule="auto"/>
        <w:rPr>
          <w:sz w:val="20"/>
          <w:szCs w:val="20"/>
          <w:color w:val="auto"/>
        </w:rPr>
      </w:pPr>
      <w:r>
        <w:rPr>
          <w:rFonts w:ascii="Arial" w:cs="Arial" w:eastAsia="Arial" w:hAnsi="Arial"/>
          <w:sz w:val="15"/>
          <w:szCs w:val="15"/>
          <w:color w:val="auto"/>
        </w:rPr>
        <w:t>In May 2019, we entered into the May 2019 Sales Agreement with SVB Leerink, pursuant to which we may sell up to $50 million in shares of our common stock from time to time through SVB Leerink, acting as our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the shares that were unsold under the May 2019 Sales Agreement, were rolled over to the December 2019 Sales Agreement (see below).</w:t>
      </w:r>
    </w:p>
    <w:p>
      <w:pPr>
        <w:spacing w:after="0" w:line="172" w:lineRule="exact"/>
        <w:rPr>
          <w:sz w:val="20"/>
          <w:szCs w:val="20"/>
          <w:color w:val="auto"/>
        </w:rPr>
      </w:pPr>
    </w:p>
    <w:p>
      <w:pPr>
        <w:ind w:right="60" w:firstLine="792"/>
        <w:spacing w:after="0" w:line="269" w:lineRule="auto"/>
        <w:rPr>
          <w:sz w:val="20"/>
          <w:szCs w:val="20"/>
          <w:color w:val="auto"/>
        </w:rPr>
      </w:pPr>
      <w:r>
        <w:rPr>
          <w:rFonts w:ascii="Arial" w:cs="Arial" w:eastAsia="Arial" w:hAnsi="Arial"/>
          <w:sz w:val="16"/>
          <w:szCs w:val="16"/>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could have been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94" w:lineRule="exact"/>
        <w:rPr>
          <w:sz w:val="20"/>
          <w:szCs w:val="20"/>
          <w:color w:val="auto"/>
        </w:rPr>
      </w:pPr>
    </w:p>
    <w:p>
      <w:pPr>
        <w:ind w:right="60" w:firstLine="792"/>
        <w:spacing w:after="0" w:line="289" w:lineRule="auto"/>
        <w:rPr>
          <w:sz w:val="20"/>
          <w:szCs w:val="20"/>
          <w:color w:val="auto"/>
        </w:rPr>
      </w:pPr>
      <w:r>
        <w:rPr>
          <w:rFonts w:ascii="Arial" w:cs="Arial" w:eastAsia="Arial" w:hAnsi="Arial"/>
          <w:sz w:val="15"/>
          <w:szCs w:val="15"/>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20" w:firstLine="777"/>
        <w:spacing w:after="0" w:line="274" w:lineRule="auto"/>
        <w:rPr>
          <w:sz w:val="20"/>
          <w:szCs w:val="20"/>
          <w:color w:val="auto"/>
        </w:rPr>
      </w:pPr>
      <w:r>
        <w:rPr>
          <w:rFonts w:ascii="Arial" w:cs="Arial" w:eastAsia="Arial" w:hAnsi="Arial"/>
          <w:sz w:val="16"/>
          <w:szCs w:val="16"/>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For the six months ended June 30, 2021, we received approximately $7.4 million in gross proceeds through the sale of 110,296 shares, of which net proceeds were approximately $7.2 million. For the year ended December 31, 2020, we received approximately $14.6 million in gross proceeds through the sale of 167,243 shares, of which net proceeds were approximately $14.1 million. For the year ended December 31, 2019, we received approximately $7.3 million in gross proceeds through the sale of 89,390 shares, of which net proceeds were approximately $7.1 million.</w:t>
      </w:r>
    </w:p>
    <w:p>
      <w:pPr>
        <w:spacing w:after="0" w:line="190" w:lineRule="exact"/>
        <w:rPr>
          <w:sz w:val="20"/>
          <w:szCs w:val="20"/>
          <w:color w:val="auto"/>
        </w:rPr>
      </w:pPr>
    </w:p>
    <w:p>
      <w:pPr>
        <w:ind w:right="20" w:firstLine="777"/>
        <w:spacing w:after="0" w:line="313" w:lineRule="auto"/>
        <w:rPr>
          <w:sz w:val="20"/>
          <w:szCs w:val="20"/>
          <w:color w:val="auto"/>
        </w:rPr>
      </w:pPr>
      <w:r>
        <w:rPr>
          <w:rFonts w:ascii="Arial" w:cs="Arial" w:eastAsia="Arial" w:hAnsi="Arial"/>
          <w:sz w:val="14"/>
          <w:szCs w:val="14"/>
          <w:color w:val="auto"/>
        </w:rPr>
        <w:t>In September 2020, we entered into the Loan Agreement with Hercules for the 2020 Term Loan, which consists of several tranches in an aggregate amount of up to $225.0 million. The first tranche consists of term loans in the amount of $60.0 million, of which $50.0 million was funded shortly after executing the Loan Agreement and the remaining $10.0 million is available at our option at any time through September 15, 2021. A portion of the initial tranche was used to repay the 2019 Term Loan along with associated final payment fees. The remaining $115 million may be drawn at our option, in three separate tranches, as described below under “Contractual Obligations - September 2020 Loan and Security Agreement – Hercules.” An additional $50 million is available, subject to the approval of Hercules, to support future strategic initiatives, including further pipeline advancement or expansion. The 2020 Term Loan bears interest at a calculated prime-based variable rate currently at 9.15%. It matures in October 2025 and has an initial interest-only payment period of 30 months, which may be extended to up to 48 months upon the drawing of future tranches.</w:t>
      </w:r>
    </w:p>
    <w:p>
      <w:pPr>
        <w:spacing w:after="0" w:line="164" w:lineRule="exact"/>
        <w:rPr>
          <w:sz w:val="20"/>
          <w:szCs w:val="20"/>
          <w:color w:val="auto"/>
        </w:rPr>
      </w:pPr>
    </w:p>
    <w:p>
      <w:pPr>
        <w:ind w:right="40" w:firstLine="777"/>
        <w:spacing w:after="0" w:line="305" w:lineRule="auto"/>
        <w:rPr>
          <w:sz w:val="20"/>
          <w:szCs w:val="20"/>
          <w:color w:val="auto"/>
        </w:rPr>
      </w:pPr>
      <w:r>
        <w:rPr>
          <w:rFonts w:ascii="Arial" w:cs="Arial" w:eastAsia="Arial" w:hAnsi="Arial"/>
          <w:sz w:val="15"/>
          <w:szCs w:val="15"/>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380" w:firstLine="777"/>
        <w:spacing w:after="0" w:line="293" w:lineRule="auto"/>
        <w:rPr>
          <w:sz w:val="20"/>
          <w:szCs w:val="20"/>
          <w:color w:val="auto"/>
        </w:rPr>
      </w:pPr>
      <w:r>
        <w:rPr>
          <w:rFonts w:ascii="Arial" w:cs="Arial" w:eastAsia="Arial" w:hAnsi="Arial"/>
          <w:sz w:val="16"/>
          <w:szCs w:val="16"/>
          <w:color w:val="auto"/>
        </w:rPr>
        <w:t>We believe our current cash, along with the committed capital from the term loan facility, will be sufficient to fund our anticipated operations, based on our current operating plans which includes costs for the commercial launch of AXS-05 in MDD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and AXS-07 in migraine into at least 2024.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summarizes our primary sources and uses of cash for the periods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(52,609,042)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(42,168,466)</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(10,759)</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10,000,551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12,895,167</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(42,657,363)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(29,284,058)</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20" w:firstLine="777"/>
        <w:spacing w:after="0" w:line="369"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Cash used in operating activities for the six months ended June 30, 2021 was $52.6 million as compared to $42.2 million for the six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June 30, 2020. The increase of $10.4 million in net cash used was mainly due the build-out of the commercial function and related commercialization costs.</w:t>
      </w:r>
    </w:p>
    <w:p>
      <w:pPr>
        <w:spacing w:after="0" w:line="85" w:lineRule="exact"/>
        <w:rPr>
          <w:sz w:val="20"/>
          <w:szCs w:val="20"/>
          <w:color w:val="auto"/>
        </w:rPr>
      </w:pPr>
    </w:p>
    <w:p>
      <w:pPr>
        <w:ind w:right="260" w:firstLine="777"/>
        <w:spacing w:after="0" w:line="293"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for the purchase of property and equipment was less than $0.1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2020.</w:t>
      </w:r>
    </w:p>
    <w:p>
      <w:pPr>
        <w:spacing w:after="0" w:line="172"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$10.0 million for the six months ended June 30, 2021, which included net proceeds from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through our Sales Agreement with Leerink of $7.2 million and proceeds from the issuance of common stock upon exercise of employee stock options of $2.9 million, offset by cash paid out related to tax withholdings on stock awards of $0.08 million. Cash provided by financing activities was $12.9 million for the six months ended June 30, 2020, which included net proceeds from the sale of common stock through our Sales Agreement with Leerink of $12.1 million and proceeds from the issuance of common stock upon exercise of employee stock options of $0.8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39" w:lineRule="exact"/>
        <w:rPr>
          <w:sz w:val="20"/>
          <w:szCs w:val="20"/>
          <w:color w:val="auto"/>
        </w:rPr>
      </w:pPr>
    </w:p>
    <w:p>
      <w:pPr>
        <w:ind w:right="140" w:firstLine="777"/>
        <w:spacing w:after="0" w:line="273"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89" w:lineRule="exact"/>
        <w:rPr>
          <w:sz w:val="20"/>
          <w:szCs w:val="20"/>
          <w:color w:val="auto"/>
        </w:rPr>
      </w:pPr>
    </w:p>
    <w:p>
      <w:pPr>
        <w:ind w:right="80" w:firstLine="777"/>
        <w:spacing w:after="0" w:line="271" w:lineRule="auto"/>
        <w:rPr>
          <w:sz w:val="20"/>
          <w:szCs w:val="20"/>
          <w:color w:val="auto"/>
        </w:rPr>
      </w:pPr>
      <w:r>
        <w:rPr>
          <w:rFonts w:ascii="Arial" w:cs="Arial" w:eastAsia="Arial" w:hAnsi="Arial"/>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90"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rate of progress, results, and cost of our clinical studies and other related activities;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enter into collaborative agreements for the development and commercialization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and development requirements of any other product candidates that we pursue;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costs, timing, and outcome of regulatory reviews of our product candidates;</w:t>
      </w:r>
    </w:p>
    <w:p>
      <w:pPr>
        <w:spacing w:after="0" w:line="261" w:lineRule="exact"/>
        <w:rPr>
          <w:rFonts w:ascii="Arial" w:cs="Arial" w:eastAsia="Arial" w:hAnsi="Arial"/>
          <w:sz w:val="16"/>
          <w:szCs w:val="16"/>
          <w:color w:val="auto"/>
        </w:rPr>
      </w:pPr>
    </w:p>
    <w:p>
      <w:pPr>
        <w:ind w:left="880" w:right="640" w:hanging="440"/>
        <w:spacing w:after="0" w:line="293"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expenses needed to attract and retain skilled personnel;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general and administrative expenses related to being a public company;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 candidates for which we receive marketing approval; and</w:t>
      </w:r>
    </w:p>
    <w:p>
      <w:pPr>
        <w:spacing w:after="0" w:line="261" w:lineRule="exact"/>
        <w:rPr>
          <w:rFonts w:ascii="Arial" w:cs="Arial" w:eastAsia="Arial" w:hAnsi="Arial"/>
          <w:sz w:val="16"/>
          <w:szCs w:val="16"/>
          <w:color w:val="auto"/>
        </w:rPr>
      </w:pPr>
    </w:p>
    <w:p>
      <w:pPr>
        <w:ind w:left="880" w:right="500" w:hanging="440"/>
        <w:spacing w:after="0" w:line="204" w:lineRule="exact"/>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Please see “Risk Factors” for additional risks associated with our substantial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Pfizer</w:t>
      </w:r>
    </w:p>
    <w:p>
      <w:pPr>
        <w:spacing w:after="0" w:line="235" w:lineRule="exact"/>
        <w:rPr>
          <w:sz w:val="20"/>
          <w:szCs w:val="20"/>
          <w:color w:val="auto"/>
        </w:rPr>
      </w:pPr>
    </w:p>
    <w:p>
      <w:pPr>
        <w:ind w:firstLine="777"/>
        <w:spacing w:after="0" w:line="324" w:lineRule="auto"/>
        <w:rPr>
          <w:sz w:val="20"/>
          <w:szCs w:val="20"/>
          <w:color w:val="auto"/>
        </w:rPr>
      </w:pPr>
      <w:r>
        <w:rPr>
          <w:rFonts w:ascii="Arial" w:cs="Arial" w:eastAsia="Arial" w:hAnsi="Arial"/>
          <w:sz w:val="14"/>
          <w:szCs w:val="14"/>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57"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 with Antecip Bioventures</w:t>
      </w:r>
    </w:p>
    <w:p>
      <w:pPr>
        <w:spacing w:after="0" w:line="235" w:lineRule="exact"/>
        <w:rPr>
          <w:sz w:val="20"/>
          <w:szCs w:val="20"/>
          <w:color w:val="auto"/>
        </w:rPr>
      </w:pPr>
    </w:p>
    <w:p>
      <w:pPr>
        <w:jc w:val="both"/>
        <w:ind w:right="240" w:firstLine="777"/>
        <w:spacing w:after="0" w:line="305" w:lineRule="auto"/>
        <w:rPr>
          <w:sz w:val="20"/>
          <w:szCs w:val="20"/>
          <w:color w:val="auto"/>
        </w:rPr>
      </w:pPr>
      <w:r>
        <w:rPr>
          <w:rFonts w:ascii="Arial" w:cs="Arial" w:eastAsia="Arial" w:hAnsi="Arial"/>
          <w:sz w:val="15"/>
          <w:szCs w:val="15"/>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66" w:lineRule="exact"/>
        <w:rPr>
          <w:sz w:val="20"/>
          <w:szCs w:val="20"/>
          <w:color w:val="auto"/>
        </w:rPr>
      </w:pPr>
    </w:p>
    <w:p>
      <w:pPr>
        <w:ind w:right="340" w:firstLine="777"/>
        <w:spacing w:after="0" w:line="293" w:lineRule="auto"/>
        <w:rPr>
          <w:sz w:val="20"/>
          <w:szCs w:val="20"/>
          <w:color w:val="auto"/>
        </w:rPr>
      </w:pPr>
      <w:r>
        <w:rPr>
          <w:rFonts w:ascii="Arial" w:cs="Arial" w:eastAsia="Arial" w:hAnsi="Arial"/>
          <w:sz w:val="16"/>
          <w:szCs w:val="16"/>
          <w:color w:val="auto"/>
        </w:rPr>
        <w:t>In connection with the 2020 Term Loan, Antecip consented to the collateral assignment of one of the license agreements, among other things, under a direct agreement with us and Hercules.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September 2020 Loan and Security Agreement – Hercules</w:t>
      </w:r>
    </w:p>
    <w:p>
      <w:pPr>
        <w:spacing w:after="0" w:line="235" w:lineRule="exact"/>
        <w:rPr>
          <w:sz w:val="20"/>
          <w:szCs w:val="20"/>
          <w:color w:val="auto"/>
        </w:rPr>
      </w:pPr>
    </w:p>
    <w:p>
      <w:pPr>
        <w:ind w:right="40" w:firstLine="864"/>
        <w:spacing w:after="0" w:line="285" w:lineRule="auto"/>
        <w:rPr>
          <w:sz w:val="20"/>
          <w:szCs w:val="20"/>
          <w:color w:val="auto"/>
        </w:rPr>
      </w:pPr>
      <w:r>
        <w:rPr>
          <w:rFonts w:ascii="Arial" w:cs="Arial" w:eastAsia="Arial" w:hAnsi="Arial"/>
          <w:sz w:val="15"/>
          <w:szCs w:val="15"/>
          <w:color w:val="auto"/>
        </w:rPr>
        <w:t>In September 2020, we entered into the Loan Agreement with Hercules, in its capacity as administrative agent and collateral agent and as a lender, and the other financial institutions that may from time to time become parties to the Loan Agreement as lenders, which we collectively refer to as the Lenders. The Loan Agreement provides for term loans in an aggregate principal amount of up to $225.0 million under multiple tranches. The tranches consist of (i) a first tranche consisting of term loans in an aggregate principal amount of $60.0 million, of which $50.0 million, or the First Advance, was funded at closing, and of which the remaining $10.0 million is available at our option at any time through September 15, 2021; (ii) subject to the FDA approval of our AXS-05 product candidate for the treatment of major depressive disorder, or the First Milestone, a second tranche consisting of additional term loans in an aggregate principal amount of up to $35.0 million, available at our option beginning on the date that the First Milestone is achieved through the earlier of (A) 181 days following such date and (B) June 30, 2022; (iii) subject to the approval of our AXS-07 product candidate for the treatment of migraine, or the Second Milestone, a third tranche consisting of additional term loans in an aggregate principal amount of up to $20.0 million, available at our option beginning on the date that the Second Milestone is achieved through the earlier of (A) 181 days following such date and (B) June 30, 2022; (iv) subject to the achievement of either the First Milestone or the Second Milestone and so long as we are in compliance with a required ratio of Lender indebtedness to net product revenue, a fourth tranche consisting of additional term loans in an aggregate principal amount of up to $60.0 million, available at our option beginning on January 1, 2022 and continuing through March 31, 2023; and (v) subject to approval by the Lenders in their discretion, a fifth tranche of additional term loans in an aggregate principal amount of up to $50.0 million, available through December 31, 2023. We intend to use the proceeds of the Term Loan Advances for working capital and general corporate purposes. In addition, approximately $21.7 million of the proceeds from the First Advance was used to satisfy in full and retire our indebtedness under the 2019 Term Loan, as amended.</w:t>
      </w:r>
    </w:p>
    <w:p>
      <w:pPr>
        <w:spacing w:after="0" w:line="181" w:lineRule="exact"/>
        <w:rPr>
          <w:sz w:val="20"/>
          <w:szCs w:val="20"/>
          <w:color w:val="auto"/>
        </w:rPr>
      </w:pPr>
    </w:p>
    <w:p>
      <w:pPr>
        <w:ind w:firstLine="864"/>
        <w:spacing w:after="0" w:line="286" w:lineRule="auto"/>
        <w:rPr>
          <w:sz w:val="20"/>
          <w:szCs w:val="20"/>
          <w:color w:val="auto"/>
        </w:rPr>
      </w:pPr>
      <w:r>
        <w:rPr>
          <w:rFonts w:ascii="Arial" w:cs="Arial" w:eastAsia="Arial" w:hAnsi="Arial"/>
          <w:sz w:val="15"/>
          <w:szCs w:val="15"/>
          <w:color w:val="auto"/>
        </w:rPr>
        <w:t>The outstanding principal balance of the term loans bears interest at an annual rate equal to the greater of either (i) the prime rate as reported in The Wall Street Journal plus 5.90% or (ii) 9.15%, subject to an ability by us, during certain periods, each such period a PIK Deferral Period, to request a reduction of the then-effective cash-pay interest rate by up to 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83" w:lineRule="exact"/>
        <w:rPr>
          <w:sz w:val="20"/>
          <w:szCs w:val="20"/>
          <w:color w:val="auto"/>
        </w:rPr>
      </w:pPr>
    </w:p>
    <w:p>
      <w:pPr>
        <w:jc w:val="both"/>
        <w:ind w:right="300" w:firstLine="864"/>
        <w:spacing w:after="0" w:line="278" w:lineRule="auto"/>
        <w:rPr>
          <w:sz w:val="20"/>
          <w:szCs w:val="20"/>
          <w:color w:val="auto"/>
        </w:rPr>
      </w:pPr>
      <w:r>
        <w:rPr>
          <w:rFonts w:ascii="Arial" w:cs="Arial" w:eastAsia="Arial" w:hAnsi="Arial"/>
          <w:sz w:val="16"/>
          <w:szCs w:val="16"/>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184" w:lineRule="exact"/>
        <w:rPr>
          <w:sz w:val="20"/>
          <w:szCs w:val="20"/>
          <w:color w:val="auto"/>
        </w:rPr>
      </w:pPr>
    </w:p>
    <w:p>
      <w:pPr>
        <w:ind w:right="140" w:firstLine="432"/>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190" w:lineRule="exact"/>
        <w:rPr>
          <w:sz w:val="20"/>
          <w:szCs w:val="20"/>
          <w:color w:val="auto"/>
        </w:rPr>
      </w:pPr>
    </w:p>
    <w:p>
      <w:pPr>
        <w:ind w:left="880" w:right="40" w:hanging="440"/>
        <w:spacing w:after="0" w:line="273"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right="100" w:hanging="440"/>
        <w:spacing w:after="0" w:line="309" w:lineRule="auto"/>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neither of which have occurred yet,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68" w:lineRule="exact"/>
        <w:rPr>
          <w:rFonts w:ascii="Arial" w:cs="Arial" w:eastAsia="Arial" w:hAnsi="Arial"/>
          <w:sz w:val="14"/>
          <w:szCs w:val="14"/>
          <w:color w:val="auto"/>
        </w:rPr>
      </w:pPr>
    </w:p>
    <w:p>
      <w:pPr>
        <w:ind w:left="880" w:right="520" w:hanging="440"/>
        <w:spacing w:after="0" w:line="293"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jc w:val="both"/>
        <w:ind w:right="40" w:firstLine="432"/>
        <w:spacing w:after="0" w:line="293" w:lineRule="auto"/>
        <w:rPr>
          <w:sz w:val="20"/>
          <w:szCs w:val="20"/>
          <w:color w:val="auto"/>
        </w:rPr>
      </w:pPr>
      <w:r>
        <w:rPr>
          <w:rFonts w:ascii="Arial" w:cs="Arial" w:eastAsia="Arial" w:hAnsi="Arial"/>
          <w:sz w:val="16"/>
          <w:szCs w:val="16"/>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72" w:lineRule="exact"/>
        <w:rPr>
          <w:sz w:val="20"/>
          <w:szCs w:val="20"/>
          <w:color w:val="auto"/>
        </w:rPr>
      </w:pPr>
    </w:p>
    <w:p>
      <w:pPr>
        <w:jc w:val="both"/>
        <w:ind w:right="20" w:firstLine="432"/>
        <w:spacing w:after="0" w:line="278" w:lineRule="auto"/>
        <w:rPr>
          <w:sz w:val="20"/>
          <w:szCs w:val="20"/>
          <w:color w:val="auto"/>
        </w:rPr>
      </w:pPr>
      <w:r>
        <w:rPr>
          <w:rFonts w:ascii="Arial" w:cs="Arial" w:eastAsia="Arial" w:hAnsi="Arial"/>
          <w:sz w:val="16"/>
          <w:szCs w:val="16"/>
          <w:color w:val="auto"/>
        </w:rPr>
        <w:t>In addition, we are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6"/>
          <w:szCs w:val="16"/>
          <w:color w:val="auto"/>
        </w:rPr>
        <w:t>We may, at our option prepay the term loans in full or in part, subject to a prepayment penalty equal to (i) 2.0% of the principal amount prepaid if the prepayment occurs 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Management</w:t>
      </w:r>
    </w:p>
    <w:p>
      <w:pPr>
        <w:spacing w:after="0" w:line="239" w:lineRule="exact"/>
        <w:rPr>
          <w:sz w:val="20"/>
          <w:szCs w:val="20"/>
          <w:color w:val="auto"/>
        </w:rPr>
      </w:pPr>
    </w:p>
    <w:p>
      <w:pPr>
        <w:ind w:right="60" w:firstLine="864"/>
        <w:spacing w:after="0" w:line="203" w:lineRule="exact"/>
        <w:rPr>
          <w:sz w:val="20"/>
          <w:szCs w:val="20"/>
          <w:color w:val="auto"/>
        </w:rPr>
      </w:pPr>
      <w:r>
        <w:rPr>
          <w:rFonts w:ascii="Arial" w:cs="Arial" w:eastAsia="Arial" w:hAnsi="Arial"/>
          <w:sz w:val="15"/>
          <w:szCs w:val="15"/>
          <w:color w:val="auto"/>
        </w:rPr>
        <w:t>As of August 2. 2021, we had 93 full</w:t>
      </w:r>
      <w:r>
        <w:rPr>
          <w:rFonts w:ascii="MS PGothic" w:cs="MS PGothic" w:eastAsia="MS PGothic" w:hAnsi="MS PGothic"/>
          <w:sz w:val="15"/>
          <w:szCs w:val="15"/>
          <w:color w:val="auto"/>
        </w:rPr>
        <w:t>‑</w:t>
      </w:r>
      <w:r>
        <w:rPr>
          <w:rFonts w:ascii="Arial" w:cs="Arial" w:eastAsia="Arial" w:hAnsi="Arial"/>
          <w:sz w:val="15"/>
          <w:szCs w:val="15"/>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have taken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CARES Act</w:t>
      </w:r>
    </w:p>
    <w:p>
      <w:pPr>
        <w:spacing w:after="0" w:line="239" w:lineRule="exact"/>
        <w:rPr>
          <w:sz w:val="20"/>
          <w:szCs w:val="20"/>
          <w:color w:val="auto"/>
        </w:rPr>
      </w:pPr>
    </w:p>
    <w:p>
      <w:pPr>
        <w:ind w:firstLine="864"/>
        <w:spacing w:after="0" w:line="289" w:lineRule="auto"/>
        <w:rPr>
          <w:sz w:val="20"/>
          <w:szCs w:val="20"/>
          <w:color w:val="auto"/>
        </w:rPr>
      </w:pPr>
      <w:r>
        <w:rPr>
          <w:rFonts w:ascii="Arial" w:cs="Arial" w:eastAsia="Arial" w:hAnsi="Arial"/>
          <w:sz w:val="15"/>
          <w:szCs w:val="15"/>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 on our Business</w:t>
      </w:r>
    </w:p>
    <w:p>
      <w:pPr>
        <w:spacing w:after="0" w:line="239" w:lineRule="exact"/>
        <w:rPr>
          <w:sz w:val="20"/>
          <w:szCs w:val="20"/>
          <w:color w:val="auto"/>
        </w:rPr>
      </w:pPr>
    </w:p>
    <w:p>
      <w:pPr>
        <w:ind w:right="100" w:firstLine="777"/>
        <w:spacing w:after="0" w:line="324" w:lineRule="auto"/>
        <w:rPr>
          <w:sz w:val="20"/>
          <w:szCs w:val="20"/>
          <w:color w:val="auto"/>
        </w:rPr>
      </w:pPr>
      <w:r>
        <w:rPr>
          <w:rFonts w:ascii="Arial" w:cs="Arial" w:eastAsia="Arial" w:hAnsi="Arial"/>
          <w:sz w:val="14"/>
          <w:szCs w:val="14"/>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 and Liquidity</w:t>
      </w:r>
    </w:p>
    <w:p>
      <w:pPr>
        <w:spacing w:after="0" w:line="235" w:lineRule="exact"/>
        <w:rPr>
          <w:sz w:val="20"/>
          <w:szCs w:val="20"/>
          <w:color w:val="auto"/>
        </w:rPr>
      </w:pPr>
    </w:p>
    <w:p>
      <w:pPr>
        <w:ind w:firstLine="777"/>
        <w:spacing w:after="0" w:line="313" w:lineRule="auto"/>
        <w:rPr>
          <w:sz w:val="20"/>
          <w:szCs w:val="20"/>
          <w:color w:val="auto"/>
        </w:rPr>
      </w:pPr>
      <w:r>
        <w:rPr>
          <w:rFonts w:ascii="Arial" w:cs="Arial" w:eastAsia="Arial" w:hAnsi="Arial"/>
          <w:sz w:val="14"/>
          <w:szCs w:val="14"/>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Outlook</w:t>
      </w:r>
    </w:p>
    <w:p>
      <w:pPr>
        <w:spacing w:after="0" w:line="235" w:lineRule="exact"/>
        <w:rPr>
          <w:sz w:val="20"/>
          <w:szCs w:val="20"/>
          <w:color w:val="auto"/>
        </w:rPr>
      </w:pPr>
    </w:p>
    <w:p>
      <w:pPr>
        <w:ind w:right="160" w:firstLine="777"/>
        <w:spacing w:after="0" w:line="273" w:lineRule="auto"/>
        <w:rPr>
          <w:sz w:val="20"/>
          <w:szCs w:val="20"/>
          <w:color w:val="auto"/>
        </w:rPr>
      </w:pPr>
      <w:r>
        <w:rPr>
          <w:rFonts w:ascii="Arial" w:cs="Arial" w:eastAsia="Arial" w:hAnsi="Arial"/>
          <w:sz w:val="16"/>
          <w:szCs w:val="16"/>
          <w:color w:val="auto"/>
        </w:rPr>
        <w:t>Although there is uncertainty related to the anticipated impact of the COVID-19 pandemic on our future results, we believe our current cash reserves, coupled with our access to additional capital through the December 2019 Sales Agreement and the Hercules Loan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89" w:lineRule="exact"/>
        <w:rPr>
          <w:sz w:val="20"/>
          <w:szCs w:val="20"/>
          <w:color w:val="auto"/>
        </w:rPr>
      </w:pPr>
    </w:p>
    <w:p>
      <w:pPr>
        <w:ind w:right="20" w:firstLine="777"/>
        <w:spacing w:after="0" w:line="278" w:lineRule="auto"/>
        <w:rPr>
          <w:sz w:val="20"/>
          <w:szCs w:val="20"/>
          <w:color w:val="auto"/>
        </w:rPr>
      </w:pPr>
      <w:r>
        <w:rPr>
          <w:rFonts w:ascii="Arial" w:cs="Arial" w:eastAsia="Arial" w:hAnsi="Arial"/>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2021.</w:t>
      </w:r>
    </w:p>
    <w:p>
      <w:pPr>
        <w:spacing w:after="0" w:line="184"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by applicable SEC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560" w:firstLine="777"/>
        <w:spacing w:after="0" w:line="293" w:lineRule="auto"/>
        <w:rPr>
          <w:sz w:val="20"/>
          <w:szCs w:val="20"/>
          <w:color w:val="auto"/>
        </w:rPr>
      </w:pPr>
      <w:r>
        <w:rPr>
          <w:rFonts w:ascii="Arial" w:cs="Arial" w:eastAsia="Arial" w:hAnsi="Arial"/>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35" w:lineRule="exact"/>
        <w:rPr>
          <w:sz w:val="20"/>
          <w:szCs w:val="20"/>
          <w:color w:val="auto"/>
        </w:rPr>
      </w:pPr>
    </w:p>
    <w:p>
      <w:pPr>
        <w:ind w:firstLine="777"/>
        <w:spacing w:after="0" w:line="269" w:lineRule="auto"/>
        <w:rPr>
          <w:sz w:val="20"/>
          <w:szCs w:val="20"/>
          <w:color w:val="auto"/>
        </w:rPr>
      </w:pPr>
      <w:r>
        <w:rPr>
          <w:rFonts w:ascii="Arial" w:cs="Arial" w:eastAsia="Arial" w:hAnsi="Arial"/>
          <w:sz w:val="16"/>
          <w:szCs w:val="16"/>
          <w:color w:val="auto"/>
        </w:rPr>
        <w:t>We are exposed to market risks in the ordinary course of our business and from changes in the interest rate on our debt borrowings. These market risks are principally limited to interest rate fluctuations. We had cash of $141.2 million and $183.9 million as of June 30, 2021 and December 31, 2020,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35" w:lineRule="exact"/>
        <w:rPr>
          <w:sz w:val="20"/>
          <w:szCs w:val="20"/>
          <w:color w:val="auto"/>
        </w:rPr>
      </w:pPr>
    </w:p>
    <w:p>
      <w:pPr>
        <w:ind w:right="40" w:firstLine="777"/>
        <w:spacing w:after="0" w:line="273" w:lineRule="auto"/>
        <w:rPr>
          <w:sz w:val="20"/>
          <w:szCs w:val="20"/>
          <w:color w:val="auto"/>
        </w:rPr>
      </w:pPr>
      <w:r>
        <w:rPr>
          <w:rFonts w:ascii="Arial" w:cs="Arial" w:eastAsia="Arial" w:hAnsi="Arial"/>
          <w:sz w:val="16"/>
          <w:szCs w:val="16"/>
          <w:color w:val="auto"/>
        </w:rPr>
        <w:t>We contract with vendors and third-party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do not believe a 10% change in these currencies on June 30, 2021 would have had a material effect on our results of operations or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235" w:lineRule="exact"/>
        <w:rPr>
          <w:sz w:val="20"/>
          <w:szCs w:val="20"/>
          <w:color w:val="auto"/>
        </w:rPr>
      </w:pPr>
    </w:p>
    <w:p>
      <w:pPr>
        <w:ind w:right="100" w:firstLine="777"/>
        <w:spacing w:after="0" w:line="293" w:lineRule="auto"/>
        <w:rPr>
          <w:sz w:val="20"/>
          <w:szCs w:val="20"/>
          <w:color w:val="auto"/>
        </w:rPr>
      </w:pPr>
      <w:r>
        <w:rPr>
          <w:rFonts w:ascii="Arial" w:cs="Arial" w:eastAsia="Arial" w:hAnsi="Arial"/>
          <w:sz w:val="16"/>
          <w:szCs w:val="16"/>
          <w:color w:val="auto"/>
        </w:rPr>
        <w:t>Inflation generally affects us by increasing our cost of labor and pricing of contracts. We do not believe that inflation has had a material effect on our business, financial condition, or results of operations during the three months ended June 30, 2021.</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9" w:lineRule="exact"/>
        <w:rPr>
          <w:sz w:val="20"/>
          <w:szCs w:val="20"/>
          <w:color w:val="auto"/>
        </w:rPr>
      </w:pPr>
    </w:p>
    <w:p>
      <w:pPr>
        <w:ind w:firstLine="777"/>
        <w:spacing w:after="0" w:line="289"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officer and our principal financial officer, evaluated, as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20" w:firstLine="777"/>
        <w:spacing w:after="0" w:line="269"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In the fourth quarter of 2020, we began the implementation of a new Enterprise Resource Planning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 or ERP system, which will replace our existing core financial systems. The ERP system is designed to accurately maintain our financial records, enhance the flow of financial information, improve data management and user access security, and provide timely information to our management team. Changes to our general ledger and consolidated financial reporting are expected to take place in the second half of 2021. As the phased implementation of the new ERP system progresses, we may change our processes and procedures which, in turn, could result in changes to our internal control over financial reporting. As such changes occur, we will evaluate quarterly whether such changes materially affect our internal control over financial reporting.</w:t>
      </w:r>
    </w:p>
    <w:p>
      <w:pPr>
        <w:spacing w:after="0" w:line="194" w:lineRule="exact"/>
        <w:rPr>
          <w:sz w:val="20"/>
          <w:szCs w:val="20"/>
          <w:color w:val="auto"/>
        </w:rPr>
      </w:pPr>
    </w:p>
    <w:p>
      <w:pPr>
        <w:ind w:right="140" w:firstLine="777"/>
        <w:spacing w:after="0" w:line="293" w:lineRule="auto"/>
        <w:rPr>
          <w:sz w:val="20"/>
          <w:szCs w:val="20"/>
          <w:color w:val="auto"/>
        </w:rPr>
      </w:pPr>
      <w:r>
        <w:rPr>
          <w:rFonts w:ascii="Arial" w:cs="Arial" w:eastAsia="Arial" w:hAnsi="Arial"/>
          <w:sz w:val="16"/>
          <w:szCs w:val="16"/>
          <w:color w:val="auto"/>
        </w:rPr>
        <w:t>As of this reporting period, there has been no change in internal controls over financial reporting that occurred during the period covered by this report that has materially affected, or is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9" w:lineRule="exact"/>
        <w:rPr>
          <w:sz w:val="20"/>
          <w:szCs w:val="20"/>
          <w:color w:val="auto"/>
        </w:rPr>
      </w:pPr>
    </w:p>
    <w:p>
      <w:pPr>
        <w:ind w:right="120" w:firstLine="777"/>
        <w:spacing w:after="0" w:line="293" w:lineRule="auto"/>
        <w:rPr>
          <w:sz w:val="20"/>
          <w:szCs w:val="20"/>
          <w:color w:val="auto"/>
        </w:rPr>
      </w:pPr>
      <w:r>
        <w:rPr>
          <w:rFonts w:ascii="Arial" w:cs="Arial" w:eastAsia="Arial" w:hAnsi="Arial"/>
          <w:sz w:val="16"/>
          <w:szCs w:val="16"/>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ind w:right="100" w:firstLine="777"/>
        <w:spacing w:after="0" w:line="27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Our business is subject to a number of risks and uncertainties, including those risks discussed at length below. These risks include, among others, the following:</w:t>
      </w:r>
    </w:p>
    <w:p>
      <w:pPr>
        <w:spacing w:after="0" w:line="200" w:lineRule="exact"/>
        <w:rPr>
          <w:sz w:val="20"/>
          <w:szCs w:val="20"/>
          <w:color w:val="auto"/>
        </w:rPr>
      </w:pPr>
    </w:p>
    <w:p>
      <w:pPr>
        <w:spacing w:after="0" w:line="206" w:lineRule="exact"/>
        <w:rPr>
          <w:sz w:val="20"/>
          <w:szCs w:val="20"/>
          <w:color w:val="auto"/>
        </w:rPr>
      </w:pPr>
    </w:p>
    <w:p>
      <w:pPr>
        <w:ind w:left="880" w:right="20" w:hanging="440"/>
        <w:spacing w:after="0" w:line="293"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1" w:lineRule="exact"/>
        <w:rPr>
          <w:rFonts w:ascii="Arial" w:cs="Arial" w:eastAsia="Arial" w:hAnsi="Arial"/>
          <w:sz w:val="16"/>
          <w:szCs w:val="16"/>
          <w:color w:val="auto"/>
        </w:rPr>
      </w:pPr>
    </w:p>
    <w:p>
      <w:pPr>
        <w:ind w:left="880" w:right="40" w:hanging="440"/>
        <w:spacing w:after="0" w:line="416" w:lineRule="auto"/>
        <w:tabs>
          <w:tab w:leader="none" w:pos="88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02" w:lineRule="exact"/>
        <w:rPr>
          <w:rFonts w:ascii="Arial" w:cs="Arial" w:eastAsia="Arial" w:hAnsi="Arial"/>
          <w:sz w:val="13"/>
          <w:szCs w:val="13"/>
          <w:color w:val="auto"/>
        </w:rPr>
      </w:pPr>
    </w:p>
    <w:p>
      <w:pPr>
        <w:ind w:left="880" w:right="400" w:hanging="440"/>
        <w:spacing w:after="0" w:line="278"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84"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We have a limited operating history and no history of commercializing products, which may make it difficult to evaluate our business and prospects.</w:t>
      </w:r>
    </w:p>
    <w:p>
      <w:pPr>
        <w:spacing w:after="0" w:line="284" w:lineRule="exact"/>
        <w:rPr>
          <w:rFonts w:ascii="Arial" w:cs="Arial" w:eastAsia="Arial" w:hAnsi="Arial"/>
          <w:sz w:val="14"/>
          <w:szCs w:val="14"/>
          <w:color w:val="auto"/>
        </w:rPr>
      </w:pPr>
    </w:p>
    <w:p>
      <w:pPr>
        <w:ind w:left="880" w:right="580" w:hanging="440"/>
        <w:spacing w:after="0" w:line="328" w:lineRule="auto"/>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49" w:lineRule="exact"/>
        <w:rPr>
          <w:rFonts w:ascii="Arial" w:cs="Arial" w:eastAsia="Arial" w:hAnsi="Arial"/>
          <w:sz w:val="15"/>
          <w:szCs w:val="15"/>
          <w:color w:val="auto"/>
        </w:rPr>
      </w:pPr>
    </w:p>
    <w:p>
      <w:pPr>
        <w:ind w:left="880" w:right="20" w:hanging="440"/>
        <w:spacing w:after="0" w:line="335" w:lineRule="auto"/>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9" w:lineRule="exact"/>
        <w:rPr>
          <w:rFonts w:ascii="Arial" w:cs="Arial" w:eastAsia="Arial" w:hAnsi="Arial"/>
          <w:sz w:val="14"/>
          <w:szCs w:val="14"/>
          <w:color w:val="auto"/>
        </w:rPr>
      </w:pPr>
    </w:p>
    <w:p>
      <w:pPr>
        <w:ind w:left="880" w:hanging="440"/>
        <w:spacing w:after="0" w:line="335" w:lineRule="auto"/>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Although Breakthrough Therapy, Fast Track, and other designations are designed to expedite the development and review of drugs, Breakthrough Therapy designation by the FDA for AXS-05 for the treatment of MDD and for the treatment of AD agitation, for example, may not ultimately lead to a faster development or regulatory review or approval process, and it will not increase the likelihood that these product candidates will receive marketing approval.</w:t>
      </w:r>
    </w:p>
    <w:p>
      <w:pPr>
        <w:spacing w:after="0" w:line="149" w:lineRule="exact"/>
        <w:rPr>
          <w:rFonts w:ascii="Arial" w:cs="Arial" w:eastAsia="Arial" w:hAnsi="Arial"/>
          <w:sz w:val="14"/>
          <w:szCs w:val="14"/>
          <w:color w:val="auto"/>
        </w:rPr>
      </w:pPr>
    </w:p>
    <w:p>
      <w:pPr>
        <w:ind w:left="880" w:right="80" w:hanging="440"/>
        <w:spacing w:after="0" w:line="293"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1" w:lineRule="exact"/>
        <w:rPr>
          <w:rFonts w:ascii="Arial" w:cs="Arial" w:eastAsia="Arial" w:hAnsi="Arial"/>
          <w:sz w:val="16"/>
          <w:szCs w:val="16"/>
          <w:color w:val="auto"/>
        </w:rPr>
      </w:pPr>
    </w:p>
    <w:p>
      <w:pPr>
        <w:jc w:val="both"/>
        <w:ind w:left="880" w:hanging="440"/>
        <w:spacing w:after="0" w:line="278"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If any of our current or future product candidates do not achieve broad market acceptance, the revenues that we generate from their sales will be limited.</w:t>
      </w:r>
    </w:p>
    <w:p>
      <w:pPr>
        <w:spacing w:after="0" w:line="284" w:lineRule="exact"/>
        <w:rPr>
          <w:rFonts w:ascii="Arial" w:cs="Arial" w:eastAsia="Arial" w:hAnsi="Arial"/>
          <w:sz w:val="14"/>
          <w:szCs w:val="14"/>
          <w:color w:val="auto"/>
        </w:rPr>
      </w:pPr>
    </w:p>
    <w:p>
      <w:pPr>
        <w:ind w:left="880" w:hanging="440"/>
        <w:spacing w:after="0" w:line="416"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02" w:lineRule="exact"/>
        <w:rPr>
          <w:rFonts w:ascii="Arial" w:cs="Arial" w:eastAsia="Arial" w:hAnsi="Arial"/>
          <w:sz w:val="13"/>
          <w:szCs w:val="13"/>
          <w:color w:val="auto"/>
        </w:rPr>
      </w:pPr>
    </w:p>
    <w:p>
      <w:pPr>
        <w:ind w:left="880" w:right="80" w:hanging="440"/>
        <w:spacing w:after="0" w:line="278"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rFonts w:ascii="Arial" w:cs="Arial" w:eastAsia="Arial" w:hAnsi="Arial"/>
          <w:sz w:val="16"/>
          <w:szCs w:val="16"/>
          <w:color w:val="auto"/>
        </w:rPr>
      </w:pPr>
    </w:p>
    <w:p>
      <w:pPr>
        <w:ind w:left="880" w:right="4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1" w:lineRule="exact"/>
        <w:rPr>
          <w:rFonts w:ascii="Arial" w:cs="Arial" w:eastAsia="Arial" w:hAnsi="Arial"/>
          <w:sz w:val="16"/>
          <w:szCs w:val="16"/>
          <w:color w:val="auto"/>
        </w:rPr>
      </w:pPr>
    </w:p>
    <w:p>
      <w:pPr>
        <w:ind w:left="880" w:right="20" w:hanging="440"/>
        <w:spacing w:after="0" w:line="293"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As an NDA applicant (and if an NDA is approved) and as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75" w:lineRule="exact"/>
        <w:rPr>
          <w:rFonts w:ascii="Arial" w:cs="Arial" w:eastAsia="Arial" w:hAnsi="Arial"/>
          <w:sz w:val="15"/>
          <w:szCs w:val="15"/>
          <w:color w:val="auto"/>
        </w:rPr>
      </w:pPr>
    </w:p>
    <w:p>
      <w:pPr>
        <w:ind w:left="880" w:right="6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We are dependent on third parties to decide to utilize our product candidates to make them readily available at the point of care throughout their networks of pharmacies.</w:t>
      </w:r>
    </w:p>
    <w:p>
      <w:pPr>
        <w:spacing w:after="0" w:line="171" w:lineRule="exact"/>
        <w:rPr>
          <w:rFonts w:ascii="Arial" w:cs="Arial" w:eastAsia="Arial" w:hAnsi="Arial"/>
          <w:sz w:val="16"/>
          <w:szCs w:val="16"/>
          <w:color w:val="auto"/>
        </w:rPr>
      </w:pPr>
    </w:p>
    <w:p>
      <w:pPr>
        <w:ind w:left="880" w:right="2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1" w:lineRule="exact"/>
        <w:rPr>
          <w:rFonts w:ascii="Arial" w:cs="Arial" w:eastAsia="Arial" w:hAnsi="Arial"/>
          <w:sz w:val="16"/>
          <w:szCs w:val="16"/>
          <w:color w:val="auto"/>
        </w:rPr>
      </w:pPr>
    </w:p>
    <w:p>
      <w:pPr>
        <w:ind w:left="880" w:right="220" w:hanging="440"/>
        <w:spacing w:after="0" w:line="369"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25" w:lineRule="exact"/>
        <w:rPr>
          <w:rFonts w:ascii="Arial" w:cs="Arial" w:eastAsia="Arial" w:hAnsi="Arial"/>
          <w:sz w:val="14"/>
          <w:szCs w:val="14"/>
          <w:color w:val="auto"/>
        </w:rPr>
      </w:pPr>
    </w:p>
    <w:p>
      <w:pPr>
        <w:ind w:left="880" w:right="20" w:hanging="440"/>
        <w:spacing w:after="0" w:line="278"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84" w:lineRule="exact"/>
        <w:rPr>
          <w:rFonts w:ascii="Arial" w:cs="Arial" w:eastAsia="Arial" w:hAnsi="Arial"/>
          <w:sz w:val="16"/>
          <w:szCs w:val="16"/>
          <w:color w:val="auto"/>
        </w:rPr>
      </w:pPr>
    </w:p>
    <w:p>
      <w:pPr>
        <w:ind w:left="880" w:right="360" w:hanging="440"/>
        <w:spacing w:after="0" w:line="369"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If the government or third-party payors fail to provide adequate coverage and payment rates for any of our current or future product candidates, or if HMOs or long-term care facilities choose to use therapies that are less expensive, our revenue and prospects for profitability will be limited.</w:t>
      </w:r>
    </w:p>
    <w:p>
      <w:pPr>
        <w:spacing w:after="0" w:line="125" w:lineRule="exact"/>
        <w:rPr>
          <w:rFonts w:ascii="Arial" w:cs="Arial" w:eastAsia="Arial" w:hAnsi="Arial"/>
          <w:sz w:val="14"/>
          <w:szCs w:val="14"/>
          <w:color w:val="auto"/>
        </w:rPr>
      </w:pPr>
    </w:p>
    <w:p>
      <w:pPr>
        <w:ind w:left="880" w:right="100" w:hanging="440"/>
        <w:spacing w:after="0" w:line="328"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9" w:lineRule="exact"/>
        <w:rPr>
          <w:rFonts w:ascii="Arial" w:cs="Arial" w:eastAsia="Arial" w:hAnsi="Arial"/>
          <w:sz w:val="15"/>
          <w:szCs w:val="15"/>
          <w:color w:val="auto"/>
        </w:rPr>
      </w:pPr>
    </w:p>
    <w:p>
      <w:pPr>
        <w:ind w:left="880" w:right="46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1" w:lineRule="exact"/>
        <w:rPr>
          <w:rFonts w:ascii="Arial" w:cs="Arial" w:eastAsia="Arial" w:hAnsi="Arial"/>
          <w:sz w:val="16"/>
          <w:szCs w:val="16"/>
          <w:color w:val="auto"/>
        </w:rPr>
      </w:pPr>
    </w:p>
    <w:p>
      <w:pPr>
        <w:ind w:left="880" w:right="220" w:hanging="440"/>
        <w:spacing w:after="0" w:line="369"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25" w:lineRule="exact"/>
        <w:rPr>
          <w:rFonts w:ascii="Arial" w:cs="Arial" w:eastAsia="Arial" w:hAnsi="Arial"/>
          <w:sz w:val="14"/>
          <w:szCs w:val="14"/>
          <w:color w:val="auto"/>
        </w:rPr>
      </w:pPr>
    </w:p>
    <w:p>
      <w:pPr>
        <w:ind w:left="880" w:right="8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3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2" w:lineRule="exact"/>
        <w:rPr>
          <w:sz w:val="20"/>
          <w:szCs w:val="20"/>
          <w:color w:val="auto"/>
        </w:rPr>
      </w:pPr>
    </w:p>
    <w:p>
      <w:pPr>
        <w:ind w:right="40" w:firstLine="777"/>
        <w:spacing w:after="0" w:line="272" w:lineRule="auto"/>
        <w:rPr>
          <w:sz w:val="20"/>
          <w:szCs w:val="20"/>
          <w:color w:val="auto"/>
        </w:rPr>
      </w:pPr>
      <w:r>
        <w:rPr>
          <w:rFonts w:ascii="Arial" w:cs="Arial" w:eastAsia="Arial" w:hAnsi="Arial"/>
          <w:sz w:val="16"/>
          <w:szCs w:val="16"/>
          <w:color w:val="auto"/>
        </w:rPr>
        <w:t>We are a biopharmaceutical company with a limited operating history. For the last several years, we have focused our efforts primarily on developing CNS product candidates, AXS-05, AXS-07, AXS-09, AXS-12, and AXS-14, which we refer to herein as our product candidates, with the goal of achieving regulatory approval and commercialization. Since inception, we have incurred significant operating losses. Our net losses were $61.5 million for the six months ended June 30, 2021 and $102.9 for the year ended December 31, 2020. As of June 30, 2021, we had an accumulated deficit of $340.3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89" w:lineRule="exact"/>
        <w:rPr>
          <w:sz w:val="20"/>
          <w:szCs w:val="20"/>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seek regulatory approval for any product candidates that successfully complete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hire additional commercial, clinical, medical, quality control, and scientific personnel;</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candidate development and planned future commercialization efforts;</w:t>
      </w:r>
    </w:p>
    <w:p>
      <w:pPr>
        <w:spacing w:after="0" w:line="171" w:lineRule="exact"/>
        <w:rPr>
          <w:rFonts w:ascii="Arial" w:cs="Arial" w:eastAsia="Arial" w:hAnsi="Arial"/>
          <w:sz w:val="16"/>
          <w:szCs w:val="16"/>
          <w:color w:val="auto"/>
        </w:rPr>
      </w:pPr>
    </w:p>
    <w:p>
      <w:pPr>
        <w:ind w:left="880" w:right="4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further establish a sales, marketing, and distribution infrastructure, and expand external manufacturing capabilities and production to commercialize any products for which we may obtain regulatory approval and that we choose not to license to a third-party;</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conduct our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05 in AD agitation;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our planned Phase 3 clinical trial with AXS-12 in narcolepsy;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continue to evaluate, plan for, and conduct, clinical trials for AXS-05 as an aid to smoking cessation treatment and AXS-09 for the treatment of CNS disorders;</w:t>
      </w:r>
    </w:p>
    <w:p>
      <w:pPr>
        <w:spacing w:after="0" w:line="284" w:lineRule="exact"/>
        <w:rPr>
          <w:rFonts w:ascii="Arial" w:cs="Arial" w:eastAsia="Arial" w:hAnsi="Arial"/>
          <w:sz w:val="14"/>
          <w:szCs w:val="14"/>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evaluate, plan for, and submit an NDA for AXS-14 in fibromyalgia;</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 in</w:t>
      </w:r>
      <w:r>
        <w:rPr>
          <w:rFonts w:ascii="MS PGothic" w:cs="MS PGothic" w:eastAsia="MS PGothic" w:hAnsi="MS PGothic"/>
          <w:sz w:val="16"/>
          <w:szCs w:val="16"/>
          <w:color w:val="auto"/>
        </w:rPr>
        <w:t>‑</w:t>
      </w:r>
      <w:r>
        <w:rPr>
          <w:rFonts w:ascii="Arial" w:cs="Arial" w:eastAsia="Arial" w:hAnsi="Arial"/>
          <w:sz w:val="16"/>
          <w:szCs w:val="16"/>
          <w:color w:val="auto"/>
        </w:rPr>
        <w:t>license, or acquire additional product candidates;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clinical studies with any additional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larger quantities of product;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777"/>
        <w:spacing w:after="0" w:line="289"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 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80" w:lineRule="exact"/>
        <w:rPr>
          <w:sz w:val="20"/>
          <w:szCs w:val="20"/>
          <w:color w:val="auto"/>
        </w:rPr>
      </w:pPr>
    </w:p>
    <w:p>
      <w:pPr>
        <w:ind w:right="60" w:firstLine="777"/>
        <w:spacing w:after="0" w:line="273"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9" w:lineRule="exact"/>
        <w:rPr>
          <w:sz w:val="20"/>
          <w:szCs w:val="20"/>
          <w:color w:val="auto"/>
        </w:rPr>
      </w:pPr>
    </w:p>
    <w:p>
      <w:pPr>
        <w:ind w:right="380" w:firstLine="777"/>
        <w:spacing w:after="0" w:line="335" w:lineRule="auto"/>
        <w:rPr>
          <w:sz w:val="20"/>
          <w:szCs w:val="20"/>
          <w:color w:val="auto"/>
        </w:rPr>
      </w:pPr>
      <w:r>
        <w:rPr>
          <w:rFonts w:ascii="Arial" w:cs="Arial" w:eastAsia="Arial" w:hAnsi="Arial"/>
          <w:sz w:val="14"/>
          <w:szCs w:val="14"/>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49" w:lineRule="exact"/>
        <w:rPr>
          <w:sz w:val="20"/>
          <w:szCs w:val="20"/>
          <w:color w:val="auto"/>
        </w:rPr>
      </w:pPr>
    </w:p>
    <w:p>
      <w:pPr>
        <w:spacing w:after="0" w:line="328" w:lineRule="auto"/>
        <w:rPr>
          <w:sz w:val="20"/>
          <w:szCs w:val="20"/>
          <w:color w:val="auto"/>
        </w:rPr>
      </w:pPr>
      <w:r>
        <w:rPr>
          <w:rFonts w:ascii="Arial" w:cs="Arial" w:eastAsia="Arial" w:hAnsi="Arial"/>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0" w:lineRule="exact"/>
        <w:rPr>
          <w:sz w:val="20"/>
          <w:szCs w:val="20"/>
          <w:color w:val="auto"/>
        </w:rPr>
      </w:pPr>
    </w:p>
    <w:p>
      <w:pPr>
        <w:ind w:right="560" w:firstLine="864"/>
        <w:spacing w:after="0" w:line="204" w:lineRule="exact"/>
        <w:rPr>
          <w:sz w:val="20"/>
          <w:szCs w:val="20"/>
          <w:color w:val="auto"/>
        </w:rPr>
      </w:pPr>
      <w:r>
        <w:rPr>
          <w:rFonts w:ascii="Arial" w:cs="Arial" w:eastAsia="Arial" w:hAnsi="Arial"/>
          <w:sz w:val="16"/>
          <w:szCs w:val="16"/>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We will need to raise additional capital to:</w:t>
      </w:r>
    </w:p>
    <w:p>
      <w:pPr>
        <w:spacing w:after="0" w:line="214" w:lineRule="exact"/>
        <w:rPr>
          <w:sz w:val="20"/>
          <w:szCs w:val="20"/>
          <w:color w:val="auto"/>
        </w:rPr>
      </w:pPr>
    </w:p>
    <w:p>
      <w:pPr>
        <w:ind w:left="880" w:right="20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71" w:lineRule="exact"/>
        <w:rPr>
          <w:rFonts w:ascii="Arial" w:cs="Arial" w:eastAsia="Arial" w:hAnsi="Arial"/>
          <w:sz w:val="16"/>
          <w:szCs w:val="16"/>
          <w:color w:val="auto"/>
        </w:rPr>
      </w:pPr>
    </w:p>
    <w:p>
      <w:pPr>
        <w:ind w:left="880" w:right="34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7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qualify and outsource the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our products under current good manufacturing practices, or cGMP;</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 additional product candidates; and</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other product candidates.</w:t>
      </w:r>
    </w:p>
    <w:p>
      <w:pPr>
        <w:spacing w:after="0" w:line="262"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We believe our currently available cash along with the committed capital from the term loan facility will be sufficient to fund our anticipated operating cash requirements into at least 2024.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90"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rate of progress and costs related to the development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associated with conducting additional clinical and non-clinical studies with any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establishing a commercial organization to sell, market, and distribute our product candidates;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right="60" w:hanging="440"/>
        <w:spacing w:after="0" w:line="204" w:lineRule="exact"/>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rate of progress and costs of our efforts to prepare for the submission of a new drug application, or NDA, for any product candidates that we may in</w:t>
      </w:r>
      <w:r>
        <w:rPr>
          <w:rFonts w:ascii="MS PGothic" w:cs="MS PGothic" w:eastAsia="MS PGothic" w:hAnsi="MS PGothic"/>
          <w:sz w:val="14"/>
          <w:szCs w:val="14"/>
          <w:color w:val="auto"/>
        </w:rPr>
        <w:t>‑</w:t>
      </w:r>
      <w:r>
        <w:rPr>
          <w:rFonts w:ascii="Arial" w:cs="Arial" w:eastAsia="Arial" w:hAnsi="Arial"/>
          <w:sz w:val="14"/>
          <w:szCs w:val="14"/>
          <w:color w:val="auto"/>
        </w:rPr>
        <w:t>license or acquire in the future, and the potential that we may need to conduct additional clinical or preclinical trials to support applications for regulatory approval;</w:t>
      </w:r>
    </w:p>
    <w:p>
      <w:pPr>
        <w:spacing w:after="0" w:line="213" w:lineRule="exact"/>
        <w:rPr>
          <w:rFonts w:ascii="Arial" w:cs="Arial" w:eastAsia="Arial" w:hAnsi="Arial"/>
          <w:sz w:val="14"/>
          <w:szCs w:val="14"/>
          <w:color w:val="auto"/>
        </w:rPr>
      </w:pPr>
    </w:p>
    <w:p>
      <w:pPr>
        <w:ind w:left="880" w:hanging="440"/>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273" w:lineRule="exact"/>
        <w:rPr>
          <w:rFonts w:ascii="Arial" w:cs="Arial" w:eastAsia="Arial" w:hAnsi="Arial"/>
          <w:sz w:val="15"/>
          <w:szCs w:val="15"/>
          <w:color w:val="auto"/>
        </w:rPr>
      </w:pPr>
    </w:p>
    <w:p>
      <w:pPr>
        <w:ind w:left="880" w:right="1160" w:hanging="440"/>
        <w:spacing w:after="0" w:line="293"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and timing of manufacturing (or having manufactured by third parties) sufficient supplies of our product candidates in preparation for commercialization;</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subject to the receipt of regulatory approval;</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success of the commercialization of any of our current or future product candidates.</w:t>
      </w:r>
    </w:p>
    <w:p>
      <w:pPr>
        <w:spacing w:after="0" w:line="262" w:lineRule="exact"/>
        <w:rPr>
          <w:sz w:val="20"/>
          <w:szCs w:val="20"/>
          <w:color w:val="auto"/>
        </w:rPr>
      </w:pPr>
    </w:p>
    <w:p>
      <w:pPr>
        <w:ind w:right="40" w:firstLine="864"/>
        <w:spacing w:after="0" w:line="27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0"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26" w:lineRule="exact"/>
        <w:rPr>
          <w:sz w:val="20"/>
          <w:szCs w:val="20"/>
          <w:color w:val="auto"/>
        </w:rPr>
      </w:pPr>
    </w:p>
    <w:p>
      <w:pPr>
        <w:ind w:firstLine="864"/>
        <w:spacing w:after="0" w:line="289" w:lineRule="auto"/>
        <w:rPr>
          <w:sz w:val="20"/>
          <w:szCs w:val="20"/>
          <w:color w:val="auto"/>
        </w:rPr>
      </w:pPr>
      <w:r>
        <w:rPr>
          <w:rFonts w:ascii="Arial" w:cs="Arial" w:eastAsia="Arial" w:hAnsi="Arial"/>
          <w:sz w:val="15"/>
          <w:szCs w:val="15"/>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0" w:lineRule="exact"/>
        <w:rPr>
          <w:sz w:val="20"/>
          <w:szCs w:val="20"/>
          <w:color w:val="auto"/>
        </w:rPr>
      </w:pPr>
    </w:p>
    <w:p>
      <w:pPr>
        <w:ind w:right="20" w:firstLine="864"/>
        <w:spacing w:after="0" w:line="285" w:lineRule="auto"/>
        <w:rPr>
          <w:sz w:val="20"/>
          <w:szCs w:val="20"/>
          <w:color w:val="auto"/>
        </w:rPr>
      </w:pPr>
      <w:r>
        <w:rPr>
          <w:rFonts w:ascii="Arial" w:cs="Arial" w:eastAsia="Arial" w:hAnsi="Arial"/>
          <w:sz w:val="15"/>
          <w:szCs w:val="15"/>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$2.0 billion, and that we maintain cash in an account in which the Lenders have a first priority security interest in an amount not less than 65% of the sum of the outstanding principal amount of the term loan advances plus the Qualified Cash A/P Amount, (B) ensure that at all times that we maintain cash in an account in which the Lenders have a first priority security interest in an amount not less than 100% of the sum of the outstanding principal amount of the term loan advances plus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180" w:firstLine="864"/>
        <w:spacing w:after="0" w:line="335" w:lineRule="auto"/>
        <w:rPr>
          <w:sz w:val="20"/>
          <w:szCs w:val="20"/>
          <w:color w:val="auto"/>
        </w:rPr>
      </w:pPr>
      <w:r>
        <w:rPr>
          <w:rFonts w:ascii="Arial" w:cs="Arial" w:eastAsia="Arial" w:hAnsi="Arial"/>
          <w:sz w:val="14"/>
          <w:szCs w:val="14"/>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and no history of commercializing products, which may make it difficult to evaluate our business and prospects.</w:t>
      </w:r>
    </w:p>
    <w:p>
      <w:pPr>
        <w:spacing w:after="0" w:line="246" w:lineRule="exact"/>
        <w:rPr>
          <w:sz w:val="20"/>
          <w:szCs w:val="20"/>
          <w:color w:val="auto"/>
        </w:rPr>
      </w:pPr>
    </w:p>
    <w:p>
      <w:pPr>
        <w:ind w:firstLine="864"/>
        <w:spacing w:after="0" w:line="291" w:lineRule="auto"/>
        <w:rPr>
          <w:sz w:val="20"/>
          <w:szCs w:val="20"/>
          <w:color w:val="auto"/>
        </w:rPr>
      </w:pPr>
      <w:r>
        <w:rPr>
          <w:rFonts w:ascii="Arial" w:cs="Arial" w:eastAsia="Arial" w:hAnsi="Arial"/>
          <w:sz w:val="15"/>
          <w:szCs w:val="15"/>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THE DEVELOPMENT OF OUR PRODUCT CANDIDATES</w:t>
      </w:r>
    </w:p>
    <w:p>
      <w:pPr>
        <w:spacing w:after="0" w:line="23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72" w:lineRule="exact"/>
        <w:rPr>
          <w:sz w:val="20"/>
          <w:szCs w:val="20"/>
          <w:color w:val="auto"/>
        </w:rPr>
      </w:pPr>
    </w:p>
    <w:p>
      <w:pPr>
        <w:ind w:right="120" w:firstLine="864"/>
        <w:spacing w:after="0" w:line="287" w:lineRule="auto"/>
        <w:rPr>
          <w:sz w:val="20"/>
          <w:szCs w:val="20"/>
          <w:color w:val="auto"/>
        </w:rPr>
      </w:pPr>
      <w:r>
        <w:rPr>
          <w:rFonts w:ascii="Arial" w:cs="Arial" w:eastAsia="Arial" w:hAnsi="Arial"/>
          <w:sz w:val="15"/>
          <w:szCs w:val="15"/>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82" w:lineRule="exact"/>
        <w:rPr>
          <w:sz w:val="20"/>
          <w:szCs w:val="20"/>
          <w:color w:val="auto"/>
        </w:rPr>
      </w:pPr>
    </w:p>
    <w:p>
      <w:pPr>
        <w:ind w:right="100" w:firstLine="864"/>
        <w:spacing w:after="0" w:line="273"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A Phase 3 trial with AXS-05 in AD agitation is ongoing and a Phase 3 AXS-12 in narcolepsy is planned. As a result of one or more risks discussed in this section, we cannot assure you that we will meet projected timelines related to these trials.</w:t>
      </w:r>
    </w:p>
    <w:p>
      <w:pPr>
        <w:spacing w:after="0" w:line="189" w:lineRule="exact"/>
        <w:rPr>
          <w:sz w:val="20"/>
          <w:szCs w:val="20"/>
          <w:color w:val="auto"/>
        </w:rPr>
      </w:pPr>
    </w:p>
    <w:p>
      <w:pPr>
        <w:ind w:firstLine="864"/>
        <w:spacing w:after="0" w:line="288" w:lineRule="auto"/>
        <w:rPr>
          <w:sz w:val="20"/>
          <w:szCs w:val="20"/>
          <w:color w:val="auto"/>
        </w:rPr>
      </w:pPr>
      <w:r>
        <w:rPr>
          <w:rFonts w:ascii="Arial" w:cs="Arial" w:eastAsia="Arial" w:hAnsi="Arial"/>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0"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Although we submitted an NDA to the FDA for AXS-05 for the treatment of MDD and for AXS-07 for the acute treatment of migraine, 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4" w:lineRule="exact"/>
        <w:rPr>
          <w:sz w:val="20"/>
          <w:szCs w:val="20"/>
          <w:color w:val="auto"/>
        </w:rPr>
      </w:pPr>
    </w:p>
    <w:p>
      <w:pPr>
        <w:ind w:right="20" w:firstLine="864"/>
        <w:spacing w:after="0" w:line="269"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approved for marketing by applicable regulatory authorities, our ability to generate revenues from our product candidates depend on our ability to:</w:t>
      </w:r>
    </w:p>
    <w:p>
      <w:pPr>
        <w:spacing w:after="0" w:line="246" w:lineRule="exact"/>
        <w:rPr>
          <w:sz w:val="20"/>
          <w:szCs w:val="20"/>
          <w:color w:val="auto"/>
        </w:rPr>
      </w:pPr>
    </w:p>
    <w:p>
      <w:pPr>
        <w:ind w:left="880" w:right="580" w:hanging="440"/>
        <w:spacing w:after="0" w:line="29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create market demand for our product candidates through our own marketing and sales activities, and any other arrangements to promote these product candidates that we may otherwise establish;</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receive regulatory approval for claims that are necessary or desirable for successful marketing;</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hire, train, and deploy a sales force to commercialize our product candidates in the United States;</w:t>
      </w:r>
    </w:p>
    <w:p>
      <w:pPr>
        <w:spacing w:after="0" w:line="261" w:lineRule="exact"/>
        <w:rPr>
          <w:rFonts w:ascii="Arial" w:cs="Arial" w:eastAsia="Arial" w:hAnsi="Arial"/>
          <w:sz w:val="16"/>
          <w:szCs w:val="16"/>
          <w:color w:val="auto"/>
        </w:rPr>
      </w:pPr>
    </w:p>
    <w:p>
      <w:pPr>
        <w:ind w:left="880" w:right="240" w:hanging="440"/>
        <w:spacing w:after="0" w:line="29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create partnerships with, or offer licenses to, third parties to promote and sell our product candidates in foreign markets where we receive marketing approval:</w:t>
      </w:r>
    </w:p>
    <w:p>
      <w:pPr>
        <w:spacing w:after="0" w:line="284" w:lineRule="exact"/>
        <w:rPr>
          <w:rFonts w:ascii="Arial" w:cs="Arial" w:eastAsia="Arial" w:hAnsi="Arial"/>
          <w:sz w:val="14"/>
          <w:szCs w:val="14"/>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patent and trade secret protection and regulatory exclusivity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launch commercial sales of our product candidates, whether alone or in collaboration with others;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appropriate reimbursement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effectively compete with other therapies;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a continued acceptable safety profile of our product candidates following launch.</w:t>
      </w:r>
    </w:p>
    <w:p>
      <w:pPr>
        <w:spacing w:after="0" w:line="2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72" w:lineRule="exact"/>
        <w:rPr>
          <w:sz w:val="20"/>
          <w:szCs w:val="20"/>
          <w:color w:val="auto"/>
        </w:rPr>
      </w:pPr>
    </w:p>
    <w:p>
      <w:pPr>
        <w:ind w:firstLine="864"/>
        <w:spacing w:after="0" w:line="308"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sz w:val="20"/>
          <w:szCs w:val="20"/>
          <w:color w:val="auto"/>
        </w:rPr>
      </w:pPr>
    </w:p>
    <w:p>
      <w:pPr>
        <w:ind w:right="20" w:firstLine="864"/>
        <w:spacing w:after="0" w:line="286" w:lineRule="auto"/>
        <w:rPr>
          <w:sz w:val="20"/>
          <w:szCs w:val="20"/>
          <w:color w:val="auto"/>
        </w:rPr>
      </w:pPr>
      <w:r>
        <w:rPr>
          <w:rFonts w:ascii="Arial" w:cs="Arial" w:eastAsia="Arial" w:hAnsi="Arial"/>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2" w:lineRule="exact"/>
        <w:rPr>
          <w:sz w:val="20"/>
          <w:szCs w:val="20"/>
          <w:color w:val="auto"/>
        </w:rPr>
      </w:pPr>
    </w:p>
    <w:p>
      <w:pPr>
        <w:ind w:right="120" w:firstLine="864"/>
        <w:spacing w:after="0" w:line="328" w:lineRule="auto"/>
        <w:rPr>
          <w:sz w:val="20"/>
          <w:szCs w:val="20"/>
          <w:color w:val="auto"/>
        </w:rPr>
      </w:pPr>
      <w:r>
        <w:rPr>
          <w:rFonts w:ascii="Arial" w:cs="Arial" w:eastAsia="Arial" w:hAnsi="Arial"/>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0"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or inability to secure financing to fund business activities for such development;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disruption of our business and diversion of our management’s time and attention;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than expected development costs;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unknown liabilities;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in managing multiple product development programs;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successfully develop new products or clinical failure.</w:t>
      </w:r>
    </w:p>
    <w:p>
      <w:pPr>
        <w:spacing w:after="0" w:line="262" w:lineRule="exact"/>
        <w:rPr>
          <w:sz w:val="20"/>
          <w:szCs w:val="20"/>
          <w:color w:val="auto"/>
        </w:rPr>
      </w:pPr>
    </w:p>
    <w:p>
      <w:pPr>
        <w:ind w:right="120" w:firstLine="864"/>
        <w:spacing w:after="0" w:line="273" w:lineRule="auto"/>
        <w:rPr>
          <w:sz w:val="20"/>
          <w:szCs w:val="20"/>
          <w:color w:val="auto"/>
        </w:rPr>
      </w:pPr>
      <w:r>
        <w:rPr>
          <w:rFonts w:ascii="Arial" w:cs="Arial" w:eastAsia="Arial" w:hAnsi="Arial"/>
          <w:sz w:val="16"/>
          <w:szCs w:val="16"/>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9"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6" w:lineRule="exact"/>
        <w:rPr>
          <w:sz w:val="20"/>
          <w:szCs w:val="20"/>
          <w:color w:val="auto"/>
        </w:rPr>
      </w:pPr>
    </w:p>
    <w:p>
      <w:pPr>
        <w:ind w:right="320" w:firstLine="864"/>
        <w:spacing w:after="0" w:line="293"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72" w:lineRule="exact"/>
        <w:rPr>
          <w:sz w:val="20"/>
          <w:szCs w:val="20"/>
          <w:color w:val="auto"/>
        </w:rPr>
      </w:pPr>
    </w:p>
    <w:p>
      <w:pPr>
        <w:ind w:right="100" w:firstLine="864"/>
        <w:spacing w:after="0" w:line="271" w:lineRule="auto"/>
        <w:rPr>
          <w:sz w:val="20"/>
          <w:szCs w:val="20"/>
          <w:color w:val="auto"/>
        </w:rPr>
      </w:pPr>
      <w:r>
        <w:rPr>
          <w:rFonts w:ascii="Arial" w:cs="Arial" w:eastAsia="Arial" w:hAnsi="Arial"/>
          <w:sz w:val="16"/>
          <w:szCs w:val="16"/>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firstLine="864"/>
        <w:spacing w:after="0" w:line="204" w:lineRule="exact"/>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213"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 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Aplenzin, Forfivo, Zyban, Contrave, and Nuedexta.</w:t>
      </w:r>
    </w:p>
    <w:p>
      <w:pPr>
        <w:spacing w:after="0" w:line="217" w:lineRule="exact"/>
        <w:rPr>
          <w:sz w:val="20"/>
          <w:szCs w:val="20"/>
          <w:color w:val="auto"/>
        </w:rPr>
      </w:pPr>
    </w:p>
    <w:p>
      <w:pPr>
        <w:ind w:firstLine="864"/>
        <w:spacing w:after="0" w:line="203" w:lineRule="exact"/>
        <w:rPr>
          <w:sz w:val="20"/>
          <w:szCs w:val="20"/>
          <w:color w:val="auto"/>
        </w:rPr>
      </w:pPr>
      <w:r>
        <w:rPr>
          <w:rFonts w:ascii="Arial" w:cs="Arial" w:eastAsia="Arial" w:hAnsi="Arial"/>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217" w:lineRule="exact"/>
        <w:rPr>
          <w:sz w:val="20"/>
          <w:szCs w:val="20"/>
          <w:color w:val="auto"/>
        </w:rPr>
      </w:pPr>
    </w:p>
    <w:p>
      <w:pPr>
        <w:ind w:right="40" w:firstLine="864"/>
        <w:spacing w:after="0" w:line="271" w:lineRule="auto"/>
        <w:rPr>
          <w:sz w:val="20"/>
          <w:szCs w:val="20"/>
          <w:color w:val="auto"/>
        </w:rPr>
      </w:pPr>
      <w:r>
        <w:rPr>
          <w:rFonts w:ascii="Arial" w:cs="Arial" w:eastAsia="Arial" w:hAnsi="Arial"/>
          <w:sz w:val="16"/>
          <w:szCs w:val="16"/>
          <w:color w:val="auto"/>
        </w:rPr>
        <w:t>Based on the side effects disclosed in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90"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In addition, because we plan to file most of our product candidates under an NDA submitted pursuant to 505(b)(2), we will rely, at least in part, upon a reference drug and published literature. For example, we intend to rely on data collected in certain investigator initiated Phase 2 clinical trials and other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an NDA for AXS-05 and plan to submit NDAs for AXS-07 pursuant to the 505(b)(2) process, we have not conducted certain additional clinical trials for these product candidates and, as such, we will have less experience with actual testing of the product candidate.</w:t>
      </w:r>
    </w:p>
    <w:p>
      <w:pPr>
        <w:spacing w:after="0" w:line="182" w:lineRule="exact"/>
        <w:rPr>
          <w:sz w:val="20"/>
          <w:szCs w:val="20"/>
          <w:color w:val="auto"/>
        </w:rPr>
      </w:pPr>
    </w:p>
    <w:p>
      <w:pPr>
        <w:ind w:right="80" w:firstLine="864"/>
        <w:spacing w:after="0" w:line="271" w:lineRule="auto"/>
        <w:rPr>
          <w:sz w:val="20"/>
          <w:szCs w:val="20"/>
          <w:color w:val="auto"/>
        </w:rPr>
      </w:pPr>
      <w:r>
        <w:rPr>
          <w:rFonts w:ascii="Arial" w:cs="Arial" w:eastAsia="Arial" w:hAnsi="Arial"/>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90"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6"/>
          <w:szCs w:val="16"/>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217"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72"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82"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78"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4" w:lineRule="exact"/>
        <w:rPr>
          <w:sz w:val="20"/>
          <w:szCs w:val="20"/>
          <w:color w:val="auto"/>
        </w:rPr>
      </w:pPr>
    </w:p>
    <w:p>
      <w:pPr>
        <w:ind w:right="20" w:firstLine="864"/>
        <w:spacing w:after="0" w:line="267"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recently submitted our first NDA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firstLine="864"/>
        <w:spacing w:after="0" w:line="203" w:lineRule="exact"/>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17" w:lineRule="exact"/>
        <w:rPr>
          <w:sz w:val="20"/>
          <w:szCs w:val="20"/>
          <w:color w:val="auto"/>
        </w:rPr>
      </w:pPr>
    </w:p>
    <w:p>
      <w:pPr>
        <w:ind w:firstLine="864"/>
        <w:spacing w:after="0" w:line="203" w:lineRule="exact"/>
        <w:rPr>
          <w:sz w:val="20"/>
          <w:szCs w:val="20"/>
          <w:color w:val="auto"/>
        </w:rPr>
      </w:pPr>
      <w:r>
        <w:rPr>
          <w:rFonts w:ascii="Arial" w:cs="Arial" w:eastAsia="Arial" w:hAnsi="Arial"/>
          <w:sz w:val="14"/>
          <w:szCs w:val="14"/>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4"/>
          <w:szCs w:val="14"/>
          <w:color w:val="auto"/>
        </w:rPr>
        <w:t>‑</w:t>
      </w:r>
      <w:r>
        <w:rPr>
          <w:rFonts w:ascii="Arial" w:cs="Arial" w:eastAsia="Arial" w:hAnsi="Arial"/>
          <w:sz w:val="14"/>
          <w:szCs w:val="14"/>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may also experience numerous unforeseen events during, or as a result of, clinical trials and in the course of our preparation, submission, and review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NDA filings that could delay or prevent our ability to receive marketing approval or commercialize our product candidates, including:</w:t>
      </w:r>
    </w:p>
    <w:p>
      <w:pPr>
        <w:spacing w:after="0" w:line="231" w:lineRule="exact"/>
        <w:rPr>
          <w:sz w:val="20"/>
          <w:szCs w:val="20"/>
          <w:color w:val="auto"/>
        </w:rPr>
      </w:pPr>
    </w:p>
    <w:p>
      <w:pPr>
        <w:ind w:left="880" w:right="38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regulators or IRBs may not authorize us or our investigators to commence a clinical trial or conduct a clinical trial at a prospective trial site or amend trial protocols;</w:t>
      </w:r>
    </w:p>
    <w:p>
      <w:pPr>
        <w:spacing w:after="0" w:line="171" w:lineRule="exact"/>
        <w:rPr>
          <w:rFonts w:ascii="Arial" w:cs="Arial" w:eastAsia="Arial" w:hAnsi="Arial"/>
          <w:sz w:val="16"/>
          <w:szCs w:val="16"/>
          <w:color w:val="auto"/>
        </w:rPr>
      </w:pPr>
    </w:p>
    <w:p>
      <w:pPr>
        <w:ind w:left="880" w:right="6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clinical trial contracts or clinical trial protocols with prospective trial sites and our CROs;</w:t>
      </w:r>
    </w:p>
    <w:p>
      <w:pPr>
        <w:spacing w:after="0" w:line="171" w:lineRule="exact"/>
        <w:rPr>
          <w:rFonts w:ascii="Arial" w:cs="Arial" w:eastAsia="Arial" w:hAnsi="Arial"/>
          <w:sz w:val="16"/>
          <w:szCs w:val="16"/>
          <w:color w:val="auto"/>
        </w:rPr>
      </w:pPr>
    </w:p>
    <w:p>
      <w:pPr>
        <w:ind w:left="880" w:right="480" w:hanging="440"/>
        <w:spacing w:after="0" w:line="369" w:lineRule="auto"/>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25" w:lineRule="exact"/>
        <w:rPr>
          <w:rFonts w:ascii="Arial" w:cs="Arial" w:eastAsia="Arial" w:hAnsi="Arial"/>
          <w:sz w:val="14"/>
          <w:szCs w:val="14"/>
          <w:color w:val="auto"/>
        </w:rPr>
      </w:pPr>
    </w:p>
    <w:p>
      <w:pPr>
        <w:ind w:left="880" w:right="4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71" w:lineRule="exact"/>
        <w:rPr>
          <w:rFonts w:ascii="Arial" w:cs="Arial" w:eastAsia="Arial" w:hAnsi="Arial"/>
          <w:sz w:val="16"/>
          <w:szCs w:val="16"/>
          <w:color w:val="auto"/>
        </w:rPr>
      </w:pPr>
    </w:p>
    <w:p>
      <w:pPr>
        <w:ind w:left="880" w:right="18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1" w:lineRule="exact"/>
        <w:rPr>
          <w:rFonts w:ascii="Arial" w:cs="Arial" w:eastAsia="Arial" w:hAnsi="Arial"/>
          <w:sz w:val="16"/>
          <w:szCs w:val="16"/>
          <w:color w:val="auto"/>
        </w:rPr>
      </w:pPr>
    </w:p>
    <w:p>
      <w:pPr>
        <w:ind w:left="880" w:right="120" w:hanging="440"/>
        <w:spacing w:after="0" w:line="204" w:lineRule="exact"/>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13" w:lineRule="exact"/>
        <w:rPr>
          <w:rFonts w:ascii="Arial" w:cs="Arial" w:eastAsia="Arial" w:hAnsi="Arial"/>
          <w:sz w:val="16"/>
          <w:szCs w:val="16"/>
          <w:color w:val="auto"/>
        </w:rPr>
      </w:pPr>
    </w:p>
    <w:p>
      <w:pPr>
        <w:ind w:left="880" w:right="80" w:hanging="440"/>
        <w:spacing w:after="0" w:line="27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88"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marketing approval policies during the development period rendering our data insufficient to obtain marketing approval;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or the enactment of additional statutes or regulations;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regulatory review for each submitted product application;</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right="64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71" w:lineRule="exact"/>
        <w:rPr>
          <w:rFonts w:ascii="Arial" w:cs="Arial" w:eastAsia="Arial" w:hAnsi="Arial"/>
          <w:sz w:val="16"/>
          <w:szCs w:val="16"/>
          <w:color w:val="auto"/>
        </w:rPr>
      </w:pPr>
    </w:p>
    <w:p>
      <w:pPr>
        <w:ind w:left="880" w:right="74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w:t>
      </w:r>
    </w:p>
    <w:p>
      <w:pPr>
        <w:spacing w:after="0" w:line="171" w:lineRule="exact"/>
        <w:rPr>
          <w:rFonts w:ascii="Arial" w:cs="Arial" w:eastAsia="Arial" w:hAnsi="Arial"/>
          <w:sz w:val="16"/>
          <w:szCs w:val="16"/>
          <w:color w:val="auto"/>
        </w:rPr>
      </w:pPr>
    </w:p>
    <w:p>
      <w:pPr>
        <w:ind w:left="880" w:right="80" w:hanging="440"/>
        <w:spacing w:after="0" w:line="288"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completed Phase 2 ASCEND trial and Phase 3 GEMINI trial in MDD to support an NDA for AXS-05 for the treatment of MDD; the Phase 3 MOMENTUM trial, conducted pursuant to a Special Protocol Assessment, or SPA, and the Phase 3 INTERCEPT trial to support an NDA for AXS-07 for the acute treatment of migraine; the Phase 3 ADVANCE-1 trial and the ongoing ACCORD trial to support an NDA for AXS-05 for the treatment of AD agitation; and the completed Phase 2 trial and Phase 3 trial to support an NDA for AXS-14 for the management of fibromyalgia, the FDA could still require additional studies to support the approval of an NDA for these product candidates. Finally, for AXS-12, we will need to conduct a Phase 3 clinical trial in order to file an NDA for this product candidate. The outcome of our studies may further necessitate additional clinical or preclinical work;</w:t>
      </w:r>
    </w:p>
    <w:p>
      <w:pPr>
        <w:spacing w:after="0" w:line="180" w:lineRule="exact"/>
        <w:rPr>
          <w:rFonts w:ascii="Arial" w:cs="Arial" w:eastAsia="Arial" w:hAnsi="Arial"/>
          <w:sz w:val="15"/>
          <w:szCs w:val="15"/>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fail to reach an agreement with regulators regarding the scope or design of our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have delays in adding new investigators or clinical trial sites, or we may experience a withdrawal of clinical trial sites;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experience delays in our clinical trials due to the ongoing COVID-19 pandemic;</w:t>
      </w:r>
    </w:p>
    <w:p>
      <w:pPr>
        <w:spacing w:after="0" w:line="261" w:lineRule="exact"/>
        <w:rPr>
          <w:rFonts w:ascii="Arial" w:cs="Arial" w:eastAsia="Arial" w:hAnsi="Arial"/>
          <w:sz w:val="16"/>
          <w:szCs w:val="16"/>
          <w:color w:val="auto"/>
        </w:rPr>
      </w:pPr>
    </w:p>
    <w:p>
      <w:pPr>
        <w:ind w:left="880" w:hanging="440"/>
        <w:spacing w:after="0" w:line="328"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9" w:lineRule="exact"/>
        <w:rPr>
          <w:rFonts w:ascii="Arial" w:cs="Arial" w:eastAsia="Arial" w:hAnsi="Arial"/>
          <w:sz w:val="15"/>
          <w:szCs w:val="15"/>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may be regulatory questions regarding interpretations of data and results, or new information may emerge regarding our product candidates;</w:t>
      </w:r>
    </w:p>
    <w:p>
      <w:pPr>
        <w:spacing w:after="0" w:line="261" w:lineRule="exact"/>
        <w:rPr>
          <w:rFonts w:ascii="Arial" w:cs="Arial" w:eastAsia="Arial" w:hAnsi="Arial"/>
          <w:sz w:val="16"/>
          <w:szCs w:val="16"/>
          <w:color w:val="auto"/>
        </w:rPr>
      </w:pPr>
    </w:p>
    <w:p>
      <w:pPr>
        <w:ind w:left="880" w:right="80" w:hanging="440"/>
        <w:spacing w:after="0" w:line="271"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9" w:lineRule="exact"/>
        <w:rPr>
          <w:rFonts w:ascii="Arial" w:cs="Arial" w:eastAsia="Arial" w:hAnsi="Arial"/>
          <w:sz w:val="16"/>
          <w:szCs w:val="16"/>
          <w:color w:val="auto"/>
        </w:rPr>
      </w:pPr>
    </w:p>
    <w:p>
      <w:pPr>
        <w:ind w:left="880" w:right="20" w:hanging="440"/>
        <w:spacing w:after="0" w:line="297"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72" w:lineRule="exact"/>
        <w:rPr>
          <w:rFonts w:ascii="Arial" w:cs="Arial" w:eastAsia="Arial" w:hAnsi="Arial"/>
          <w:sz w:val="15"/>
          <w:szCs w:val="15"/>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accept data from studies with clinical trial sites in foreign countries;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intended indications;</w:t>
      </w:r>
    </w:p>
    <w:p>
      <w:pPr>
        <w:spacing w:after="0" w:line="261" w:lineRule="exact"/>
        <w:rPr>
          <w:rFonts w:ascii="Arial" w:cs="Arial" w:eastAsia="Arial" w:hAnsi="Arial"/>
          <w:sz w:val="16"/>
          <w:szCs w:val="16"/>
          <w:color w:val="auto"/>
        </w:rPr>
      </w:pPr>
    </w:p>
    <w:p>
      <w:pPr>
        <w:ind w:left="880" w:right="26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71" w:lineRule="exact"/>
        <w:rPr>
          <w:rFonts w:ascii="Arial" w:cs="Arial" w:eastAsia="Arial" w:hAnsi="Arial"/>
          <w:sz w:val="16"/>
          <w:szCs w:val="16"/>
          <w:color w:val="auto"/>
        </w:rPr>
      </w:pPr>
    </w:p>
    <w:p>
      <w:pPr>
        <w:ind w:left="880" w:right="4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right="120" w:hanging="440"/>
        <w:spacing w:after="0" w:line="273"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8" w:lineRule="exact"/>
        <w:rPr>
          <w:rFonts w:ascii="Arial" w:cs="Arial" w:eastAsia="Arial" w:hAnsi="Arial"/>
          <w:sz w:val="16"/>
          <w:szCs w:val="16"/>
          <w:color w:val="auto"/>
        </w:rPr>
      </w:pPr>
    </w:p>
    <w:p>
      <w:pPr>
        <w:jc w:val="both"/>
        <w:ind w:left="880" w:right="260" w:hanging="440"/>
        <w:spacing w:after="0" w:line="369" w:lineRule="auto"/>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25" w:lineRule="exact"/>
        <w:rPr>
          <w:rFonts w:ascii="Arial" w:cs="Arial" w:eastAsia="Arial" w:hAnsi="Arial"/>
          <w:sz w:val="14"/>
          <w:szCs w:val="14"/>
          <w:color w:val="auto"/>
        </w:rPr>
      </w:pPr>
    </w:p>
    <w:p>
      <w:pPr>
        <w:ind w:left="880" w:right="160" w:hanging="440"/>
        <w:spacing w:after="0" w:line="293"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demonstrate that a product candidate provides an advantage over current standards of care or current or future competitive therapies in development.</w:t>
      </w:r>
    </w:p>
    <w:p>
      <w:pPr>
        <w:spacing w:after="0" w:line="172"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4"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61" w:lineRule="exact"/>
        <w:rPr>
          <w:rFonts w:ascii="Arial" w:cs="Arial" w:eastAsia="Arial" w:hAnsi="Arial"/>
          <w:sz w:val="16"/>
          <w:szCs w:val="16"/>
          <w:color w:val="auto"/>
        </w:rPr>
      </w:pPr>
    </w:p>
    <w:p>
      <w:pPr>
        <w:ind w:left="880" w:right="520" w:hanging="440"/>
        <w:spacing w:after="0" w:line="278"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84"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subject to additional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requirements, including REMS; or</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262" w:lineRule="exact"/>
        <w:rPr>
          <w:sz w:val="20"/>
          <w:szCs w:val="20"/>
          <w:color w:val="auto"/>
        </w:rPr>
      </w:pPr>
    </w:p>
    <w:p>
      <w:pPr>
        <w:ind w:right="40" w:firstLine="864"/>
        <w:spacing w:after="0" w:line="288" w:lineRule="auto"/>
        <w:rPr>
          <w:sz w:val="20"/>
          <w:szCs w:val="20"/>
          <w:color w:val="auto"/>
        </w:rPr>
      </w:pPr>
      <w:r>
        <w:rPr>
          <w:rFonts w:ascii="Arial" w:cs="Arial" w:eastAsia="Arial" w:hAnsi="Arial"/>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0" w:lineRule="exact"/>
        <w:rPr>
          <w:sz w:val="20"/>
          <w:szCs w:val="20"/>
          <w:color w:val="auto"/>
        </w:rPr>
      </w:pPr>
    </w:p>
    <w:p>
      <w:pPr>
        <w:ind w:right="60" w:firstLine="864"/>
        <w:spacing w:after="0" w:line="291" w:lineRule="auto"/>
        <w:rPr>
          <w:sz w:val="20"/>
          <w:szCs w:val="20"/>
          <w:color w:val="auto"/>
        </w:rPr>
      </w:pPr>
      <w:r>
        <w:rPr>
          <w:rFonts w:ascii="Arial" w:cs="Arial" w:eastAsia="Arial" w:hAnsi="Arial"/>
          <w:sz w:val="15"/>
          <w:szCs w:val="15"/>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smoking cessation. As a result, we may experience delays in regulatory approval due to uncertainties in the approval process.</w:t>
      </w:r>
    </w:p>
    <w:p>
      <w:pPr>
        <w:spacing w:after="0" w:line="176" w:lineRule="exact"/>
        <w:rPr>
          <w:sz w:val="20"/>
          <w:szCs w:val="20"/>
          <w:color w:val="auto"/>
        </w:rPr>
      </w:pPr>
    </w:p>
    <w:p>
      <w:pPr>
        <w:ind w:firstLine="864"/>
        <w:spacing w:after="0" w:line="204" w:lineRule="exact"/>
        <w:rPr>
          <w:sz w:val="20"/>
          <w:szCs w:val="20"/>
          <w:color w:val="auto"/>
        </w:rPr>
      </w:pPr>
      <w:r>
        <w:rPr>
          <w:rFonts w:ascii="Arial" w:cs="Arial" w:eastAsia="Arial" w:hAnsi="Arial"/>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6"/>
          <w:szCs w:val="16"/>
          <w:color w:val="auto"/>
        </w:rPr>
        <w:t>‑</w:t>
      </w:r>
      <w:r>
        <w:rPr>
          <w:rFonts w:ascii="Arial" w:cs="Arial" w:eastAsia="Arial" w:hAnsi="Arial"/>
          <w:sz w:val="16"/>
          <w:szCs w:val="16"/>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firstLine="864"/>
        <w:spacing w:after="0" w:line="278" w:lineRule="auto"/>
        <w:rPr>
          <w:sz w:val="20"/>
          <w:szCs w:val="20"/>
          <w:color w:val="auto"/>
        </w:rPr>
      </w:pPr>
      <w:r>
        <w:rPr>
          <w:rFonts w:ascii="Arial" w:cs="Arial" w:eastAsia="Arial" w:hAnsi="Arial"/>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2" w:lineRule="exact"/>
        <w:rPr>
          <w:sz w:val="20"/>
          <w:szCs w:val="20"/>
          <w:color w:val="auto"/>
        </w:rPr>
      </w:pPr>
    </w:p>
    <w:p>
      <w:pPr>
        <w:ind w:right="60" w:firstLine="864"/>
        <w:spacing w:after="0" w:line="269" w:lineRule="auto"/>
        <w:rPr>
          <w:sz w:val="20"/>
          <w:szCs w:val="20"/>
          <w:color w:val="auto"/>
        </w:rPr>
      </w:pPr>
      <w:r>
        <w:rPr>
          <w:rFonts w:ascii="Arial" w:cs="Arial" w:eastAsia="Arial" w:hAnsi="Arial"/>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4" w:lineRule="exact"/>
        <w:rPr>
          <w:sz w:val="20"/>
          <w:szCs w:val="20"/>
          <w:color w:val="auto"/>
        </w:rPr>
      </w:pPr>
    </w:p>
    <w:p>
      <w:pPr>
        <w:ind w:left="880" w:right="160" w:hanging="440"/>
        <w:spacing w:after="0" w:line="293"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preclinical or nonclinical testing may produce inconclusive or negative safety results, which may require us to conduct additional nonclinical testing or to abandon product candidates;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 candidates may have unfavorable pharmacology or toxicity characteristics or suggest possible drug-drug interaction;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other regulatory authorities may determine that additional safety testing is required.</w:t>
      </w:r>
    </w:p>
    <w:p>
      <w:pPr>
        <w:spacing w:after="0" w:line="262" w:lineRule="exact"/>
        <w:rPr>
          <w:sz w:val="20"/>
          <w:szCs w:val="20"/>
          <w:color w:val="auto"/>
        </w:rPr>
      </w:pPr>
    </w:p>
    <w:p>
      <w:pPr>
        <w:ind w:right="220" w:firstLine="864"/>
        <w:spacing w:after="0" w:line="293" w:lineRule="auto"/>
        <w:rPr>
          <w:sz w:val="20"/>
          <w:szCs w:val="20"/>
          <w:color w:val="auto"/>
        </w:rPr>
      </w:pPr>
      <w:r>
        <w:rPr>
          <w:rFonts w:ascii="Arial" w:cs="Arial" w:eastAsia="Arial" w:hAnsi="Arial"/>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2" w:lineRule="exact"/>
        <w:rPr>
          <w:sz w:val="20"/>
          <w:szCs w:val="20"/>
          <w:color w:val="auto"/>
        </w:rPr>
      </w:pPr>
    </w:p>
    <w:p>
      <w:pPr>
        <w:ind w:right="40" w:firstLine="864"/>
        <w:spacing w:after="0" w:line="271"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90" w:lineRule="exact"/>
        <w:rPr>
          <w:sz w:val="20"/>
          <w:szCs w:val="20"/>
          <w:color w:val="auto"/>
        </w:rPr>
      </w:pPr>
    </w:p>
    <w:p>
      <w:pPr>
        <w:ind w:firstLine="864"/>
        <w:spacing w:after="0" w:line="203"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17" w:lineRule="exact"/>
        <w:rPr>
          <w:sz w:val="20"/>
          <w:szCs w:val="20"/>
          <w:color w:val="auto"/>
        </w:rPr>
      </w:pPr>
    </w:p>
    <w:p>
      <w:pPr>
        <w:ind w:right="120" w:firstLine="864"/>
        <w:spacing w:after="0" w:line="324" w:lineRule="auto"/>
        <w:rPr>
          <w:sz w:val="20"/>
          <w:szCs w:val="20"/>
          <w:color w:val="auto"/>
        </w:rPr>
      </w:pPr>
      <w:r>
        <w:rPr>
          <w:rFonts w:ascii="Arial" w:cs="Arial" w:eastAsia="Arial" w:hAnsi="Arial"/>
          <w:sz w:val="14"/>
          <w:szCs w:val="14"/>
          <w:color w:val="auto"/>
        </w:rPr>
        <w:t>To date, the most commonly reported adverse events (incidence of ≥5% of subjects) observed in the completed clinical trials of AXS-05 include dizziness, nausea, headache, dry mouth, and decreased appetite. Some reported adverse events resulted in discontinuations from our trials of AXS-05. The most frequent adverse events (incidence of ≥1% of subjects) resulting in discontinuation included dizziness, nausea, and headache. AXS-05 consists of dextromethorphan and bupropion, and this combination may exacerbate any known adverse events for each individual component, or may result in new toxicities as compared to those of the individual components.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78" w:lineRule="auto"/>
        <w:rPr>
          <w:sz w:val="20"/>
          <w:szCs w:val="20"/>
          <w:color w:val="auto"/>
        </w:rPr>
      </w:pPr>
      <w:r>
        <w:rPr>
          <w:rFonts w:ascii="Arial" w:cs="Arial" w:eastAsia="Arial" w:hAnsi="Arial"/>
          <w:sz w:val="16"/>
          <w:szCs w:val="16"/>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date, the most commonly reported adverse events observed in the completed clinical trial of AXS-12 include anxiety, constipation, and insomnia.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date, the most commonly reported adverse events observed in the completed clinical trials of AXS-14 include anxiety, constipation, and insomnia.</w:t>
      </w:r>
    </w:p>
    <w:p>
      <w:pPr>
        <w:spacing w:after="0" w:line="246" w:lineRule="exact"/>
        <w:rPr>
          <w:sz w:val="20"/>
          <w:szCs w:val="20"/>
          <w:color w:val="auto"/>
        </w:rPr>
      </w:pPr>
    </w:p>
    <w:p>
      <w:pPr>
        <w:ind w:right="120" w:firstLine="864"/>
        <w:spacing w:after="0" w:line="204" w:lineRule="exact"/>
        <w:rPr>
          <w:sz w:val="20"/>
          <w:szCs w:val="20"/>
          <w:color w:val="auto"/>
        </w:rPr>
      </w:pPr>
      <w:r>
        <w:rPr>
          <w:rFonts w:ascii="Arial" w:cs="Arial" w:eastAsia="Arial" w:hAnsi="Arial"/>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58" w:lineRule="exact"/>
        <w:rPr>
          <w:sz w:val="20"/>
          <w:szCs w:val="20"/>
          <w:color w:val="auto"/>
        </w:rPr>
      </w:pPr>
    </w:p>
    <w:p>
      <w:pPr>
        <w:ind w:firstLine="864"/>
        <w:spacing w:after="0" w:line="273" w:lineRule="auto"/>
        <w:rPr>
          <w:sz w:val="20"/>
          <w:szCs w:val="20"/>
          <w:color w:val="auto"/>
        </w:rPr>
      </w:pPr>
      <w:r>
        <w:rPr>
          <w:rFonts w:ascii="Arial" w:cs="Arial" w:eastAsia="Arial" w:hAnsi="Arial"/>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9"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size and nature of the patient population;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261" w:lineRule="exact"/>
        <w:rPr>
          <w:rFonts w:ascii="Arial" w:cs="Arial" w:eastAsia="Arial" w:hAnsi="Arial"/>
          <w:sz w:val="16"/>
          <w:szCs w:val="16"/>
          <w:color w:val="auto"/>
        </w:rPr>
      </w:pPr>
    </w:p>
    <w:p>
      <w:pPr>
        <w:ind w:left="880" w:right="380" w:hanging="440"/>
        <w:spacing w:after="0" w:line="29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eligibility criteria for, and design of, the clinical trial in question, including factors such as frequency of required assessments, length of the study, and ongoing monitoring requirements;</w:t>
      </w:r>
    </w:p>
    <w:p>
      <w:pPr>
        <w:spacing w:after="0" w:line="171" w:lineRule="exact"/>
        <w:rPr>
          <w:rFonts w:ascii="Arial" w:cs="Arial" w:eastAsia="Arial" w:hAnsi="Arial"/>
          <w:sz w:val="16"/>
          <w:szCs w:val="16"/>
          <w:color w:val="auto"/>
        </w:rPr>
      </w:pPr>
    </w:p>
    <w:p>
      <w:pPr>
        <w:ind w:left="880" w:right="440" w:hanging="440"/>
        <w:spacing w:after="0" w:line="29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in recruiting and enrolling patients in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effectiveness of publicity created by clinical trial sites regarding the trial;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patients’ ability to comply with the specific instructions related to the trial protocol, proper documentation, and use of the drug product;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obtain or maintain patient informed consents;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 that enrolled patients will drop out before completion;</w:t>
      </w:r>
    </w:p>
    <w:p>
      <w:pPr>
        <w:spacing w:after="0" w:line="261" w:lineRule="exact"/>
        <w:rPr>
          <w:rFonts w:ascii="Arial" w:cs="Arial" w:eastAsia="Arial" w:hAnsi="Arial"/>
          <w:sz w:val="16"/>
          <w:szCs w:val="16"/>
          <w:color w:val="auto"/>
        </w:rPr>
      </w:pPr>
    </w:p>
    <w:p>
      <w:pPr>
        <w:ind w:left="880" w:right="540" w:hanging="440"/>
        <w:spacing w:after="0" w:line="29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identify patients for enrollment and maintain a sufficient level of patient participants in our clinical studies due to the ongoing COVID-19 pandemic;</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864"/>
        <w:spacing w:after="0" w:line="291"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6" w:lineRule="exact"/>
        <w:rPr>
          <w:sz w:val="20"/>
          <w:szCs w:val="20"/>
          <w:color w:val="auto"/>
        </w:rPr>
      </w:pPr>
    </w:p>
    <w:p>
      <w:pPr>
        <w:ind w:right="20" w:firstLine="864"/>
        <w:spacing w:after="0" w:line="278" w:lineRule="auto"/>
        <w:rPr>
          <w:sz w:val="20"/>
          <w:szCs w:val="20"/>
          <w:color w:val="auto"/>
        </w:rPr>
      </w:pPr>
      <w:r>
        <w:rPr>
          <w:rFonts w:ascii="Arial" w:cs="Arial" w:eastAsia="Arial" w:hAnsi="Arial"/>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i w:val="1"/>
          <w:iCs w:val="1"/>
          <w:color w:val="auto"/>
        </w:rPr>
        <w:t>Currently approved products containing bupropion and meloxicam are subject to restrictive marketing and distribution regulations, which if applied to our product candidates could restrict their use and potentially reduce our ability to generate profits.</w:t>
      </w:r>
    </w:p>
    <w:p>
      <w:pPr>
        <w:spacing w:after="0" w:line="172" w:lineRule="exact"/>
        <w:rPr>
          <w:sz w:val="20"/>
          <w:szCs w:val="20"/>
          <w:color w:val="auto"/>
        </w:rPr>
      </w:pPr>
    </w:p>
    <w:p>
      <w:pPr>
        <w:ind w:right="40" w:firstLine="864"/>
        <w:spacing w:after="0" w:line="287" w:lineRule="auto"/>
        <w:rPr>
          <w:sz w:val="20"/>
          <w:szCs w:val="20"/>
          <w:color w:val="auto"/>
        </w:rPr>
      </w:pPr>
      <w:r>
        <w:rPr>
          <w:rFonts w:ascii="Arial" w:cs="Arial" w:eastAsia="Arial" w:hAnsi="Arial"/>
          <w:sz w:val="15"/>
          <w:szCs w:val="15"/>
          <w:color w:val="auto"/>
        </w:rPr>
        <w:t>Currently approved products containing bupropion and meloxicam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in addition to a medication guide. We cannot predict whether what will be required as part of the FDA’s approval of our product candidates.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single agent product candidates.</w:t>
      </w:r>
    </w:p>
    <w:p>
      <w:pPr>
        <w:spacing w:after="0" w:line="235" w:lineRule="exact"/>
        <w:rPr>
          <w:sz w:val="20"/>
          <w:szCs w:val="20"/>
          <w:color w:val="auto"/>
        </w:rPr>
      </w:pPr>
    </w:p>
    <w:p>
      <w:pPr>
        <w:ind w:firstLine="864"/>
        <w:spacing w:after="0" w:line="291" w:lineRule="auto"/>
        <w:rPr>
          <w:sz w:val="20"/>
          <w:szCs w:val="20"/>
          <w:color w:val="auto"/>
        </w:rPr>
      </w:pPr>
      <w:r>
        <w:rPr>
          <w:rFonts w:ascii="Arial" w:cs="Arial" w:eastAsia="Arial" w:hAnsi="Arial"/>
          <w:sz w:val="15"/>
          <w:szCs w:val="15"/>
          <w:color w:val="auto"/>
        </w:rPr>
        <w:t>Certain of our product candidates, including AXS-05,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product candidate manufacturing or formulation may result in additional costs or delay.</w:t>
      </w:r>
    </w:p>
    <w:p>
      <w:pPr>
        <w:spacing w:after="0" w:line="235" w:lineRule="exact"/>
        <w:rPr>
          <w:sz w:val="20"/>
          <w:szCs w:val="20"/>
          <w:color w:val="auto"/>
        </w:rPr>
      </w:pPr>
    </w:p>
    <w:p>
      <w:pPr>
        <w:ind w:right="20" w:firstLine="864"/>
        <w:spacing w:after="0" w:line="289" w:lineRule="auto"/>
        <w:rPr>
          <w:sz w:val="20"/>
          <w:szCs w:val="20"/>
          <w:color w:val="auto"/>
        </w:rPr>
      </w:pPr>
      <w:r>
        <w:rPr>
          <w:rFonts w:ascii="Arial" w:cs="Arial" w:eastAsia="Arial" w:hAnsi="Arial"/>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our product candidates from being marketed abroad.</w:t>
      </w:r>
    </w:p>
    <w:p>
      <w:pPr>
        <w:spacing w:after="0" w:line="235"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In order to market and sell our products in the European Union, or EU, and many other jurisdictions, we or our third</w:t>
      </w:r>
      <w:r>
        <w:rPr>
          <w:rFonts w:ascii="MS PGothic" w:cs="MS PGothic" w:eastAsia="MS PGothic" w:hAnsi="MS PGothic"/>
          <w:sz w:val="15"/>
          <w:szCs w:val="15"/>
          <w:color w:val="auto"/>
        </w:rPr>
        <w:t>‑</w:t>
      </w:r>
      <w:r>
        <w:rPr>
          <w:rFonts w:ascii="Arial" w:cs="Arial" w:eastAsia="Arial" w:hAnsi="Arial"/>
          <w:sz w:val="15"/>
          <w:szCs w:val="15"/>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72" w:lineRule="exact"/>
        <w:rPr>
          <w:sz w:val="20"/>
          <w:szCs w:val="20"/>
          <w:color w:val="auto"/>
        </w:rPr>
      </w:pPr>
    </w:p>
    <w:p>
      <w:pPr>
        <w:ind w:right="20" w:firstLine="864"/>
        <w:spacing w:after="0" w:line="269" w:lineRule="auto"/>
        <w:rPr>
          <w:sz w:val="20"/>
          <w:szCs w:val="20"/>
          <w:color w:val="auto"/>
        </w:rPr>
      </w:pPr>
      <w:r>
        <w:rPr>
          <w:rFonts w:ascii="Arial" w:cs="Arial" w:eastAsia="Arial" w:hAnsi="Arial"/>
          <w:sz w:val="16"/>
          <w:szCs w:val="16"/>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94"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Although the breakthrough therapy process is designed to expedite the review and development of drugs, Breakthrough Therapy designation by the FDA for AXS-05 for the treatment of MDD and for the treatment of AD agitation may not ultimately lead to a faster development or regulatory review or approval process, and it will not increase the likelihood that these product candidates will receive marketing approval.</w:t>
      </w:r>
    </w:p>
    <w:p>
      <w:pPr>
        <w:spacing w:after="0" w:line="184" w:lineRule="exact"/>
        <w:rPr>
          <w:sz w:val="20"/>
          <w:szCs w:val="20"/>
          <w:color w:val="auto"/>
        </w:rPr>
      </w:pPr>
    </w:p>
    <w:p>
      <w:pPr>
        <w:ind w:right="280" w:firstLine="864"/>
        <w:spacing w:after="0" w:line="267" w:lineRule="auto"/>
        <w:rPr>
          <w:sz w:val="20"/>
          <w:szCs w:val="20"/>
          <w:color w:val="auto"/>
        </w:rPr>
      </w:pPr>
      <w:r>
        <w:rPr>
          <w:rFonts w:ascii="Arial" w:cs="Arial" w:eastAsia="Arial" w:hAnsi="Arial"/>
          <w:sz w:val="16"/>
          <w:szCs w:val="16"/>
          <w:color w:val="auto"/>
        </w:rPr>
        <w:t>We received Breakthrough Therapy designation for AXS-05 for both the treatment of MDD and the treatment of AD agitation.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6" w:lineRule="exact"/>
        <w:rPr>
          <w:sz w:val="20"/>
          <w:szCs w:val="20"/>
          <w:color w:val="auto"/>
        </w:rPr>
      </w:pPr>
    </w:p>
    <w:p>
      <w:pPr>
        <w:ind w:right="60" w:firstLine="864"/>
        <w:spacing w:after="0" w:line="269" w:lineRule="auto"/>
        <w:rPr>
          <w:sz w:val="20"/>
          <w:szCs w:val="20"/>
          <w:color w:val="auto"/>
        </w:rPr>
      </w:pPr>
      <w:r>
        <w:rPr>
          <w:rFonts w:ascii="Arial" w:cs="Arial" w:eastAsia="Arial" w:hAnsi="Arial"/>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spacing w:after="0" w:line="204" w:lineRule="exact"/>
        <w:rPr>
          <w:sz w:val="20"/>
          <w:szCs w:val="20"/>
          <w:color w:val="auto"/>
        </w:rPr>
      </w:pPr>
      <w:r>
        <w:rPr>
          <w:rFonts w:ascii="Arial" w:cs="Arial" w:eastAsia="Arial" w:hAnsi="Arial"/>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label” uses, resulting in damage to our reputation and business.</w:t>
      </w:r>
    </w:p>
    <w:p>
      <w:pPr>
        <w:spacing w:after="0" w:line="214" w:lineRule="exact"/>
        <w:rPr>
          <w:sz w:val="20"/>
          <w:szCs w:val="20"/>
          <w:color w:val="auto"/>
        </w:rPr>
      </w:pPr>
    </w:p>
    <w:p>
      <w:pPr>
        <w:jc w:val="both"/>
        <w:ind w:right="20" w:firstLine="864"/>
        <w:spacing w:after="0" w:line="303" w:lineRule="auto"/>
        <w:rPr>
          <w:sz w:val="20"/>
          <w:szCs w:val="20"/>
          <w:color w:val="auto"/>
        </w:rPr>
      </w:pPr>
      <w:r>
        <w:rPr>
          <w:rFonts w:ascii="Arial" w:cs="Arial" w:eastAsia="Arial" w:hAnsi="Arial"/>
          <w:sz w:val="14"/>
          <w:szCs w:val="14"/>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w:t>
      </w:r>
    </w:p>
    <w:p>
      <w:pPr>
        <w:spacing w:after="0" w:line="2" w:lineRule="exact"/>
        <w:rPr>
          <w:sz w:val="20"/>
          <w:szCs w:val="20"/>
          <w:color w:val="auto"/>
        </w:rPr>
      </w:pPr>
    </w:p>
    <w:p>
      <w:pPr>
        <w:ind w:right="160"/>
        <w:spacing w:after="0" w:line="202" w:lineRule="exact"/>
        <w:rPr>
          <w:sz w:val="20"/>
          <w:szCs w:val="20"/>
          <w:color w:val="auto"/>
        </w:rPr>
      </w:pPr>
      <w:r>
        <w:rPr>
          <w:rFonts w:ascii="Arial" w:cs="Arial" w:eastAsia="Arial" w:hAnsi="Arial"/>
          <w:sz w:val="15"/>
          <w:szCs w:val="15"/>
          <w:color w:val="auto"/>
        </w:rPr>
        <w:t>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Arial" w:cs="Arial" w:eastAsia="Arial" w:hAnsi="Arial"/>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214" w:lineRule="exact"/>
        <w:rPr>
          <w:sz w:val="20"/>
          <w:szCs w:val="20"/>
          <w:color w:val="auto"/>
        </w:rPr>
      </w:pPr>
    </w:p>
    <w:p>
      <w:pPr>
        <w:ind w:right="60" w:firstLine="864"/>
        <w:spacing w:after="0" w:line="203" w:lineRule="exact"/>
        <w:rPr>
          <w:sz w:val="20"/>
          <w:szCs w:val="20"/>
          <w:color w:val="auto"/>
        </w:rPr>
      </w:pPr>
      <w:r>
        <w:rPr>
          <w:rFonts w:ascii="Arial" w:cs="Arial" w:eastAsia="Arial" w:hAnsi="Arial"/>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Arial" w:cs="Arial" w:eastAsia="Arial" w:hAnsi="Arial"/>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Arial" w:cs="Arial" w:eastAsia="Arial" w:hAnsi="Arial"/>
          <w:sz w:val="16"/>
          <w:szCs w:val="16"/>
          <w:color w:val="auto"/>
        </w:rPr>
        <w:t>label use.</w:t>
      </w:r>
    </w:p>
    <w:p>
      <w:pPr>
        <w:spacing w:after="0" w:line="217" w:lineRule="exact"/>
        <w:rPr>
          <w:sz w:val="20"/>
          <w:szCs w:val="20"/>
          <w:color w:val="auto"/>
        </w:rPr>
      </w:pPr>
    </w:p>
    <w:p>
      <w:pPr>
        <w:ind w:right="60" w:firstLine="864"/>
        <w:spacing w:after="0" w:line="203"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17" w:lineRule="exact"/>
        <w:rPr>
          <w:sz w:val="20"/>
          <w:szCs w:val="20"/>
          <w:color w:val="auto"/>
        </w:rPr>
      </w:pPr>
    </w:p>
    <w:p>
      <w:pPr>
        <w:ind w:firstLine="864"/>
        <w:spacing w:after="0" w:line="203" w:lineRule="exact"/>
        <w:rPr>
          <w:sz w:val="20"/>
          <w:szCs w:val="20"/>
          <w:color w:val="auto"/>
        </w:rPr>
      </w:pPr>
      <w:r>
        <w:rPr>
          <w:rFonts w:ascii="Arial" w:cs="Arial" w:eastAsia="Arial" w:hAnsi="Arial"/>
          <w:sz w:val="14"/>
          <w:szCs w:val="14"/>
          <w:color w:val="auto"/>
        </w:rPr>
        <w:t>In the United States, engaging in the impermissible promotion of our products, following approval, for off</w:t>
      </w:r>
      <w:r>
        <w:rPr>
          <w:rFonts w:ascii="MS PGothic" w:cs="MS PGothic" w:eastAsia="MS PGothic" w:hAnsi="MS PGothic"/>
          <w:sz w:val="14"/>
          <w:szCs w:val="14"/>
          <w:color w:val="auto"/>
        </w:rPr>
        <w:t>‑</w:t>
      </w:r>
      <w:r>
        <w:rPr>
          <w:rFonts w:ascii="Arial" w:cs="Arial" w:eastAsia="Arial" w:hAnsi="Arial"/>
          <w:sz w:val="14"/>
          <w:szCs w:val="14"/>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4"/>
          <w:szCs w:val="14"/>
          <w:color w:val="auto"/>
        </w:rPr>
        <w:t>‑</w:t>
      </w:r>
      <w:r>
        <w:rPr>
          <w:rFonts w:ascii="Arial" w:cs="Arial" w:eastAsia="Arial" w:hAnsi="Arial"/>
          <w:sz w:val="14"/>
          <w:szCs w:val="14"/>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5" w:lineRule="exact"/>
        <w:rPr>
          <w:sz w:val="20"/>
          <w:szCs w:val="20"/>
          <w:color w:val="auto"/>
        </w:rPr>
      </w:pPr>
    </w:p>
    <w:p>
      <w:pPr>
        <w:ind w:right="20" w:firstLine="864"/>
        <w:spacing w:after="0" w:line="293" w:lineRule="auto"/>
        <w:rPr>
          <w:sz w:val="20"/>
          <w:szCs w:val="20"/>
          <w:color w:val="auto"/>
        </w:rPr>
      </w:pPr>
      <w:r>
        <w:rPr>
          <w:rFonts w:ascii="Arial" w:cs="Arial" w:eastAsia="Arial" w:hAnsi="Arial"/>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9"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Any product candidate for which we obtain marketing approval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 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 or GCP, for any clinical trials that we conduct post 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 market requirements or restrictions. Any such restrictions could limit sales of the product.</w:t>
      </w:r>
    </w:p>
    <w:p>
      <w:pPr>
        <w:spacing w:after="0" w:line="178"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84" w:lineRule="exact"/>
        <w:rPr>
          <w:sz w:val="20"/>
          <w:szCs w:val="20"/>
          <w:color w:val="auto"/>
        </w:rPr>
      </w:pPr>
    </w:p>
    <w:p>
      <w:pPr>
        <w:ind w:right="20" w:firstLine="864"/>
        <w:spacing w:after="0" w:line="369" w:lineRule="auto"/>
        <w:rPr>
          <w:sz w:val="20"/>
          <w:szCs w:val="20"/>
          <w:color w:val="auto"/>
        </w:rPr>
      </w:pPr>
      <w:r>
        <w:rPr>
          <w:rFonts w:ascii="Arial" w:cs="Arial" w:eastAsia="Arial" w:hAnsi="Arial"/>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26"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manufacturing or distribution, or marketing of such products;</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modifications to promotional pieces;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requirements to 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clinical holds or termination of clinical trials;</w:t>
      </w:r>
    </w:p>
    <w:p>
      <w:pPr>
        <w:spacing w:after="0" w:line="261" w:lineRule="exact"/>
        <w:rPr>
          <w:rFonts w:ascii="Arial" w:cs="Arial" w:eastAsia="Arial" w:hAnsi="Arial"/>
          <w:sz w:val="16"/>
          <w:szCs w:val="16"/>
          <w:color w:val="auto"/>
        </w:rPr>
      </w:pPr>
    </w:p>
    <w:p>
      <w:pPr>
        <w:ind w:left="880" w:right="180" w:hanging="440"/>
        <w:spacing w:after="0" w:line="278"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84"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to the way the drug is administered;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liability for harm caused to patients or subjects;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reputational harm;</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drug becoming less competitive;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suspension of marketing or withdrawal of the products from the market;</w:t>
      </w:r>
    </w:p>
    <w:p>
      <w:pPr>
        <w:spacing w:after="0" w:line="261" w:lineRule="exact"/>
        <w:rPr>
          <w:rFonts w:ascii="Arial" w:cs="Arial" w:eastAsia="Arial" w:hAnsi="Arial"/>
          <w:sz w:val="16"/>
          <w:szCs w:val="16"/>
          <w:color w:val="auto"/>
        </w:rPr>
      </w:pPr>
    </w:p>
    <w:p>
      <w:pPr>
        <w:ind w:left="880" w:right="320" w:hanging="440"/>
        <w:spacing w:after="0" w:line="293"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authority issuance of safety alerts, Dear Healthcare Provider letters, press releases, or other communications containing warnings or other safety information about the drug;</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submit;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recall of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fines, damages, restitution, or disgorgement of profits or revenues;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product seizure or detention;</w:t>
      </w:r>
    </w:p>
    <w:p>
      <w:pPr>
        <w:spacing w:after="0" w:line="261" w:lineRule="exact"/>
        <w:rPr>
          <w:rFonts w:ascii="Arial" w:cs="Arial" w:eastAsia="Arial" w:hAnsi="Arial"/>
          <w:sz w:val="16"/>
          <w:szCs w:val="16"/>
          <w:color w:val="auto"/>
        </w:rPr>
      </w:pPr>
    </w:p>
    <w:p>
      <w:pPr>
        <w:ind w:left="880" w:right="320" w:hanging="440"/>
        <w:spacing w:after="0" w:line="293"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including imprisonment.</w:t>
      </w:r>
    </w:p>
    <w:p>
      <w:pPr>
        <w:spacing w:after="0" w:line="262" w:lineRule="exact"/>
        <w:rPr>
          <w:sz w:val="20"/>
          <w:szCs w:val="20"/>
          <w:color w:val="auto"/>
        </w:rPr>
      </w:pPr>
    </w:p>
    <w:p>
      <w:pPr>
        <w:ind w:right="80" w:firstLine="864"/>
        <w:spacing w:after="0" w:line="273"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9" w:lineRule="exact"/>
        <w:rPr>
          <w:sz w:val="20"/>
          <w:szCs w:val="20"/>
          <w:color w:val="auto"/>
        </w:rPr>
      </w:pPr>
    </w:p>
    <w:p>
      <w:pPr>
        <w:ind w:right="160" w:firstLine="864"/>
        <w:spacing w:after="0" w:line="273"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9" w:lineRule="exact"/>
        <w:rPr>
          <w:sz w:val="20"/>
          <w:szCs w:val="20"/>
          <w:color w:val="auto"/>
        </w:rPr>
      </w:pPr>
    </w:p>
    <w:p>
      <w:pPr>
        <w:ind w:right="400" w:firstLine="864"/>
        <w:spacing w:after="0" w:line="204" w:lineRule="exact"/>
        <w:rPr>
          <w:sz w:val="20"/>
          <w:szCs w:val="20"/>
          <w:color w:val="auto"/>
        </w:rPr>
      </w:pPr>
      <w:r>
        <w:rPr>
          <w:rFonts w:ascii="Arial" w:cs="Arial" w:eastAsia="Arial" w:hAnsi="Arial"/>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Arial" w:cs="Arial" w:eastAsia="Arial" w:hAnsi="Arial"/>
          <w:sz w:val="16"/>
          <w:szCs w:val="16"/>
          <w:color w:val="auto"/>
        </w:rPr>
        <w:t>approval regulations may have a negative effect on our operating results and financial condition.</w:t>
      </w:r>
    </w:p>
    <w:p>
      <w:pPr>
        <w:spacing w:after="0" w:line="2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2" w:lineRule="exact"/>
        <w:rPr>
          <w:sz w:val="20"/>
          <w:szCs w:val="20"/>
          <w:color w:val="auto"/>
        </w:rPr>
      </w:pPr>
    </w:p>
    <w:p>
      <w:pPr>
        <w:ind w:right="100" w:firstLine="864"/>
        <w:spacing w:after="0" w:line="328" w:lineRule="auto"/>
        <w:rPr>
          <w:sz w:val="20"/>
          <w:szCs w:val="20"/>
          <w:color w:val="auto"/>
        </w:rPr>
      </w:pPr>
      <w:r>
        <w:rPr>
          <w:rFonts w:ascii="Arial" w:cs="Arial" w:eastAsia="Arial" w:hAnsi="Arial"/>
          <w:sz w:val="15"/>
          <w:szCs w:val="15"/>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50"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different regulatory requirements for approval of drugs in foreign countries;</w:t>
      </w:r>
    </w:p>
    <w:p>
      <w:pPr>
        <w:spacing w:after="0" w:line="261" w:lineRule="exact"/>
        <w:rPr>
          <w:rFonts w:ascii="Arial" w:cs="Arial" w:eastAsia="Arial" w:hAnsi="Arial"/>
          <w:sz w:val="16"/>
          <w:szCs w:val="16"/>
          <w:color w:val="auto"/>
        </w:rPr>
      </w:pPr>
    </w:p>
    <w:p>
      <w:pPr>
        <w:ind w:left="880" w:hanging="440"/>
        <w:spacing w:after="0" w:line="204" w:lineRule="exact"/>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14" w:lineRule="exact"/>
        <w:rPr>
          <w:rFonts w:ascii="Arial" w:cs="Arial" w:eastAsia="Arial" w:hAnsi="Arial"/>
          <w:sz w:val="16"/>
          <w:szCs w:val="16"/>
          <w:color w:val="auto"/>
        </w:rPr>
      </w:pPr>
    </w:p>
    <w:p>
      <w:pPr>
        <w:ind w:left="880" w:right="60" w:hanging="440"/>
        <w:spacing w:after="0" w:line="293"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71" w:lineRule="exact"/>
        <w:rPr>
          <w:rFonts w:ascii="Arial" w:cs="Arial" w:eastAsia="Arial" w:hAnsi="Arial"/>
          <w:sz w:val="16"/>
          <w:szCs w:val="16"/>
          <w:color w:val="auto"/>
        </w:rPr>
      </w:pPr>
    </w:p>
    <w:p>
      <w:pPr>
        <w:ind w:left="880" w:right="140" w:hanging="440"/>
        <w:spacing w:after="0" w:line="293"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 and in the health care policies of foreign jurisdictions;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261" w:lineRule="exact"/>
        <w:rPr>
          <w:rFonts w:ascii="Arial" w:cs="Arial" w:eastAsia="Arial" w:hAnsi="Arial"/>
          <w:sz w:val="16"/>
          <w:szCs w:val="16"/>
          <w:color w:val="auto"/>
        </w:rPr>
      </w:pPr>
    </w:p>
    <w:p>
      <w:pPr>
        <w:ind w:left="880" w:right="260" w:hanging="440"/>
        <w:spacing w:after="0" w:line="293"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 and worker rights tend to be stronger;</w:t>
      </w:r>
    </w:p>
    <w:p>
      <w:pPr>
        <w:spacing w:after="0" w:line="261" w:lineRule="exact"/>
        <w:rPr>
          <w:rFonts w:ascii="Arial" w:cs="Arial" w:eastAsia="Arial" w:hAnsi="Arial"/>
          <w:sz w:val="16"/>
          <w:szCs w:val="16"/>
          <w:color w:val="auto"/>
        </w:rPr>
      </w:pPr>
    </w:p>
    <w:p>
      <w:pPr>
        <w:ind w:left="880" w:right="60" w:hanging="440"/>
        <w:spacing w:after="0" w:line="293"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of compliance with U.S. laws and regulations for foreign operations, including the Foreign Corrupt Practices Act or comparable foreign regulations, and the risks and costs of noncompliance;</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w:t>
      </w:r>
    </w:p>
    <w:p>
      <w:pPr>
        <w:spacing w:after="0" w:line="28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These and other risks associated with our international operations may materially adversely affect our ability to attain or maintain profitable operations.</w:t>
      </w:r>
    </w:p>
    <w:p>
      <w:pPr>
        <w:spacing w:after="0" w:line="2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72" w:lineRule="exact"/>
        <w:rPr>
          <w:sz w:val="20"/>
          <w:szCs w:val="20"/>
          <w:color w:val="auto"/>
        </w:rPr>
      </w:pPr>
    </w:p>
    <w:p>
      <w:pPr>
        <w:ind w:right="80" w:firstLine="864"/>
        <w:spacing w:after="0" w:line="268"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COMMERCIALIZATION OF OUR PRODUCT CANDIDATES</w:t>
      </w:r>
    </w:p>
    <w:p>
      <w:pPr>
        <w:spacing w:after="0" w:line="239"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2" w:lineRule="exact"/>
        <w:rPr>
          <w:sz w:val="20"/>
          <w:szCs w:val="20"/>
          <w:color w:val="auto"/>
        </w:rPr>
      </w:pPr>
    </w:p>
    <w:p>
      <w:pPr>
        <w:ind w:firstLine="864"/>
        <w:spacing w:after="0" w:line="26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4"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Biohaven Pharmaceutical Holding Company Ltd.; Eli Lilly and Company; H. Lundbeck A/S; Harmony Biosciences; Intra-Cellular Therapies, Inc.; Janssen Research &amp; Development, LLC; Jazz Pharmaceuticals plc; Otsuka Pharmaceutical Co. Ltd.; Relmada Therapeutics Inc.; Sage Therapeutics, Inc.; and Takeda Pharmaceutical Company Limited.</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03" w:lineRule="exact"/>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Arial" w:cs="Arial" w:eastAsia="Arial" w:hAnsi="Arial"/>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15" w:lineRule="exact"/>
        <w:rPr>
          <w:sz w:val="20"/>
          <w:szCs w:val="20"/>
          <w:color w:val="auto"/>
        </w:rPr>
      </w:pPr>
    </w:p>
    <w:p>
      <w:pPr>
        <w:ind w:right="60" w:firstLine="864"/>
        <w:spacing w:after="0" w:line="271" w:lineRule="auto"/>
        <w:rPr>
          <w:sz w:val="20"/>
          <w:szCs w:val="20"/>
          <w:color w:val="auto"/>
        </w:rPr>
      </w:pPr>
      <w:r>
        <w:rPr>
          <w:rFonts w:ascii="Arial" w:cs="Arial" w:eastAsia="Arial" w:hAnsi="Arial"/>
          <w:sz w:val="16"/>
          <w:szCs w:val="16"/>
          <w:color w:val="auto"/>
        </w:rPr>
        <w:t>Generic forms of the active ingredients of our product candidates, including zoledronic acid, dextromethorphan, bupropion, meloxicam, rizatripan, reboxetine, and esomeprazole,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90" w:lineRule="exact"/>
        <w:rPr>
          <w:sz w:val="20"/>
          <w:szCs w:val="20"/>
          <w:color w:val="auto"/>
        </w:rPr>
      </w:pPr>
    </w:p>
    <w:p>
      <w:pPr>
        <w:ind w:right="40" w:firstLine="864"/>
        <w:spacing w:after="0" w:line="291"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84"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5"/>
          <w:szCs w:val="15"/>
          <w:color w:val="auto"/>
        </w:rPr>
        <w:t>‑</w:t>
      </w:r>
      <w:r>
        <w:rPr>
          <w:rFonts w:ascii="Arial" w:cs="Arial" w:eastAsia="Arial" w:hAnsi="Arial"/>
          <w:sz w:val="15"/>
          <w:szCs w:val="15"/>
          <w:color w:val="auto"/>
        </w:rPr>
        <w:t>party payors. Thus, following the introduction of a generic drug, a significant percentage of the sales of any branded product or reference listed drug is typically lost to the generic product.</w:t>
      </w:r>
    </w:p>
    <w:p>
      <w:pPr>
        <w:spacing w:after="0" w:line="215" w:lineRule="exact"/>
        <w:rPr>
          <w:sz w:val="20"/>
          <w:szCs w:val="20"/>
          <w:color w:val="auto"/>
        </w:rPr>
      </w:pPr>
    </w:p>
    <w:p>
      <w:pPr>
        <w:ind w:right="20" w:firstLine="864"/>
        <w:spacing w:after="0" w:line="305" w:lineRule="auto"/>
        <w:rPr>
          <w:sz w:val="20"/>
          <w:szCs w:val="20"/>
          <w:color w:val="auto"/>
        </w:rPr>
      </w:pPr>
      <w:r>
        <w:rPr>
          <w:rFonts w:ascii="Arial" w:cs="Arial" w:eastAsia="Arial" w:hAnsi="Arial"/>
          <w:sz w:val="15"/>
          <w:szCs w:val="15"/>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66" w:lineRule="exact"/>
        <w:rPr>
          <w:sz w:val="20"/>
          <w:szCs w:val="20"/>
          <w:color w:val="auto"/>
        </w:rPr>
      </w:pPr>
    </w:p>
    <w:p>
      <w:pPr>
        <w:ind w:right="20" w:firstLine="864"/>
        <w:spacing w:after="0" w:line="203" w:lineRule="exact"/>
        <w:rPr>
          <w:sz w:val="20"/>
          <w:szCs w:val="20"/>
          <w:color w:val="auto"/>
        </w:rPr>
      </w:pPr>
      <w:r>
        <w:rPr>
          <w:rFonts w:ascii="Arial" w:cs="Arial" w:eastAsia="Arial" w:hAnsi="Arial"/>
          <w:sz w:val="15"/>
          <w:szCs w:val="15"/>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5"/>
          <w:szCs w:val="15"/>
          <w:color w:val="auto"/>
        </w:rPr>
        <w:t>‑</w:t>
      </w:r>
      <w:r>
        <w:rPr>
          <w:rFonts w:ascii="Arial" w:cs="Arial" w:eastAsia="Arial" w:hAnsi="Arial"/>
          <w:sz w:val="15"/>
          <w:szCs w:val="15"/>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215" w:lineRule="exact"/>
        <w:rPr>
          <w:sz w:val="20"/>
          <w:szCs w:val="20"/>
          <w:color w:val="auto"/>
        </w:rPr>
      </w:pPr>
    </w:p>
    <w:p>
      <w:pPr>
        <w:ind w:firstLine="864"/>
        <w:spacing w:after="0" w:line="269" w:lineRule="auto"/>
        <w:rPr>
          <w:sz w:val="20"/>
          <w:szCs w:val="20"/>
          <w:color w:val="auto"/>
        </w:rPr>
      </w:pPr>
      <w:r>
        <w:rPr>
          <w:rFonts w:ascii="Arial" w:cs="Arial" w:eastAsia="Arial" w:hAnsi="Arial"/>
          <w:sz w:val="16"/>
          <w:szCs w:val="16"/>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4" w:lineRule="exact"/>
        <w:rPr>
          <w:sz w:val="20"/>
          <w:szCs w:val="20"/>
          <w:color w:val="auto"/>
        </w:rPr>
      </w:pPr>
    </w:p>
    <w:p>
      <w:pPr>
        <w:ind w:right="400" w:firstLine="864"/>
        <w:spacing w:after="0" w:line="293" w:lineRule="auto"/>
        <w:rPr>
          <w:sz w:val="20"/>
          <w:szCs w:val="20"/>
          <w:color w:val="auto"/>
        </w:rPr>
      </w:pPr>
      <w:r>
        <w:rPr>
          <w:rFonts w:ascii="Arial" w:cs="Arial" w:eastAsia="Arial" w:hAnsi="Arial"/>
          <w:sz w:val="16"/>
          <w:szCs w:val="16"/>
          <w:color w:val="auto"/>
        </w:rPr>
        <w:t>AXS-12 received Orphan Drug Designation from FDA for the treatment of narcolepsy. We may also seek Orphan Drug Designation for our other product candidates, as appropriate.</w:t>
      </w:r>
    </w:p>
    <w:p>
      <w:pPr>
        <w:spacing w:after="0" w:line="172" w:lineRule="exact"/>
        <w:rPr>
          <w:sz w:val="20"/>
          <w:szCs w:val="20"/>
          <w:color w:val="auto"/>
        </w:rPr>
      </w:pPr>
    </w:p>
    <w:p>
      <w:pPr>
        <w:ind w:right="60" w:firstLine="864"/>
        <w:spacing w:after="0" w:line="269" w:lineRule="auto"/>
        <w:rPr>
          <w:sz w:val="20"/>
          <w:szCs w:val="20"/>
          <w:color w:val="auto"/>
        </w:rPr>
      </w:pPr>
      <w:r>
        <w:rPr>
          <w:rFonts w:ascii="Arial" w:cs="Arial" w:eastAsia="Arial" w:hAnsi="Arial"/>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90" w:lineRule="exact"/>
        <w:rPr>
          <w:sz w:val="20"/>
          <w:szCs w:val="20"/>
          <w:color w:val="auto"/>
        </w:rPr>
      </w:pPr>
    </w:p>
    <w:p>
      <w:pPr>
        <w:ind w:right="80" w:firstLine="864"/>
        <w:spacing w:after="0" w:line="203" w:lineRule="exact"/>
        <w:rPr>
          <w:sz w:val="20"/>
          <w:szCs w:val="20"/>
          <w:color w:val="auto"/>
        </w:rPr>
      </w:pPr>
      <w:r>
        <w:rPr>
          <w:rFonts w:ascii="Arial" w:cs="Arial" w:eastAsia="Arial" w:hAnsi="Arial"/>
          <w:sz w:val="15"/>
          <w:szCs w:val="15"/>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FDA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EMA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EU for this indication for a period of at least 10 to 12 years.</w:t>
      </w:r>
    </w:p>
    <w:p>
      <w:pPr>
        <w:spacing w:after="0" w:line="215" w:lineRule="exact"/>
        <w:rPr>
          <w:sz w:val="20"/>
          <w:szCs w:val="20"/>
          <w:color w:val="auto"/>
        </w:rPr>
      </w:pPr>
    </w:p>
    <w:p>
      <w:pPr>
        <w:ind w:right="120" w:firstLine="864"/>
        <w:spacing w:after="0" w:line="273"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9"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we may be unable to generate product revenues.</w:t>
      </w:r>
    </w:p>
    <w:p>
      <w:pPr>
        <w:spacing w:after="0" w:line="150" w:lineRule="exact"/>
        <w:rPr>
          <w:sz w:val="20"/>
          <w:szCs w:val="20"/>
          <w:color w:val="auto"/>
        </w:rPr>
      </w:pPr>
    </w:p>
    <w:p>
      <w:pPr>
        <w:ind w:right="20" w:firstLine="864"/>
        <w:spacing w:after="0" w:line="273" w:lineRule="auto"/>
        <w:rPr>
          <w:sz w:val="20"/>
          <w:szCs w:val="20"/>
          <w:color w:val="auto"/>
        </w:rPr>
      </w:pPr>
      <w:r>
        <w:rPr>
          <w:rFonts w:ascii="Arial" w:cs="Arial" w:eastAsia="Arial" w:hAnsi="Arial"/>
          <w:sz w:val="16"/>
          <w:szCs w:val="16"/>
          <w:color w:val="auto"/>
        </w:rPr>
        <w:t>We are currently building a commercial infrastructure for the marketing, sale, and distribution of pharmaceutical products. We plan to build a commercial infrastructure, including the creation of a sales force to launch that product candidate throughout the United States, which will require consideration of a range of federal and state laws.. If we commercialize our product candidates outside the United States, we intend to partner with marketing and sales collaborators, rather than with our own sales force.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432"/>
        <w:spacing w:after="0" w:line="289" w:lineRule="auto"/>
        <w:rPr>
          <w:sz w:val="20"/>
          <w:szCs w:val="20"/>
          <w:color w:val="auto"/>
        </w:rPr>
      </w:pPr>
      <w:r>
        <w:rPr>
          <w:rFonts w:ascii="Arial" w:cs="Arial" w:eastAsia="Arial" w:hAnsi="Arial"/>
          <w:sz w:val="15"/>
          <w:szCs w:val="15"/>
          <w:color w:val="auto"/>
        </w:rPr>
        <w:t>We have no prior experience in the marketing, sale, and distribution of pharmaceutical products, and there are significant risks involved in the building and managing of a commercial infrastructure. Our role as an NDA holder (if we obtain approval) and a virtual manufacturer, and the establishment and development of our commercial infrastructure and our own sales force, and related compliance plans to market any products we may develop, will be expensive and time consuming and could delay any product launch, and we may not be able to successfully develop these capabilities. We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80"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61" w:lineRule="exact"/>
        <w:rPr>
          <w:rFonts w:ascii="Arial" w:cs="Arial" w:eastAsia="Arial" w:hAnsi="Arial"/>
          <w:sz w:val="16"/>
          <w:szCs w:val="16"/>
          <w:color w:val="auto"/>
        </w:rPr>
      </w:pPr>
    </w:p>
    <w:p>
      <w:pPr>
        <w:ind w:left="880" w:right="320" w:hanging="440"/>
        <w:spacing w:after="0" w:line="293"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of our current or future product candidates;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sales personnel to travel and/or arrange in-person meetings with physicians due to the ongoing COVID-19 pandemic;</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inability to effectively oversee a geographically dispersed sales and marketing team;</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application of federal and state drug distribution and supply chain requirements to our business;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inability to secure adequate coverage and reimbursement by government and private health plans;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clinical indications and labeled claims for which the product is approved;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61" w:lineRule="exact"/>
        <w:rPr>
          <w:rFonts w:ascii="Arial" w:cs="Arial" w:eastAsia="Arial" w:hAnsi="Arial"/>
          <w:sz w:val="16"/>
          <w:szCs w:val="16"/>
          <w:color w:val="auto"/>
        </w:rPr>
      </w:pPr>
    </w:p>
    <w:p>
      <w:pPr>
        <w:ind w:left="880" w:right="560" w:hanging="440"/>
        <w:spacing w:after="0" w:line="293"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273"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As we build our commercial infrastructure prior to approval of a product candidate being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any of our current or future product candidates do not achieve broad market acceptance, the revenues that we generate from their sales will be limited.</w:t>
      </w:r>
    </w:p>
    <w:p>
      <w:pPr>
        <w:spacing w:after="0" w:line="246" w:lineRule="exact"/>
        <w:rPr>
          <w:sz w:val="20"/>
          <w:szCs w:val="20"/>
          <w:color w:val="auto"/>
        </w:rPr>
      </w:pPr>
    </w:p>
    <w:p>
      <w:pPr>
        <w:ind w:firstLine="864"/>
        <w:spacing w:after="0" w:line="310" w:lineRule="auto"/>
        <w:rPr>
          <w:sz w:val="20"/>
          <w:szCs w:val="20"/>
          <w:color w:val="auto"/>
        </w:rPr>
      </w:pPr>
      <w:r>
        <w:rPr>
          <w:rFonts w:ascii="Arial" w:cs="Arial" w:eastAsia="Arial" w:hAnsi="Arial"/>
          <w:sz w:val="14"/>
          <w:szCs w:val="14"/>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67" w:lineRule="exact"/>
        <w:rPr>
          <w:sz w:val="20"/>
          <w:szCs w:val="20"/>
          <w:color w:val="auto"/>
        </w:rPr>
      </w:pPr>
    </w:p>
    <w:p>
      <w:pPr>
        <w:ind w:right="80" w:firstLine="864"/>
        <w:spacing w:after="0" w:line="305" w:lineRule="auto"/>
        <w:rPr>
          <w:sz w:val="20"/>
          <w:szCs w:val="20"/>
          <w:color w:val="auto"/>
        </w:rPr>
      </w:pPr>
      <w:r>
        <w:rPr>
          <w:rFonts w:ascii="Arial" w:cs="Arial" w:eastAsia="Arial" w:hAnsi="Arial"/>
          <w:sz w:val="15"/>
          <w:szCs w:val="15"/>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6"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efficacy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prevalence and severity of adverse events associated with such product candidate;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 and the approved claims that we may make for the product;</w:t>
      </w:r>
    </w:p>
    <w:p>
      <w:pPr>
        <w:spacing w:after="0" w:line="261" w:lineRule="exact"/>
        <w:rPr>
          <w:rFonts w:ascii="Arial" w:cs="Arial" w:eastAsia="Arial" w:hAnsi="Arial"/>
          <w:sz w:val="16"/>
          <w:szCs w:val="16"/>
          <w:color w:val="auto"/>
        </w:rPr>
      </w:pPr>
    </w:p>
    <w:p>
      <w:pPr>
        <w:ind w:left="880" w:right="120" w:hanging="440"/>
        <w:spacing w:after="0" w:line="204" w:lineRule="exact"/>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or warnings contained in the product’s FDA</w:t>
      </w:r>
      <w:r>
        <w:rPr>
          <w:rFonts w:ascii="MS PGothic" w:cs="MS PGothic" w:eastAsia="MS PGothic" w:hAnsi="MS PGothic"/>
          <w:sz w:val="16"/>
          <w:szCs w:val="16"/>
          <w:color w:val="auto"/>
        </w:rPr>
        <w:t>‑</w:t>
      </w:r>
      <w:r>
        <w:rPr>
          <w:rFonts w:ascii="Arial" w:cs="Arial" w:eastAsia="Arial" w:hAnsi="Arial"/>
          <w:sz w:val="16"/>
          <w:szCs w:val="16"/>
          <w:color w:val="auto"/>
        </w:rPr>
        <w:t>approved labeling, including potential limitations or warnings for such product candidate, that may be more restrictive than other competitive products;</w:t>
      </w:r>
    </w:p>
    <w:p>
      <w:pPr>
        <w:spacing w:after="0" w:line="213" w:lineRule="exact"/>
        <w:rPr>
          <w:rFonts w:ascii="Arial" w:cs="Arial" w:eastAsia="Arial" w:hAnsi="Arial"/>
          <w:sz w:val="16"/>
          <w:szCs w:val="16"/>
          <w:color w:val="auto"/>
        </w:rPr>
      </w:pPr>
    </w:p>
    <w:p>
      <w:pPr>
        <w:ind w:left="880" w:right="24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 of such product candidate;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 of treatment versus economic and clinical benefit in relation to alternative treatments or therapies;</w:t>
      </w:r>
    </w:p>
    <w:p>
      <w:pPr>
        <w:spacing w:after="0" w:line="261" w:lineRule="exact"/>
        <w:rPr>
          <w:rFonts w:ascii="Arial" w:cs="Arial" w:eastAsia="Arial" w:hAnsi="Arial"/>
          <w:sz w:val="16"/>
          <w:szCs w:val="16"/>
          <w:color w:val="auto"/>
        </w:rPr>
      </w:pPr>
    </w:p>
    <w:p>
      <w:pPr>
        <w:ind w:left="880" w:right="66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third-party payors to prefer similar but less expensive products even if not approved for our product’s indication;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and strength of our marketing and distribution of such product candidate;</w:t>
      </w:r>
    </w:p>
    <w:p>
      <w:pPr>
        <w:spacing w:after="0" w:line="261" w:lineRule="exact"/>
        <w:rPr>
          <w:rFonts w:ascii="Arial" w:cs="Arial" w:eastAsia="Arial" w:hAnsi="Arial"/>
          <w:sz w:val="16"/>
          <w:szCs w:val="16"/>
          <w:color w:val="auto"/>
        </w:rPr>
      </w:pPr>
    </w:p>
    <w:p>
      <w:pPr>
        <w:ind w:left="880" w:right="32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for any of our intended indications;</w:t>
      </w:r>
    </w:p>
    <w:p>
      <w:pPr>
        <w:spacing w:after="0" w:line="171" w:lineRule="exact"/>
        <w:rPr>
          <w:rFonts w:ascii="Arial" w:cs="Arial" w:eastAsia="Arial" w:hAnsi="Arial"/>
          <w:sz w:val="16"/>
          <w:szCs w:val="16"/>
          <w:color w:val="auto"/>
        </w:rPr>
      </w:pPr>
    </w:p>
    <w:p>
      <w:pPr>
        <w:ind w:left="880" w:right="24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market introduction of such product candidate, as well as competitive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offer such product candidate for sale at competitive prices, including prices that are competitive with generic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and strength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 and supplier support;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approval of other new products for the same indications;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adverse publicity about the product or favorable publicity about competitive products;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product liability claims.</w:t>
      </w:r>
    </w:p>
    <w:p>
      <w:pPr>
        <w:spacing w:after="0" w:line="262" w:lineRule="exact"/>
        <w:rPr>
          <w:sz w:val="20"/>
          <w:szCs w:val="20"/>
          <w:color w:val="auto"/>
        </w:rPr>
      </w:pPr>
    </w:p>
    <w:p>
      <w:pPr>
        <w:ind w:firstLine="864"/>
        <w:spacing w:after="0" w:line="203"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217" w:lineRule="exact"/>
        <w:rPr>
          <w:sz w:val="20"/>
          <w:szCs w:val="20"/>
          <w:color w:val="auto"/>
        </w:rPr>
      </w:pPr>
    </w:p>
    <w:p>
      <w:pPr>
        <w:ind w:right="80" w:firstLine="864"/>
        <w:spacing w:after="0" w:line="204" w:lineRule="exact"/>
        <w:rPr>
          <w:sz w:val="20"/>
          <w:szCs w:val="20"/>
          <w:color w:val="auto"/>
        </w:rPr>
      </w:pPr>
      <w:r>
        <w:rPr>
          <w:rFonts w:ascii="Arial" w:cs="Arial" w:eastAsia="Arial" w:hAnsi="Arial"/>
          <w:sz w:val="16"/>
          <w:szCs w:val="16"/>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6"/>
          <w:szCs w:val="16"/>
          <w:color w:val="auto"/>
        </w:rPr>
        <w:t>‑</w:t>
      </w:r>
      <w:r>
        <w:rPr>
          <w:rFonts w:ascii="Arial" w:cs="Arial" w:eastAsia="Arial" w:hAnsi="Arial"/>
          <w:sz w:val="16"/>
          <w:szCs w:val="16"/>
          <w:color w:val="auto"/>
        </w:rPr>
        <w:t>label. Any use of these generic forms of the active molecules of our product candidates could adversely affect our business and our results of operations.</w:t>
      </w:r>
    </w:p>
    <w:p>
      <w:pPr>
        <w:spacing w:after="0" w:line="213" w:lineRule="exact"/>
        <w:rPr>
          <w:sz w:val="20"/>
          <w:szCs w:val="20"/>
          <w:color w:val="auto"/>
        </w:rPr>
      </w:pPr>
    </w:p>
    <w:p>
      <w:pPr>
        <w:ind w:right="180" w:firstLine="864"/>
        <w:spacing w:after="0" w:line="204" w:lineRule="exact"/>
        <w:rPr>
          <w:sz w:val="20"/>
          <w:szCs w:val="20"/>
          <w:color w:val="auto"/>
        </w:rPr>
      </w:pPr>
      <w:r>
        <w:rPr>
          <w:rFonts w:ascii="Arial" w:cs="Arial" w:eastAsia="Arial" w:hAnsi="Arial"/>
          <w:sz w:val="16"/>
          <w:szCs w:val="16"/>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72" w:lineRule="exact"/>
        <w:rPr>
          <w:sz w:val="20"/>
          <w:szCs w:val="20"/>
          <w:color w:val="auto"/>
        </w:rPr>
      </w:pPr>
    </w:p>
    <w:p>
      <w:pPr>
        <w:ind w:right="160" w:firstLine="864"/>
        <w:spacing w:after="0" w:line="287" w:lineRule="auto"/>
        <w:rPr>
          <w:sz w:val="20"/>
          <w:szCs w:val="20"/>
          <w:color w:val="auto"/>
        </w:rPr>
      </w:pPr>
      <w:r>
        <w:rPr>
          <w:rFonts w:ascii="Arial" w:cs="Arial" w:eastAsia="Arial" w:hAnsi="Arial"/>
          <w:sz w:val="15"/>
          <w:szCs w:val="15"/>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 loss of revenue from decreased demand for our products and/or product candidates;</w:t>
      </w:r>
    </w:p>
    <w:p>
      <w:pPr>
        <w:spacing w:after="0" w:line="182"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impairment of our business reputation or financial stability;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diversion of management attention;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significant negative media attention;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our stock price;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initiation of investigations and enforcement actions by regulators;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262" w:lineRule="exact"/>
        <w:rPr>
          <w:sz w:val="20"/>
          <w:szCs w:val="20"/>
          <w:color w:val="auto"/>
        </w:rPr>
      </w:pPr>
    </w:p>
    <w:p>
      <w:pPr>
        <w:ind w:right="20" w:firstLine="864"/>
        <w:spacing w:after="0" w:line="288"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39" w:lineRule="exact"/>
        <w:rPr>
          <w:sz w:val="20"/>
          <w:szCs w:val="20"/>
          <w:color w:val="auto"/>
        </w:rPr>
      </w:pPr>
    </w:p>
    <w:p>
      <w:pPr>
        <w:ind w:right="360"/>
        <w:spacing w:after="0" w:line="369"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26"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rely on third</w:t>
      </w:r>
      <w:r>
        <w:rPr>
          <w:rFonts w:ascii="MS PGothic" w:cs="MS PGothic" w:eastAsia="MS PGothic" w:hAnsi="MS PGothic"/>
          <w:sz w:val="15"/>
          <w:szCs w:val="15"/>
          <w:color w:val="auto"/>
        </w:rPr>
        <w:t>‑</w:t>
      </w:r>
      <w:r>
        <w:rPr>
          <w:rFonts w:ascii="Arial" w:cs="Arial" w:eastAsia="Arial" w:hAnsi="Arial"/>
          <w:sz w:val="15"/>
          <w:szCs w:val="15"/>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215" w:lineRule="exact"/>
        <w:rPr>
          <w:sz w:val="20"/>
          <w:szCs w:val="20"/>
          <w:color w:val="auto"/>
        </w:rPr>
      </w:pPr>
    </w:p>
    <w:p>
      <w:pPr>
        <w:ind w:right="40" w:firstLine="864"/>
        <w:spacing w:after="0" w:line="287" w:lineRule="auto"/>
        <w:rPr>
          <w:sz w:val="20"/>
          <w:szCs w:val="20"/>
          <w:color w:val="auto"/>
        </w:rPr>
      </w:pPr>
      <w:r>
        <w:rPr>
          <w:rFonts w:ascii="Arial" w:cs="Arial" w:eastAsia="Arial" w:hAnsi="Arial"/>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 or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78" w:lineRule="exact"/>
        <w:rPr>
          <w:sz w:val="20"/>
          <w:szCs w:val="20"/>
          <w:color w:val="auto"/>
        </w:rPr>
      </w:pPr>
    </w:p>
    <w:p>
      <w:pPr>
        <w:ind w:right="20" w:firstLine="864"/>
        <w:spacing w:after="0" w:line="204" w:lineRule="exact"/>
        <w:rPr>
          <w:sz w:val="20"/>
          <w:szCs w:val="20"/>
          <w:color w:val="auto"/>
        </w:rPr>
      </w:pPr>
      <w:r>
        <w:rPr>
          <w:rFonts w:ascii="Arial" w:cs="Arial" w:eastAsia="Arial" w:hAnsi="Arial"/>
          <w:sz w:val="16"/>
          <w:szCs w:val="16"/>
          <w:color w:val="auto"/>
        </w:rPr>
        <w:t>In addition, once we have an approved product, we will be required to report certain financial interests of our third</w:t>
      </w:r>
      <w:r>
        <w:rPr>
          <w:rFonts w:ascii="MS PGothic" w:cs="MS PGothic" w:eastAsia="MS PGothic" w:hAnsi="MS PGothic"/>
          <w:sz w:val="16"/>
          <w:szCs w:val="16"/>
          <w:color w:val="auto"/>
        </w:rPr>
        <w:t>‑</w:t>
      </w:r>
      <w:r>
        <w:rPr>
          <w:rFonts w:ascii="Arial" w:cs="Arial" w:eastAsia="Arial" w:hAnsi="Arial"/>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13" w:lineRule="exact"/>
        <w:rPr>
          <w:sz w:val="20"/>
          <w:szCs w:val="20"/>
          <w:color w:val="auto"/>
        </w:rPr>
      </w:pPr>
    </w:p>
    <w:p>
      <w:pPr>
        <w:ind w:right="40" w:firstLine="864"/>
        <w:spacing w:after="0" w:line="204" w:lineRule="exact"/>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specified timeframes. Failure to do so can result in enforcement actions and adverse publicity.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03" w:lineRule="exact"/>
        <w:rPr>
          <w:sz w:val="20"/>
          <w:szCs w:val="20"/>
          <w:color w:val="auto"/>
        </w:rPr>
      </w:pPr>
      <w:r>
        <w:rPr>
          <w:rFonts w:ascii="Arial" w:cs="Arial" w:eastAsia="Arial" w:hAnsi="Arial"/>
          <w:sz w:val="15"/>
          <w:szCs w:val="15"/>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5"/>
          <w:szCs w:val="15"/>
          <w:color w:val="auto"/>
        </w:rPr>
        <w:t>‑</w:t>
      </w:r>
      <w:r>
        <w:rPr>
          <w:rFonts w:ascii="Arial" w:cs="Arial" w:eastAsia="Arial" w:hAnsi="Arial"/>
          <w:sz w:val="15"/>
          <w:szCs w:val="15"/>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in the future, our business may be materially and adversely affected.</w:t>
      </w:r>
    </w:p>
    <w:p>
      <w:pPr>
        <w:spacing w:after="0" w:line="214" w:lineRule="exact"/>
        <w:rPr>
          <w:sz w:val="20"/>
          <w:szCs w:val="20"/>
          <w:color w:val="auto"/>
        </w:rPr>
      </w:pPr>
    </w:p>
    <w:p>
      <w:pPr>
        <w:ind w:right="220" w:firstLine="864"/>
        <w:spacing w:after="0" w:line="203" w:lineRule="exact"/>
        <w:rPr>
          <w:sz w:val="20"/>
          <w:szCs w:val="20"/>
          <w:color w:val="auto"/>
        </w:rPr>
      </w:pPr>
      <w:r>
        <w:rPr>
          <w:rFonts w:ascii="Arial" w:cs="Arial" w:eastAsia="Arial" w:hAnsi="Arial"/>
          <w:sz w:val="15"/>
          <w:szCs w:val="15"/>
          <w:color w:val="auto"/>
        </w:rPr>
        <w:t>If any of our relationships with these third</w:t>
      </w:r>
      <w:r>
        <w:rPr>
          <w:rFonts w:ascii="MS PGothic" w:cs="MS PGothic" w:eastAsia="MS PGothic" w:hAnsi="MS PGothic"/>
          <w:sz w:val="15"/>
          <w:szCs w:val="15"/>
          <w:color w:val="auto"/>
        </w:rPr>
        <w:t>‑</w:t>
      </w:r>
      <w:r>
        <w:rPr>
          <w:rFonts w:ascii="Arial" w:cs="Arial" w:eastAsia="Arial" w:hAnsi="Arial"/>
          <w:sz w:val="15"/>
          <w:szCs w:val="15"/>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1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right="40" w:firstLine="864"/>
        <w:spacing w:after="0" w:line="318" w:lineRule="auto"/>
        <w:rPr>
          <w:sz w:val="20"/>
          <w:szCs w:val="20"/>
          <w:color w:val="auto"/>
        </w:rPr>
      </w:pPr>
      <w:r>
        <w:rPr>
          <w:rFonts w:ascii="Arial" w:cs="Arial" w:eastAsia="Arial" w:hAnsi="Arial"/>
          <w:sz w:val="14"/>
          <w:szCs w:val="14"/>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2"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may breach, terminate, or not renew these agreements.</w:t>
      </w:r>
    </w:p>
    <w:p>
      <w:pPr>
        <w:spacing w:after="0" w:line="215" w:lineRule="exact"/>
        <w:rPr>
          <w:sz w:val="20"/>
          <w:szCs w:val="20"/>
          <w:color w:val="auto"/>
        </w:rPr>
      </w:pPr>
    </w:p>
    <w:p>
      <w:pPr>
        <w:ind w:right="80" w:firstLine="864"/>
        <w:spacing w:after="0" w:line="203" w:lineRule="exact"/>
        <w:rPr>
          <w:sz w:val="20"/>
          <w:szCs w:val="20"/>
          <w:color w:val="auto"/>
        </w:rPr>
      </w:pPr>
      <w:r>
        <w:rPr>
          <w:rFonts w:ascii="Arial" w:cs="Arial" w:eastAsia="Arial" w:hAnsi="Arial"/>
          <w:sz w:val="15"/>
          <w:szCs w:val="15"/>
          <w:color w:val="auto"/>
        </w:rPr>
        <w:t>Any problems or delays we experience in preparing for commercial</w:t>
      </w:r>
      <w:r>
        <w:rPr>
          <w:rFonts w:ascii="MS PGothic" w:cs="MS PGothic" w:eastAsia="MS PGothic" w:hAnsi="MS PGothic"/>
          <w:sz w:val="15"/>
          <w:szCs w:val="15"/>
          <w:color w:val="auto"/>
        </w:rPr>
        <w:t>‑</w:t>
      </w:r>
      <w:r>
        <w:rPr>
          <w:rFonts w:ascii="Arial" w:cs="Arial" w:eastAsia="Arial" w:hAnsi="Arial"/>
          <w:sz w:val="15"/>
          <w:szCs w:val="15"/>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5"/>
          <w:szCs w:val="15"/>
          <w:color w:val="auto"/>
        </w:rPr>
        <w:t>‑</w:t>
      </w:r>
      <w:r>
        <w:rPr>
          <w:rFonts w:ascii="Arial" w:cs="Arial" w:eastAsia="Arial" w:hAnsi="Arial"/>
          <w:sz w:val="15"/>
          <w:szCs w:val="15"/>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15" w:lineRule="exact"/>
        <w:rPr>
          <w:sz w:val="20"/>
          <w:szCs w:val="20"/>
          <w:color w:val="auto"/>
        </w:rPr>
      </w:pPr>
    </w:p>
    <w:p>
      <w:pPr>
        <w:ind w:right="40" w:firstLine="864"/>
        <w:spacing w:after="0" w:line="284" w:lineRule="auto"/>
        <w:rPr>
          <w:sz w:val="20"/>
          <w:szCs w:val="20"/>
          <w:color w:val="auto"/>
        </w:rPr>
      </w:pPr>
      <w:r>
        <w:rPr>
          <w:rFonts w:ascii="Arial" w:cs="Arial" w:eastAsia="Arial" w:hAnsi="Arial"/>
          <w:sz w:val="15"/>
          <w:szCs w:val="15"/>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89" w:lineRule="exact"/>
        <w:rPr>
          <w:sz w:val="20"/>
          <w:szCs w:val="20"/>
          <w:color w:val="auto"/>
        </w:rPr>
      </w:pPr>
    </w:p>
    <w:p>
      <w:pPr>
        <w:ind w:right="20" w:firstLine="864"/>
        <w:spacing w:after="0" w:line="305" w:lineRule="auto"/>
        <w:rPr>
          <w:sz w:val="20"/>
          <w:szCs w:val="20"/>
          <w:color w:val="auto"/>
        </w:rPr>
      </w:pPr>
      <w:r>
        <w:rPr>
          <w:rFonts w:ascii="Arial" w:cs="Arial" w:eastAsia="Arial" w:hAnsi="Arial"/>
          <w:sz w:val="15"/>
          <w:szCs w:val="15"/>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2" w:lineRule="exact"/>
        <w:rPr>
          <w:sz w:val="20"/>
          <w:szCs w:val="20"/>
          <w:color w:val="auto"/>
        </w:rPr>
      </w:pPr>
    </w:p>
    <w:p>
      <w:pPr>
        <w:ind w:right="200" w:firstLine="864"/>
        <w:spacing w:after="0" w:line="293" w:lineRule="auto"/>
        <w:rPr>
          <w:sz w:val="20"/>
          <w:szCs w:val="20"/>
          <w:color w:val="auto"/>
        </w:rPr>
      </w:pPr>
      <w:r>
        <w:rPr>
          <w:rFonts w:ascii="Arial" w:cs="Arial" w:eastAsia="Arial" w:hAnsi="Arial"/>
          <w:sz w:val="16"/>
          <w:szCs w:val="16"/>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72"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20" w:firstLine="864"/>
        <w:spacing w:after="0" w:line="310" w:lineRule="auto"/>
        <w:rPr>
          <w:sz w:val="20"/>
          <w:szCs w:val="20"/>
          <w:color w:val="auto"/>
        </w:rPr>
      </w:pPr>
      <w:r>
        <w:rPr>
          <w:rFonts w:ascii="Arial" w:cs="Arial" w:eastAsia="Arial" w:hAnsi="Arial"/>
          <w:sz w:val="14"/>
          <w:szCs w:val="14"/>
          <w:color w:val="auto"/>
        </w:rPr>
        <w:t>We may utilize contract manufacturers to manufacture our investigational products and plan to utilize contract manufacturers if and when we obtain FDA approval. The FDA announced it would resume domestic facility inspections, after a previous temporary delay, and more recently the agency stated that it is transitioning back to standard operations for conducting domestic facility inspections. The agency continues its general suspension of foreign facility inspections (other than “mission-critical” inspections). Because of the global pandemic, decision-making around facility inspections by the FDA (including Pre-Approval and for cause inspections) continues to evolve, , especially given the recent report from the Government Accountability Office noting that the FDA had a significant backlog of domestic and foreign inspections resulting from the COVID-19 pandemic. Depending on the length of the COVID-19 pandemic and FDA’s related internal policies, this could impact future applications and product candidates.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167" w:lineRule="exact"/>
        <w:rPr>
          <w:sz w:val="20"/>
          <w:szCs w:val="20"/>
          <w:color w:val="auto"/>
        </w:rPr>
      </w:pPr>
    </w:p>
    <w:p>
      <w:pPr>
        <w:ind w:firstLine="864"/>
        <w:spacing w:after="0" w:line="268" w:lineRule="auto"/>
        <w:rPr>
          <w:sz w:val="20"/>
          <w:szCs w:val="20"/>
          <w:color w:val="auto"/>
        </w:rPr>
      </w:pPr>
      <w:r>
        <w:rPr>
          <w:rFonts w:ascii="Arial" w:cs="Arial" w:eastAsia="Arial" w:hAnsi="Arial"/>
          <w:sz w:val="16"/>
          <w:szCs w:val="16"/>
          <w:color w:val="auto"/>
        </w:rPr>
        <w:t>The FDA continues to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92" w:lineRule="exact"/>
        <w:rPr>
          <w:sz w:val="20"/>
          <w:szCs w:val="20"/>
          <w:color w:val="auto"/>
        </w:rPr>
      </w:pPr>
    </w:p>
    <w:p>
      <w:pPr>
        <w:ind w:right="20" w:firstLine="864"/>
        <w:spacing w:after="0" w:line="297" w:lineRule="auto"/>
        <w:rPr>
          <w:sz w:val="20"/>
          <w:szCs w:val="20"/>
          <w:color w:val="auto"/>
        </w:rPr>
      </w:pPr>
      <w:r>
        <w:rPr>
          <w:rFonts w:ascii="Arial" w:cs="Arial" w:eastAsia="Arial" w:hAnsi="Arial"/>
          <w:sz w:val="15"/>
          <w:szCs w:val="15"/>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7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89"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5"/>
          <w:szCs w:val="15"/>
          <w:color w:val="auto"/>
        </w:rPr>
        <w:t>We may retain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5"/>
          <w:szCs w:val="15"/>
          <w:color w:val="auto"/>
        </w:rPr>
        <w:t>‑</w:t>
      </w:r>
      <w:r>
        <w:rPr>
          <w:rFonts w:ascii="Arial" w:cs="Arial" w:eastAsia="Arial" w:hAnsi="Arial"/>
          <w:sz w:val="15"/>
          <w:szCs w:val="15"/>
          <w:color w:val="auto"/>
        </w:rPr>
        <w:t>party providers that perform services for us, including entrusting our inventories of products to their care and handling. If these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15" w:lineRule="exact"/>
        <w:rPr>
          <w:sz w:val="20"/>
          <w:szCs w:val="20"/>
          <w:color w:val="auto"/>
        </w:rPr>
      </w:pPr>
    </w:p>
    <w:p>
      <w:pPr>
        <w:ind w:right="20" w:firstLine="864"/>
        <w:spacing w:after="0" w:line="335" w:lineRule="auto"/>
        <w:rPr>
          <w:sz w:val="20"/>
          <w:szCs w:val="20"/>
          <w:color w:val="auto"/>
        </w:rPr>
      </w:pPr>
      <w:r>
        <w:rPr>
          <w:rFonts w:ascii="Arial" w:cs="Arial" w:eastAsia="Arial" w:hAnsi="Arial"/>
          <w:sz w:val="14"/>
          <w:szCs w:val="14"/>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9" w:lineRule="exact"/>
        <w:rPr>
          <w:sz w:val="20"/>
          <w:szCs w:val="20"/>
          <w:color w:val="auto"/>
        </w:rPr>
      </w:pPr>
    </w:p>
    <w:p>
      <w:pPr>
        <w:jc w:val="both"/>
        <w:ind w:right="240" w:firstLine="864"/>
        <w:spacing w:after="0" w:line="278" w:lineRule="auto"/>
        <w:rPr>
          <w:sz w:val="20"/>
          <w:szCs w:val="20"/>
          <w:color w:val="auto"/>
        </w:rPr>
      </w:pPr>
      <w:r>
        <w:rPr>
          <w:rFonts w:ascii="Arial" w:cs="Arial" w:eastAsia="Arial" w:hAnsi="Arial"/>
          <w:sz w:val="16"/>
          <w:szCs w:val="16"/>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2" w:lineRule="exact"/>
        <w:rPr>
          <w:sz w:val="20"/>
          <w:szCs w:val="20"/>
          <w:color w:val="auto"/>
        </w:rPr>
      </w:pPr>
    </w:p>
    <w:p>
      <w:pPr>
        <w:ind w:firstLine="864"/>
        <w:spacing w:after="0" w:line="203" w:lineRule="exact"/>
        <w:rPr>
          <w:sz w:val="20"/>
          <w:szCs w:val="20"/>
          <w:color w:val="auto"/>
        </w:rPr>
      </w:pPr>
      <w:r>
        <w:rPr>
          <w:rFonts w:ascii="Arial" w:cs="Arial" w:eastAsia="Arial" w:hAnsi="Arial"/>
          <w:sz w:val="14"/>
          <w:szCs w:val="14"/>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4"/>
          <w:szCs w:val="14"/>
          <w:color w:val="auto"/>
        </w:rPr>
        <w:t>‑</w:t>
      </w:r>
      <w:r>
        <w:rPr>
          <w:rFonts w:ascii="Arial" w:cs="Arial" w:eastAsia="Arial" w:hAnsi="Arial"/>
          <w:sz w:val="14"/>
          <w:szCs w:val="14"/>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215" w:lineRule="exact"/>
        <w:rPr>
          <w:sz w:val="20"/>
          <w:szCs w:val="20"/>
          <w:color w:val="auto"/>
        </w:rPr>
      </w:pPr>
    </w:p>
    <w:p>
      <w:pPr>
        <w:ind w:right="240" w:firstLine="864"/>
        <w:spacing w:after="0" w:line="278" w:lineRule="auto"/>
        <w:rPr>
          <w:sz w:val="20"/>
          <w:szCs w:val="20"/>
          <w:color w:val="auto"/>
        </w:rPr>
      </w:pPr>
      <w:r>
        <w:rPr>
          <w:rFonts w:ascii="Arial" w:cs="Arial" w:eastAsia="Arial" w:hAnsi="Arial"/>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4" w:lineRule="exact"/>
        <w:rPr>
          <w:sz w:val="20"/>
          <w:szCs w:val="20"/>
          <w:color w:val="auto"/>
        </w:rPr>
      </w:pPr>
    </w:p>
    <w:p>
      <w:pPr>
        <w:ind w:right="300" w:firstLine="864"/>
        <w:spacing w:after="0" w:line="278" w:lineRule="auto"/>
        <w:rPr>
          <w:sz w:val="20"/>
          <w:szCs w:val="20"/>
          <w:color w:val="auto"/>
        </w:rPr>
      </w:pPr>
      <w:r>
        <w:rPr>
          <w:rFonts w:ascii="Arial" w:cs="Arial" w:eastAsia="Arial" w:hAnsi="Arial"/>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84"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w:t>
      </w:r>
    </w:p>
    <w:p>
      <w:pPr>
        <w:spacing w:after="0" w:line="261" w:lineRule="exact"/>
        <w:rPr>
          <w:rFonts w:ascii="Arial" w:cs="Arial" w:eastAsia="Arial" w:hAnsi="Arial"/>
          <w:sz w:val="16"/>
          <w:szCs w:val="16"/>
          <w:color w:val="auto"/>
        </w:rPr>
      </w:pPr>
    </w:p>
    <w:p>
      <w:pPr>
        <w:ind w:left="880" w:right="40" w:hanging="440"/>
        <w:spacing w:after="0" w:line="27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6"/>
          <w:szCs w:val="16"/>
          <w:color w:val="auto"/>
        </w:rPr>
      </w:pPr>
    </w:p>
    <w:p>
      <w:pPr>
        <w:ind w:left="880" w:right="24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fail to make timely regulatory submissions for a product candidate;</w:t>
      </w:r>
    </w:p>
    <w:p>
      <w:pPr>
        <w:spacing w:after="0" w:line="261" w:lineRule="exact"/>
        <w:rPr>
          <w:rFonts w:ascii="Arial" w:cs="Arial" w:eastAsia="Arial" w:hAnsi="Arial"/>
          <w:sz w:val="16"/>
          <w:szCs w:val="16"/>
          <w:color w:val="auto"/>
        </w:rPr>
      </w:pPr>
    </w:p>
    <w:p>
      <w:pPr>
        <w:ind w:left="880" w:right="60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comply with all applicable regulatory requirements or may fail to report safety data in accordance with all applicable regulatory requirements;</w:t>
      </w:r>
    </w:p>
    <w:p>
      <w:pPr>
        <w:spacing w:after="0" w:line="171" w:lineRule="exact"/>
        <w:rPr>
          <w:rFonts w:ascii="Arial" w:cs="Arial" w:eastAsia="Arial" w:hAnsi="Arial"/>
          <w:sz w:val="16"/>
          <w:szCs w:val="16"/>
          <w:color w:val="auto"/>
        </w:rPr>
      </w:pPr>
    </w:p>
    <w:p>
      <w:pPr>
        <w:ind w:left="880" w:right="20" w:hanging="440"/>
        <w:spacing w:after="0" w:line="27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880" w:right="38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1" w:lineRule="exact"/>
        <w:rPr>
          <w:rFonts w:ascii="Arial" w:cs="Arial" w:eastAsia="Arial" w:hAnsi="Arial"/>
          <w:sz w:val="16"/>
          <w:szCs w:val="16"/>
          <w:color w:val="auto"/>
        </w:rPr>
      </w:pPr>
    </w:p>
    <w:p>
      <w:pPr>
        <w:ind w:left="880" w:right="38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1" w:lineRule="exact"/>
        <w:rPr>
          <w:rFonts w:ascii="Arial" w:cs="Arial" w:eastAsia="Arial" w:hAnsi="Arial"/>
          <w:sz w:val="16"/>
          <w:szCs w:val="16"/>
          <w:color w:val="auto"/>
        </w:rPr>
      </w:pPr>
    </w:p>
    <w:p>
      <w:pPr>
        <w:jc w:val="both"/>
        <w:ind w:left="880" w:right="40" w:hanging="440"/>
        <w:spacing w:after="0" w:line="305" w:lineRule="auto"/>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right="180" w:hanging="440"/>
        <w:spacing w:after="0" w:line="293"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262" w:lineRule="exact"/>
        <w:rPr>
          <w:sz w:val="20"/>
          <w:szCs w:val="20"/>
          <w:color w:val="auto"/>
        </w:rPr>
      </w:pPr>
    </w:p>
    <w:p>
      <w:pPr>
        <w:ind w:right="20" w:firstLine="864"/>
        <w:spacing w:after="0" w:line="273" w:lineRule="auto"/>
        <w:rPr>
          <w:sz w:val="20"/>
          <w:szCs w:val="20"/>
          <w:color w:val="auto"/>
        </w:rPr>
      </w:pPr>
      <w:r>
        <w:rPr>
          <w:rFonts w:ascii="Arial" w:cs="Arial" w:eastAsia="Arial" w:hAnsi="Arial"/>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9" w:lineRule="exact"/>
        <w:rPr>
          <w:sz w:val="20"/>
          <w:szCs w:val="20"/>
          <w:color w:val="auto"/>
        </w:rPr>
      </w:pPr>
    </w:p>
    <w:p>
      <w:pPr>
        <w:ind w:right="320" w:firstLine="864"/>
        <w:spacing w:after="0" w:line="278" w:lineRule="auto"/>
        <w:rPr>
          <w:sz w:val="20"/>
          <w:szCs w:val="20"/>
          <w:color w:val="auto"/>
        </w:rPr>
      </w:pPr>
      <w:r>
        <w:rPr>
          <w:rFonts w:ascii="Arial" w:cs="Arial" w:eastAsia="Arial" w:hAnsi="Arial"/>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84"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b w:val="1"/>
          <w:bCs w:val="1"/>
          <w:i w:val="1"/>
          <w:iCs w:val="1"/>
          <w:color w:val="auto"/>
        </w:rPr>
        <w:t>We are dependent on third parties to decide to utilize our product candidates to make them readily available at the point of care throughout their networks of pharmacies.</w:t>
      </w:r>
    </w:p>
    <w:p>
      <w:pPr>
        <w:spacing w:after="0" w:line="172" w:lineRule="exact"/>
        <w:rPr>
          <w:sz w:val="20"/>
          <w:szCs w:val="20"/>
          <w:color w:val="auto"/>
        </w:rPr>
      </w:pPr>
    </w:p>
    <w:p>
      <w:pPr>
        <w:ind w:right="40" w:firstLine="864"/>
        <w:spacing w:after="0" w:line="307" w:lineRule="auto"/>
        <w:rPr>
          <w:sz w:val="20"/>
          <w:szCs w:val="20"/>
          <w:color w:val="auto"/>
        </w:rPr>
      </w:pPr>
      <w:r>
        <w:rPr>
          <w:rFonts w:ascii="Arial" w:cs="Arial" w:eastAsia="Arial" w:hAnsi="Arial"/>
          <w:sz w:val="14"/>
          <w:szCs w:val="14"/>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3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2" w:lineRule="exact"/>
        <w:rPr>
          <w:sz w:val="20"/>
          <w:szCs w:val="20"/>
          <w:color w:val="auto"/>
        </w:rPr>
      </w:pPr>
    </w:p>
    <w:p>
      <w:pPr>
        <w:ind w:right="80" w:firstLine="864"/>
        <w:spacing w:after="0" w:line="204"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5"/>
          <w:szCs w:val="15"/>
          <w:color w:val="auto"/>
        </w:rPr>
        <w:t>‑</w:t>
      </w:r>
      <w:r>
        <w:rPr>
          <w:rFonts w:ascii="Arial" w:cs="Arial" w:eastAsia="Arial" w:hAnsi="Arial"/>
          <w:sz w:val="15"/>
          <w:szCs w:val="15"/>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14"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may not have been the first to conceive of and reduce to practice the inventions covered by each of our pending patent applications and issued patents;</w:t>
      </w:r>
    </w:p>
    <w:p>
      <w:pPr>
        <w:spacing w:after="0" w:line="273" w:lineRule="exact"/>
        <w:rPr>
          <w:rFonts w:ascii="Arial" w:cs="Arial" w:eastAsia="Arial" w:hAnsi="Arial"/>
          <w:sz w:val="15"/>
          <w:szCs w:val="15"/>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applications for these inventions;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product candidates or technologies;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none of the pending patent applications will result in issued patents;</w:t>
      </w:r>
    </w:p>
    <w:p>
      <w:pPr>
        <w:spacing w:after="0" w:line="261" w:lineRule="exact"/>
        <w:rPr>
          <w:rFonts w:ascii="Arial" w:cs="Arial" w:eastAsia="Arial" w:hAnsi="Arial"/>
          <w:sz w:val="16"/>
          <w:szCs w:val="16"/>
          <w:color w:val="auto"/>
        </w:rPr>
      </w:pPr>
    </w:p>
    <w:p>
      <w:pPr>
        <w:ind w:left="880" w:right="40" w:hanging="440"/>
        <w:spacing w:after="0" w:line="293"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issued patents may not cover commercially viable active products, may not provide us with any competitive advantages, or may be successfully challenged by third parties;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patents of others may have an adverse effect on our business;</w:t>
      </w:r>
    </w:p>
    <w:p>
      <w:pPr>
        <w:spacing w:after="0" w:line="261" w:lineRule="exact"/>
        <w:rPr>
          <w:rFonts w:ascii="Arial" w:cs="Arial" w:eastAsia="Arial" w:hAnsi="Arial"/>
          <w:sz w:val="16"/>
          <w:szCs w:val="16"/>
          <w:color w:val="auto"/>
        </w:rPr>
      </w:pPr>
    </w:p>
    <w:p>
      <w:pPr>
        <w:ind w:left="880" w:right="60" w:hanging="440"/>
        <w:spacing w:after="0" w:line="369" w:lineRule="auto"/>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25" w:lineRule="exact"/>
        <w:rPr>
          <w:rFonts w:ascii="Arial" w:cs="Arial" w:eastAsia="Arial" w:hAnsi="Arial"/>
          <w:sz w:val="14"/>
          <w:szCs w:val="14"/>
          <w:color w:val="auto"/>
        </w:rPr>
      </w:pPr>
    </w:p>
    <w:p>
      <w:pPr>
        <w:ind w:left="880" w:right="100" w:hanging="440"/>
        <w:spacing w:after="0" w:line="278"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84" w:lineRule="exact"/>
        <w:rPr>
          <w:rFonts w:ascii="Arial" w:cs="Arial" w:eastAsia="Arial" w:hAnsi="Arial"/>
          <w:sz w:val="16"/>
          <w:szCs w:val="16"/>
          <w:color w:val="auto"/>
        </w:rPr>
      </w:pPr>
    </w:p>
    <w:p>
      <w:pPr>
        <w:ind w:left="880" w:right="240" w:hanging="440"/>
        <w:spacing w:after="0" w:line="328"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0" w:firstLine="864"/>
        <w:spacing w:after="0" w:line="203" w:lineRule="exact"/>
        <w:rPr>
          <w:sz w:val="20"/>
          <w:szCs w:val="20"/>
          <w:color w:val="auto"/>
        </w:rPr>
      </w:pPr>
      <w:r>
        <w:rPr>
          <w:rFonts w:ascii="Arial" w:cs="Arial" w:eastAsia="Arial" w:hAnsi="Arial"/>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5"/>
          <w:szCs w:val="15"/>
          <w:color w:val="auto"/>
        </w:rPr>
        <w:t>‑</w:t>
      </w:r>
      <w:r>
        <w:rPr>
          <w:rFonts w:ascii="Arial" w:cs="Arial" w:eastAsia="Arial" w:hAnsi="Arial"/>
          <w:sz w:val="15"/>
          <w:szCs w:val="15"/>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right="100" w:firstLine="864"/>
        <w:spacing w:after="0" w:line="26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90" w:lineRule="exact"/>
        <w:rPr>
          <w:sz w:val="20"/>
          <w:szCs w:val="20"/>
          <w:color w:val="auto"/>
        </w:rPr>
      </w:pPr>
    </w:p>
    <w:p>
      <w:pPr>
        <w:ind w:right="40" w:firstLine="864"/>
        <w:spacing w:after="0" w:line="307" w:lineRule="auto"/>
        <w:rPr>
          <w:sz w:val="20"/>
          <w:szCs w:val="20"/>
          <w:color w:val="auto"/>
        </w:rPr>
      </w:pPr>
      <w:r>
        <w:rPr>
          <w:rFonts w:ascii="Arial" w:cs="Arial" w:eastAsia="Arial" w:hAnsi="Arial"/>
          <w:sz w:val="14"/>
          <w:szCs w:val="14"/>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37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6"/>
          <w:szCs w:val="16"/>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89" w:lineRule="exact"/>
        <w:rPr>
          <w:sz w:val="20"/>
          <w:szCs w:val="20"/>
          <w:color w:val="auto"/>
        </w:rPr>
      </w:pPr>
    </w:p>
    <w:p>
      <w:pPr>
        <w:ind w:right="20" w:firstLine="864"/>
        <w:spacing w:after="0" w:line="271"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93" w:lineRule="auto"/>
        <w:rPr>
          <w:sz w:val="20"/>
          <w:szCs w:val="20"/>
          <w:color w:val="auto"/>
        </w:rPr>
      </w:pPr>
      <w:r>
        <w:rPr>
          <w:rFonts w:ascii="Arial" w:cs="Arial" w:eastAsia="Arial" w:hAnsi="Arial"/>
          <w:sz w:val="15"/>
          <w:szCs w:val="15"/>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6" w:lineRule="exact"/>
        <w:rPr>
          <w:sz w:val="20"/>
          <w:szCs w:val="20"/>
          <w:color w:val="auto"/>
        </w:rPr>
      </w:pPr>
    </w:p>
    <w:p>
      <w:pPr>
        <w:ind w:right="440"/>
        <w:spacing w:after="0" w:line="328"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0" w:lineRule="exact"/>
        <w:rPr>
          <w:sz w:val="20"/>
          <w:szCs w:val="20"/>
          <w:color w:val="auto"/>
        </w:rPr>
      </w:pPr>
    </w:p>
    <w:p>
      <w:pPr>
        <w:ind w:right="80" w:firstLine="864"/>
        <w:spacing w:after="0" w:line="203" w:lineRule="exact"/>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4"/>
          <w:szCs w:val="14"/>
          <w:color w:val="auto"/>
        </w:rPr>
        <w:t>‑</w:t>
      </w:r>
      <w:r>
        <w:rPr>
          <w:rFonts w:ascii="Arial" w:cs="Arial" w:eastAsia="Arial" w:hAnsi="Arial"/>
          <w:sz w:val="14"/>
          <w:szCs w:val="14"/>
          <w:color w:val="auto"/>
        </w:rPr>
        <w:t>U.S. patent agencies for the patents and patent applications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1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2" w:lineRule="exact"/>
        <w:rPr>
          <w:sz w:val="20"/>
          <w:szCs w:val="20"/>
          <w:color w:val="auto"/>
        </w:rPr>
      </w:pPr>
    </w:p>
    <w:p>
      <w:pPr>
        <w:ind w:firstLine="864"/>
        <w:spacing w:after="0" w:line="286" w:lineRule="auto"/>
        <w:rPr>
          <w:sz w:val="20"/>
          <w:szCs w:val="20"/>
          <w:color w:val="auto"/>
        </w:rPr>
      </w:pPr>
      <w:r>
        <w:rPr>
          <w:rFonts w:ascii="Arial" w:cs="Arial" w:eastAsia="Arial" w:hAnsi="Arial"/>
          <w:sz w:val="15"/>
          <w:szCs w:val="15"/>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a third-party claims that we infringe their intellectual property rights, we could face a number of issues, including:</w:t>
      </w:r>
    </w:p>
    <w:p>
      <w:pPr>
        <w:spacing w:after="0" w:line="235" w:lineRule="exact"/>
        <w:rPr>
          <w:sz w:val="20"/>
          <w:szCs w:val="20"/>
          <w:color w:val="auto"/>
        </w:rPr>
      </w:pPr>
    </w:p>
    <w:p>
      <w:pPr>
        <w:ind w:left="880" w:right="640" w:hanging="440"/>
        <w:spacing w:after="0" w:line="293"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 license is available from a patent holder, we may have to pay substantial royalties or grant cross licenses to our patents;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redesigning our product candidates and processes so they do not infringe, which may not be possible or could require substantial funds and time.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Arial" w:cs="Arial" w:eastAsia="Arial" w:hAnsi="Arial"/>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258" w:lineRule="exact"/>
        <w:rPr>
          <w:sz w:val="20"/>
          <w:szCs w:val="20"/>
          <w:color w:val="auto"/>
        </w:rPr>
      </w:pPr>
    </w:p>
    <w:p>
      <w:pPr>
        <w:ind w:firstLine="864"/>
        <w:spacing w:after="0" w:line="288"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ind w:right="40" w:firstLine="864"/>
        <w:spacing w:after="0" w:line="273" w:lineRule="auto"/>
        <w:rPr>
          <w:sz w:val="20"/>
          <w:szCs w:val="20"/>
          <w:color w:val="auto"/>
        </w:rPr>
      </w:pPr>
      <w:r>
        <w:rPr>
          <w:rFonts w:ascii="Arial" w:cs="Arial" w:eastAsia="Arial" w:hAnsi="Arial"/>
          <w:sz w:val="16"/>
          <w:szCs w:val="16"/>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89" w:lineRule="exact"/>
        <w:rPr>
          <w:sz w:val="20"/>
          <w:szCs w:val="20"/>
          <w:color w:val="auto"/>
        </w:rPr>
      </w:pPr>
    </w:p>
    <w:p>
      <w:pPr>
        <w:ind w:right="220"/>
        <w:spacing w:after="0" w:line="328" w:lineRule="auto"/>
        <w:rPr>
          <w:sz w:val="20"/>
          <w:szCs w:val="20"/>
          <w:color w:val="auto"/>
        </w:rPr>
      </w:pPr>
      <w:r>
        <w:rPr>
          <w:rFonts w:ascii="Arial" w:cs="Arial" w:eastAsia="Arial" w:hAnsi="Arial"/>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50" w:lineRule="exact"/>
        <w:rPr>
          <w:sz w:val="20"/>
          <w:szCs w:val="20"/>
          <w:color w:val="auto"/>
        </w:rPr>
      </w:pPr>
    </w:p>
    <w:p>
      <w:pPr>
        <w:ind w:right="40" w:firstLine="864"/>
        <w:spacing w:after="0" w:line="289" w:lineRule="auto"/>
        <w:rPr>
          <w:sz w:val="20"/>
          <w:szCs w:val="20"/>
          <w:color w:val="auto"/>
        </w:rPr>
      </w:pPr>
      <w:r>
        <w:rPr>
          <w:rFonts w:ascii="Arial" w:cs="Arial" w:eastAsia="Arial" w:hAnsi="Arial"/>
          <w:sz w:val="15"/>
          <w:szCs w:val="15"/>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60" w:firstLine="864"/>
        <w:spacing w:after="0" w:line="303" w:lineRule="auto"/>
        <w:rPr>
          <w:sz w:val="20"/>
          <w:szCs w:val="20"/>
          <w:color w:val="auto"/>
        </w:rPr>
      </w:pPr>
      <w:r>
        <w:rPr>
          <w:rFonts w:ascii="Arial" w:cs="Arial" w:eastAsia="Arial" w:hAnsi="Arial"/>
          <w:sz w:val="14"/>
          <w:szCs w:val="14"/>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0"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5"/>
          <w:szCs w:val="15"/>
          <w:color w:val="auto"/>
        </w:rPr>
        <w:t>‑</w:t>
      </w:r>
      <w:r>
        <w:rPr>
          <w:rFonts w:ascii="Arial" w:cs="Arial" w:eastAsia="Arial" w:hAnsi="Arial"/>
          <w:sz w:val="15"/>
          <w:szCs w:val="15"/>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14"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2" w:lineRule="exact"/>
        <w:rPr>
          <w:sz w:val="20"/>
          <w:szCs w:val="20"/>
          <w:color w:val="auto"/>
        </w:rPr>
      </w:pPr>
    </w:p>
    <w:p>
      <w:pPr>
        <w:ind w:right="120" w:firstLine="864"/>
        <w:spacing w:after="0" w:line="324"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35"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rely on trade secrets to protect our proprietary technological advances and know</w:t>
      </w:r>
      <w:r>
        <w:rPr>
          <w:rFonts w:ascii="MS PGothic" w:cs="MS PGothic" w:eastAsia="MS PGothic" w:hAnsi="MS PGothic"/>
          <w:sz w:val="15"/>
          <w:szCs w:val="15"/>
          <w:color w:val="auto"/>
        </w:rPr>
        <w:t>‑</w:t>
      </w:r>
      <w:r>
        <w:rPr>
          <w:rFonts w:ascii="Arial" w:cs="Arial" w:eastAsia="Arial" w:hAnsi="Arial"/>
          <w:sz w:val="15"/>
          <w:szCs w:val="15"/>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5"/>
          <w:szCs w:val="15"/>
          <w:color w:val="auto"/>
        </w:rPr>
        <w:t>‑</w:t>
      </w:r>
      <w:r>
        <w:rPr>
          <w:rFonts w:ascii="Arial" w:cs="Arial" w:eastAsia="Arial" w:hAnsi="Arial"/>
          <w:sz w:val="15"/>
          <w:szCs w:val="15"/>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licensors may not be able to protect our intellectual property rights throughout the world.</w:t>
      </w:r>
    </w:p>
    <w:p>
      <w:pPr>
        <w:spacing w:after="0" w:line="235" w:lineRule="exact"/>
        <w:rPr>
          <w:sz w:val="20"/>
          <w:szCs w:val="20"/>
          <w:color w:val="auto"/>
        </w:rPr>
      </w:pPr>
    </w:p>
    <w:p>
      <w:pPr>
        <w:ind w:right="40" w:firstLine="864"/>
        <w:spacing w:after="0" w:line="313" w:lineRule="auto"/>
        <w:rPr>
          <w:sz w:val="20"/>
          <w:szCs w:val="20"/>
          <w:color w:val="auto"/>
        </w:rPr>
      </w:pPr>
      <w:r>
        <w:rPr>
          <w:rFonts w:ascii="Arial" w:cs="Arial" w:eastAsia="Arial" w:hAnsi="Arial"/>
          <w:sz w:val="14"/>
          <w:szCs w:val="14"/>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864"/>
        <w:spacing w:after="0" w:line="26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COMPLIANCE MATTERS</w:t>
      </w:r>
    </w:p>
    <w:p>
      <w:pPr>
        <w:spacing w:after="0" w:line="239"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26" w:lineRule="exact"/>
        <w:rPr>
          <w:sz w:val="20"/>
          <w:szCs w:val="20"/>
          <w:color w:val="auto"/>
        </w:rPr>
      </w:pPr>
    </w:p>
    <w:p>
      <w:pPr>
        <w:ind w:right="20" w:firstLine="864"/>
        <w:spacing w:after="0" w:line="203"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firstLine="864"/>
        <w:spacing w:after="0" w:line="315" w:lineRule="auto"/>
        <w:rPr>
          <w:sz w:val="20"/>
          <w:szCs w:val="20"/>
          <w:color w:val="auto"/>
        </w:rPr>
      </w:pPr>
      <w:r>
        <w:rPr>
          <w:rFonts w:ascii="Arial" w:cs="Arial" w:eastAsia="Arial" w:hAnsi="Arial"/>
          <w:sz w:val="14"/>
          <w:szCs w:val="14"/>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3" w:lineRule="exact"/>
        <w:rPr>
          <w:sz w:val="20"/>
          <w:szCs w:val="20"/>
          <w:color w:val="auto"/>
        </w:rPr>
      </w:pPr>
    </w:p>
    <w:p>
      <w:pPr>
        <w:ind w:right="60" w:firstLine="864"/>
        <w:spacing w:after="0" w:line="335" w:lineRule="auto"/>
        <w:rPr>
          <w:sz w:val="20"/>
          <w:szCs w:val="20"/>
          <w:color w:val="auto"/>
        </w:rPr>
      </w:pPr>
      <w:r>
        <w:rPr>
          <w:rFonts w:ascii="Arial" w:cs="Arial" w:eastAsia="Arial" w:hAnsi="Arial"/>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9" w:lineRule="exact"/>
        <w:rPr>
          <w:sz w:val="20"/>
          <w:szCs w:val="20"/>
          <w:color w:val="auto"/>
        </w:rPr>
      </w:pPr>
    </w:p>
    <w:p>
      <w:pPr>
        <w:ind w:right="560"/>
        <w:spacing w:after="0" w:line="205" w:lineRule="exact"/>
        <w:rPr>
          <w:sz w:val="20"/>
          <w:szCs w:val="20"/>
          <w:color w:val="auto"/>
        </w:rPr>
      </w:pPr>
      <w:r>
        <w:rPr>
          <w:rFonts w:ascii="Arial" w:cs="Arial" w:eastAsia="Arial" w:hAnsi="Arial"/>
          <w:sz w:val="15"/>
          <w:szCs w:val="15"/>
          <w:b w:val="1"/>
          <w:bCs w:val="1"/>
          <w:i w:val="1"/>
          <w:iCs w:val="1"/>
          <w:color w:val="auto"/>
        </w:rPr>
        <w:t>If the government or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term care facilities choose to use therapies that are less expensive, our revenue and prospects for profitability will be limited.</w:t>
      </w:r>
    </w:p>
    <w:p>
      <w:pPr>
        <w:spacing w:after="0" w:line="213" w:lineRule="exact"/>
        <w:rPr>
          <w:sz w:val="20"/>
          <w:szCs w:val="20"/>
          <w:color w:val="auto"/>
        </w:rPr>
      </w:pPr>
    </w:p>
    <w:p>
      <w:pPr>
        <w:ind w:firstLine="864"/>
        <w:spacing w:after="0" w:line="267" w:lineRule="auto"/>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4" w:lineRule="exact"/>
        <w:rPr>
          <w:sz w:val="20"/>
          <w:szCs w:val="20"/>
          <w:color w:val="auto"/>
        </w:rPr>
      </w:pPr>
    </w:p>
    <w:p>
      <w:pPr>
        <w:ind w:firstLine="864"/>
        <w:spacing w:after="0" w:line="284" w:lineRule="auto"/>
        <w:rPr>
          <w:sz w:val="20"/>
          <w:szCs w:val="20"/>
          <w:color w:val="auto"/>
        </w:rPr>
      </w:pPr>
      <w:r>
        <w:rPr>
          <w:rFonts w:ascii="Arial" w:cs="Arial" w:eastAsia="Arial" w:hAnsi="Arial"/>
          <w:sz w:val="15"/>
          <w:szCs w:val="15"/>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87" w:lineRule="exact"/>
        <w:rPr>
          <w:sz w:val="20"/>
          <w:szCs w:val="20"/>
          <w:color w:val="auto"/>
        </w:rPr>
      </w:pPr>
    </w:p>
    <w:p>
      <w:pPr>
        <w:ind w:right="40" w:firstLine="864"/>
        <w:spacing w:after="0" w:line="269"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firstLine="864"/>
        <w:spacing w:after="0" w:line="289" w:lineRule="auto"/>
        <w:rPr>
          <w:sz w:val="20"/>
          <w:szCs w:val="20"/>
          <w:color w:val="auto"/>
        </w:rPr>
      </w:pPr>
      <w:r>
        <w:rPr>
          <w:rFonts w:ascii="Arial" w:cs="Arial" w:eastAsia="Arial" w:hAnsi="Arial"/>
          <w:sz w:val="15"/>
          <w:szCs w:val="15"/>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 marketing studies in order to demonstrate the cost 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80" w:lineRule="exact"/>
        <w:rPr>
          <w:sz w:val="20"/>
          <w:szCs w:val="20"/>
          <w:color w:val="auto"/>
        </w:rPr>
      </w:pPr>
    </w:p>
    <w:p>
      <w:pPr>
        <w:ind w:right="100" w:firstLine="864"/>
        <w:spacing w:after="0" w:line="311" w:lineRule="auto"/>
        <w:rPr>
          <w:sz w:val="20"/>
          <w:szCs w:val="20"/>
          <w:color w:val="auto"/>
        </w:rPr>
      </w:pPr>
      <w:r>
        <w:rPr>
          <w:rFonts w:ascii="Arial" w:cs="Arial" w:eastAsia="Arial" w:hAnsi="Arial"/>
          <w:sz w:val="14"/>
          <w:szCs w:val="14"/>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67" w:lineRule="exact"/>
        <w:rPr>
          <w:sz w:val="20"/>
          <w:szCs w:val="20"/>
          <w:color w:val="auto"/>
        </w:rPr>
      </w:pPr>
    </w:p>
    <w:p>
      <w:pPr>
        <w:ind w:right="40" w:firstLine="864"/>
        <w:spacing w:after="0" w:line="269"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4" w:lineRule="exact"/>
        <w:rPr>
          <w:sz w:val="20"/>
          <w:szCs w:val="20"/>
          <w:color w:val="auto"/>
        </w:rPr>
      </w:pPr>
    </w:p>
    <w:p>
      <w:pPr>
        <w:ind w:firstLine="864"/>
        <w:spacing w:after="0" w:line="269"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4" w:lineRule="exact"/>
        <w:rPr>
          <w:sz w:val="20"/>
          <w:szCs w:val="20"/>
          <w:color w:val="auto"/>
        </w:rPr>
      </w:pPr>
    </w:p>
    <w:p>
      <w:pPr>
        <w:ind w:right="200" w:firstLine="864"/>
        <w:spacing w:after="0" w:line="291" w:lineRule="auto"/>
        <w:rPr>
          <w:sz w:val="20"/>
          <w:szCs w:val="20"/>
          <w:color w:val="auto"/>
        </w:rPr>
      </w:pPr>
      <w:r>
        <w:rPr>
          <w:rFonts w:ascii="Arial" w:cs="Arial" w:eastAsia="Arial" w:hAnsi="Arial"/>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2" w:lineRule="exact"/>
        <w:rPr>
          <w:sz w:val="20"/>
          <w:szCs w:val="20"/>
          <w:color w:val="auto"/>
        </w:rPr>
      </w:pPr>
    </w:p>
    <w:p>
      <w:pPr>
        <w:ind w:right="120" w:firstLine="864"/>
        <w:spacing w:after="0" w:line="204" w:lineRule="exact"/>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305" w:lineRule="auto"/>
        <w:rPr>
          <w:sz w:val="20"/>
          <w:szCs w:val="20"/>
          <w:color w:val="auto"/>
        </w:rPr>
      </w:pPr>
      <w:r>
        <w:rPr>
          <w:rFonts w:ascii="Arial" w:cs="Arial" w:eastAsia="Arial" w:hAnsi="Arial"/>
          <w:sz w:val="14"/>
          <w:szCs w:val="14"/>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and it is unclear what impact these various efforts have and will have on our business operations and resulting financial condition. For example, on December 15, 2019, a federal district court in Texas struck down the ACA in its entirety, finding that the Tax Cuts and Jobs Act of 2017, or TCJA, rendered the individual mandate unconstitutional. The judge further concluded in Texas v. Azar that since the individual mandate is “essential” to the ACA, it could not be severed from the rest of the ACA and therefore, the entire ACA was unconstitutional. Despite its decision, however, the court did not issue an injunction and therefore, immediate compliance is not required. Following appeal of the Fifth Circuit’s decision, the Supreme Court heard oral arguments in California v. Texas (formerly Texas v. Azar) on November 2, 2020. Thereafter, the Department of Justice under the new Biden Administration did submit a new amicus brief in February 2021 following the oral hearings asserting that they now believe the ACA is constitutional, and the mandate is severable from the rest of the ACA. In June 2021, the Supreme Court upheld the ACA. It is unclear how regulations and sub-regulatory policy, which fluctuate continually, may affect interpretation and further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 Furthermore, federal and state elections in 2020 have changed which persons and parties occupy the Office of the President of the United States and control both chambers of Congress and many states’ governors and legislatures. These changes will likely result in new agency priorities, rulemakings, and legislation. We anticipate that the new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381" w:lineRule="exact"/>
        <w:rPr>
          <w:sz w:val="20"/>
          <w:szCs w:val="20"/>
          <w:color w:val="auto"/>
        </w:rPr>
      </w:pPr>
    </w:p>
    <w:p>
      <w:pPr>
        <w:jc w:val="both"/>
        <w:ind w:right="80" w:firstLine="864"/>
        <w:spacing w:after="0" w:line="303" w:lineRule="auto"/>
        <w:rPr>
          <w:sz w:val="20"/>
          <w:szCs w:val="20"/>
          <w:color w:val="auto"/>
        </w:rPr>
      </w:pPr>
      <w:r>
        <w:rPr>
          <w:rFonts w:ascii="Arial" w:cs="Arial" w:eastAsia="Arial" w:hAnsi="Arial"/>
          <w:sz w:val="14"/>
          <w:szCs w:val="14"/>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7" w:lineRule="exact"/>
        <w:rPr>
          <w:sz w:val="20"/>
          <w:szCs w:val="20"/>
          <w:color w:val="auto"/>
        </w:rPr>
      </w:pPr>
    </w:p>
    <w:p>
      <w:pPr>
        <w:ind w:right="80" w:firstLine="864"/>
        <w:spacing w:after="0" w:line="324" w:lineRule="auto"/>
        <w:rPr>
          <w:sz w:val="20"/>
          <w:szCs w:val="20"/>
          <w:color w:val="auto"/>
        </w:rPr>
      </w:pPr>
      <w:r>
        <w:rPr>
          <w:rFonts w:ascii="Arial" w:cs="Arial" w:eastAsia="Arial" w:hAnsi="Arial"/>
          <w:sz w:val="14"/>
          <w:szCs w:val="14"/>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 marketing testing and other requirements.</w:t>
      </w:r>
    </w:p>
    <w:p>
      <w:pPr>
        <w:spacing w:after="0" w:line="157" w:lineRule="exact"/>
        <w:rPr>
          <w:sz w:val="20"/>
          <w:szCs w:val="20"/>
          <w:color w:val="auto"/>
        </w:rPr>
      </w:pPr>
    </w:p>
    <w:p>
      <w:pPr>
        <w:ind w:firstLine="864"/>
        <w:spacing w:after="0" w:line="310" w:lineRule="auto"/>
        <w:rPr>
          <w:sz w:val="20"/>
          <w:szCs w:val="20"/>
          <w:color w:val="auto"/>
        </w:rPr>
      </w:pPr>
      <w:r>
        <w:rPr>
          <w:rFonts w:ascii="Arial" w:cs="Arial" w:eastAsia="Arial" w:hAnsi="Arial"/>
          <w:sz w:val="14"/>
          <w:szCs w:val="14"/>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firstLine="864"/>
        <w:spacing w:after="0" w:line="278" w:lineRule="auto"/>
        <w:rPr>
          <w:sz w:val="20"/>
          <w:szCs w:val="20"/>
          <w:color w:val="auto"/>
        </w:rPr>
      </w:pPr>
      <w:r>
        <w:rPr>
          <w:rFonts w:ascii="Arial" w:cs="Arial" w:eastAsia="Arial" w:hAnsi="Arial"/>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35" w:lineRule="exact"/>
        <w:rPr>
          <w:sz w:val="20"/>
          <w:szCs w:val="20"/>
          <w:color w:val="auto"/>
        </w:rPr>
      </w:pPr>
    </w:p>
    <w:p>
      <w:pPr>
        <w:ind w:right="140" w:firstLine="864"/>
        <w:spacing w:after="0" w:line="203" w:lineRule="exact"/>
        <w:rPr>
          <w:sz w:val="20"/>
          <w:szCs w:val="20"/>
          <w:color w:val="auto"/>
        </w:rPr>
      </w:pPr>
      <w:r>
        <w:rPr>
          <w:rFonts w:ascii="Arial" w:cs="Arial" w:eastAsia="Arial" w:hAnsi="Arial"/>
          <w:sz w:val="14"/>
          <w:szCs w:val="14"/>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4"/>
          <w:szCs w:val="14"/>
          <w:color w:val="auto"/>
        </w:rPr>
        <w:t>‑</w:t>
      </w:r>
      <w:r>
        <w:rPr>
          <w:rFonts w:ascii="Arial" w:cs="Arial" w:eastAsia="Arial" w:hAnsi="Arial"/>
          <w:sz w:val="14"/>
          <w:szCs w:val="14"/>
          <w:color w:val="auto"/>
        </w:rPr>
        <w:t>effectiveness of our product candidate to other available therapies. There can be no assurance that our products will be considered cost</w:t>
      </w:r>
      <w:r>
        <w:rPr>
          <w:rFonts w:ascii="MS PGothic" w:cs="MS PGothic" w:eastAsia="MS PGothic" w:hAnsi="MS PGothic"/>
          <w:sz w:val="14"/>
          <w:szCs w:val="14"/>
          <w:color w:val="auto"/>
        </w:rPr>
        <w:t>‑</w:t>
      </w:r>
      <w:r>
        <w:rPr>
          <w:rFonts w:ascii="Arial" w:cs="Arial" w:eastAsia="Arial" w:hAnsi="Arial"/>
          <w:sz w:val="14"/>
          <w:szCs w:val="14"/>
          <w:color w:val="auto"/>
        </w:rPr>
        <w:t>effective by third</w:t>
      </w:r>
      <w:r>
        <w:rPr>
          <w:rFonts w:ascii="MS PGothic" w:cs="MS PGothic" w:eastAsia="MS PGothic" w:hAnsi="MS PGothic"/>
          <w:sz w:val="14"/>
          <w:szCs w:val="14"/>
          <w:color w:val="auto"/>
        </w:rPr>
        <w:t>‑</w:t>
      </w:r>
      <w:r>
        <w:rPr>
          <w:rFonts w:ascii="Arial" w:cs="Arial" w:eastAsia="Arial" w:hAnsi="Arial"/>
          <w:sz w:val="14"/>
          <w:szCs w:val="14"/>
          <w:color w:val="auto"/>
        </w:rPr>
        <w:t>party payors, that an adequate level of reimbursement will be available, or that the third</w:t>
      </w:r>
      <w:r>
        <w:rPr>
          <w:rFonts w:ascii="MS PGothic" w:cs="MS PGothic" w:eastAsia="MS PGothic" w:hAnsi="MS PGothic"/>
          <w:sz w:val="14"/>
          <w:szCs w:val="14"/>
          <w:color w:val="auto"/>
        </w:rPr>
        <w:t>‑</w:t>
      </w:r>
      <w:r>
        <w:rPr>
          <w:rFonts w:ascii="Arial" w:cs="Arial" w:eastAsia="Arial" w:hAnsi="Arial"/>
          <w:sz w:val="14"/>
          <w:szCs w:val="14"/>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15"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0" w:lineRule="exact"/>
        <w:rPr>
          <w:sz w:val="20"/>
          <w:szCs w:val="20"/>
          <w:color w:val="auto"/>
        </w:rPr>
      </w:pPr>
    </w:p>
    <w:p>
      <w:pPr>
        <w:ind w:firstLine="864"/>
        <w:spacing w:after="0" w:line="309" w:lineRule="auto"/>
        <w:rPr>
          <w:sz w:val="20"/>
          <w:szCs w:val="20"/>
          <w:color w:val="auto"/>
        </w:rPr>
      </w:pPr>
      <w:r>
        <w:rPr>
          <w:rFonts w:ascii="Arial" w:cs="Arial" w:eastAsia="Arial" w:hAnsi="Arial"/>
          <w:sz w:val="14"/>
          <w:szCs w:val="14"/>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8" w:lineRule="exact"/>
        <w:rPr>
          <w:sz w:val="20"/>
          <w:szCs w:val="20"/>
          <w:color w:val="auto"/>
        </w:rPr>
      </w:pPr>
    </w:p>
    <w:p>
      <w:pPr>
        <w:ind w:right="420"/>
        <w:spacing w:after="0" w:line="204" w:lineRule="exact"/>
        <w:rPr>
          <w:sz w:val="20"/>
          <w:szCs w:val="20"/>
          <w:color w:val="auto"/>
        </w:rPr>
      </w:pPr>
      <w:r>
        <w:rPr>
          <w:rFonts w:ascii="Arial" w:cs="Arial" w:eastAsia="Arial" w:hAnsi="Arial"/>
          <w:sz w:val="16"/>
          <w:szCs w:val="16"/>
          <w:b w:val="1"/>
          <w:bCs w:val="1"/>
          <w:i w:val="1"/>
          <w:iCs w:val="1"/>
          <w:color w:val="auto"/>
        </w:rPr>
        <w:t>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13" w:lineRule="exact"/>
        <w:rPr>
          <w:sz w:val="20"/>
          <w:szCs w:val="20"/>
          <w:color w:val="auto"/>
        </w:rPr>
      </w:pPr>
    </w:p>
    <w:p>
      <w:pPr>
        <w:ind w:right="60" w:firstLine="864"/>
        <w:spacing w:after="0" w:line="203" w:lineRule="exact"/>
        <w:rPr>
          <w:sz w:val="20"/>
          <w:szCs w:val="20"/>
          <w:color w:val="auto"/>
        </w:rPr>
      </w:pPr>
      <w:r>
        <w:rPr>
          <w:rFonts w:ascii="Arial" w:cs="Arial" w:eastAsia="Arial" w:hAnsi="Arial"/>
          <w:sz w:val="14"/>
          <w:szCs w:val="14"/>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15" w:lineRule="exact"/>
        <w:rPr>
          <w:sz w:val="20"/>
          <w:szCs w:val="20"/>
          <w:color w:val="auto"/>
        </w:rPr>
      </w:pPr>
    </w:p>
    <w:p>
      <w:pPr>
        <w:jc w:val="both"/>
        <w:ind w:right="140" w:firstLine="864"/>
        <w:spacing w:after="0" w:line="305"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ind w:right="40" w:firstLine="864"/>
        <w:spacing w:after="0" w:line="27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35"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5"/>
          <w:szCs w:val="15"/>
          <w:color w:val="auto"/>
        </w:rPr>
        <w:t>As of August 2, 2021, we had 93 full</w:t>
      </w:r>
      <w:r>
        <w:rPr>
          <w:rFonts w:ascii="MS PGothic" w:cs="MS PGothic" w:eastAsia="MS PGothic" w:hAnsi="MS PGothic"/>
          <w:sz w:val="15"/>
          <w:szCs w:val="15"/>
          <w:color w:val="auto"/>
        </w:rPr>
        <w:t>‑</w:t>
      </w:r>
      <w:r>
        <w:rPr>
          <w:rFonts w:ascii="Arial" w:cs="Arial" w:eastAsia="Arial" w:hAnsi="Arial"/>
          <w:sz w:val="15"/>
          <w:szCs w:val="15"/>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15" w:lineRule="exact"/>
        <w:rPr>
          <w:sz w:val="20"/>
          <w:szCs w:val="20"/>
          <w:color w:val="auto"/>
        </w:rPr>
      </w:pPr>
    </w:p>
    <w:p>
      <w:pPr>
        <w:ind w:left="880" w:right="180" w:hanging="440"/>
        <w:spacing w:after="0" w:line="293"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71" w:lineRule="exact"/>
        <w:rPr>
          <w:rFonts w:ascii="Arial" w:cs="Arial" w:eastAsia="Arial" w:hAnsi="Arial"/>
          <w:sz w:val="16"/>
          <w:szCs w:val="16"/>
          <w:color w:val="auto"/>
        </w:rPr>
      </w:pPr>
    </w:p>
    <w:p>
      <w:pPr>
        <w:ind w:left="880" w:right="360" w:hanging="440"/>
        <w:spacing w:after="0" w:line="293"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ensure that our consultants and other service providers successfully carry out their contractual obligations, provide high quality results, and meet expected deadlines;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to carry out our own contractual obligations to our licensors and other third parties;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may be unable to successfully implement these tasks on a larger scale and, accordingly, may not achieve our development and commercialization goals.</w:t>
      </w:r>
    </w:p>
    <w:p>
      <w:pPr>
        <w:spacing w:after="0" w:line="25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firstLine="864"/>
        <w:spacing w:after="0" w:line="291" w:lineRule="auto"/>
        <w:rPr>
          <w:sz w:val="20"/>
          <w:szCs w:val="20"/>
          <w:color w:val="auto"/>
        </w:rPr>
      </w:pPr>
      <w:r>
        <w:rPr>
          <w:rFonts w:ascii="Arial" w:cs="Arial" w:eastAsia="Arial" w:hAnsi="Arial"/>
          <w:sz w:val="15"/>
          <w:szCs w:val="15"/>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6" w:lineRule="exact"/>
        <w:rPr>
          <w:sz w:val="20"/>
          <w:szCs w:val="20"/>
          <w:color w:val="auto"/>
        </w:rPr>
      </w:pPr>
    </w:p>
    <w:p>
      <w:pPr>
        <w:ind w:right="20" w:firstLine="864"/>
        <w:spacing w:after="0" w:line="293"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manage our business effectively if we are unable to attract and retain key personnel.</w:t>
      </w:r>
    </w:p>
    <w:p>
      <w:pPr>
        <w:spacing w:after="0" w:line="235" w:lineRule="exact"/>
        <w:rPr>
          <w:sz w:val="20"/>
          <w:szCs w:val="20"/>
          <w:color w:val="auto"/>
        </w:rPr>
      </w:pPr>
    </w:p>
    <w:p>
      <w:pPr>
        <w:ind w:right="60" w:firstLine="864"/>
        <w:spacing w:after="0" w:line="273" w:lineRule="auto"/>
        <w:rPr>
          <w:sz w:val="20"/>
          <w:szCs w:val="20"/>
          <w:color w:val="auto"/>
        </w:rPr>
      </w:pPr>
      <w:r>
        <w:rPr>
          <w:rFonts w:ascii="Arial" w:cs="Arial" w:eastAsia="Arial" w:hAnsi="Arial"/>
          <w:sz w:val="16"/>
          <w:szCs w:val="16"/>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0" w:firstLine="864"/>
        <w:spacing w:after="0" w:line="313" w:lineRule="auto"/>
        <w:rPr>
          <w:sz w:val="20"/>
          <w:szCs w:val="20"/>
          <w:color w:val="auto"/>
        </w:rPr>
      </w:pPr>
      <w:r>
        <w:rPr>
          <w:rFonts w:ascii="Arial" w:cs="Arial" w:eastAsia="Arial" w:hAnsi="Arial"/>
          <w:sz w:val="14"/>
          <w:szCs w:val="14"/>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jc w:val="both"/>
        <w:ind w:right="420"/>
        <w:spacing w:after="0" w:line="335"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securities. Further, we continue to incur significant increased costs as a result of operating as a public company, and our management is required to devote substantial time to compliance initiatives.</w:t>
      </w:r>
    </w:p>
    <w:p>
      <w:pPr>
        <w:spacing w:after="0" w:line="149" w:lineRule="exact"/>
        <w:rPr>
          <w:sz w:val="20"/>
          <w:szCs w:val="20"/>
          <w:color w:val="auto"/>
        </w:rPr>
      </w:pPr>
    </w:p>
    <w:p>
      <w:pPr>
        <w:ind w:right="240" w:firstLine="864"/>
        <w:spacing w:after="0" w:line="293" w:lineRule="auto"/>
        <w:rPr>
          <w:sz w:val="20"/>
          <w:szCs w:val="20"/>
          <w:color w:val="auto"/>
        </w:rPr>
      </w:pPr>
      <w:r>
        <w:rPr>
          <w:rFonts w:ascii="Arial" w:cs="Arial" w:eastAsia="Arial" w:hAnsi="Arial"/>
          <w:sz w:val="15"/>
          <w:szCs w:val="15"/>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76"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8" w:lineRule="exact"/>
        <w:rPr>
          <w:sz w:val="20"/>
          <w:szCs w:val="20"/>
          <w:color w:val="auto"/>
        </w:rPr>
      </w:pPr>
    </w:p>
    <w:p>
      <w:pPr>
        <w:ind w:firstLine="864"/>
        <w:spacing w:after="0" w:line="288"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0" w:lineRule="exact"/>
        <w:rPr>
          <w:sz w:val="20"/>
          <w:szCs w:val="20"/>
          <w:color w:val="auto"/>
        </w:rPr>
      </w:pPr>
    </w:p>
    <w:p>
      <w:pPr>
        <w:ind w:right="100" w:firstLine="864"/>
        <w:spacing w:after="0" w:line="318" w:lineRule="auto"/>
        <w:rPr>
          <w:sz w:val="20"/>
          <w:szCs w:val="20"/>
          <w:color w:val="auto"/>
        </w:rPr>
      </w:pPr>
      <w:r>
        <w:rPr>
          <w:rFonts w:ascii="Arial" w:cs="Arial" w:eastAsia="Arial" w:hAnsi="Arial"/>
          <w:sz w:val="14"/>
          <w:szCs w:val="14"/>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90" w:lineRule="exact"/>
        <w:rPr>
          <w:sz w:val="20"/>
          <w:szCs w:val="20"/>
          <w:color w:val="auto"/>
        </w:rPr>
      </w:pPr>
    </w:p>
    <w:p>
      <w:pPr>
        <w:ind w:firstLine="864"/>
        <w:spacing w:after="0" w:line="267" w:lineRule="auto"/>
        <w:rPr>
          <w:sz w:val="20"/>
          <w:szCs w:val="20"/>
          <w:color w:val="auto"/>
        </w:rPr>
      </w:pPr>
      <w:r>
        <w:rPr>
          <w:rFonts w:ascii="Arial" w:cs="Arial" w:eastAsia="Arial" w:hAnsi="Arial"/>
          <w:sz w:val="16"/>
          <w:szCs w:val="16"/>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96" w:lineRule="exact"/>
        <w:rPr>
          <w:sz w:val="20"/>
          <w:szCs w:val="20"/>
          <w:color w:val="auto"/>
        </w:rPr>
      </w:pPr>
    </w:p>
    <w:p>
      <w:pPr>
        <w:ind w:right="380" w:firstLine="864"/>
        <w:spacing w:after="0" w:line="273"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w:t>
      </w:r>
    </w:p>
    <w:p>
      <w:pPr>
        <w:spacing w:after="0" w:line="235"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firstLine="864"/>
        <w:spacing w:after="0" w:line="285" w:lineRule="auto"/>
        <w:rPr>
          <w:sz w:val="20"/>
          <w:szCs w:val="20"/>
          <w:color w:val="auto"/>
        </w:rPr>
      </w:pPr>
      <w:r>
        <w:rPr>
          <w:rFonts w:ascii="Arial" w:cs="Arial" w:eastAsia="Arial" w:hAnsi="Arial"/>
          <w:sz w:val="15"/>
          <w:szCs w:val="15"/>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8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right="20" w:firstLine="864"/>
        <w:spacing w:after="0" w:line="268"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235" w:lineRule="exact"/>
        <w:rPr>
          <w:sz w:val="20"/>
          <w:szCs w:val="20"/>
          <w:color w:val="auto"/>
        </w:rPr>
      </w:pPr>
    </w:p>
    <w:p>
      <w:pPr>
        <w:ind w:right="120" w:firstLine="864"/>
        <w:spacing w:after="0" w:line="293" w:lineRule="auto"/>
        <w:rPr>
          <w:sz w:val="20"/>
          <w:szCs w:val="20"/>
          <w:color w:val="auto"/>
        </w:rPr>
      </w:pPr>
      <w:r>
        <w:rPr>
          <w:rFonts w:ascii="Arial" w:cs="Arial" w:eastAsia="Arial" w:hAnsi="Arial"/>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w:t>
      </w:r>
    </w:p>
    <w:p>
      <w:pPr>
        <w:spacing w:after="0" w:line="235" w:lineRule="exact"/>
        <w:rPr>
          <w:sz w:val="20"/>
          <w:szCs w:val="20"/>
          <w:color w:val="auto"/>
        </w:rPr>
      </w:pPr>
    </w:p>
    <w:p>
      <w:pPr>
        <w:ind w:right="60" w:firstLine="864"/>
        <w:spacing w:after="0" w:line="273" w:lineRule="auto"/>
        <w:rPr>
          <w:sz w:val="20"/>
          <w:szCs w:val="20"/>
          <w:color w:val="auto"/>
        </w:rPr>
      </w:pPr>
      <w:r>
        <w:rPr>
          <w:rFonts w:ascii="Arial" w:cs="Arial" w:eastAsia="Arial" w:hAnsi="Arial"/>
          <w:sz w:val="16"/>
          <w:szCs w:val="16"/>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 2020 and already during the first half of 2021,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9"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delays in the commencement, enrollment, and ultimate completion, of our planned and ongoing Phase 3 clinical trials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delay or refusal on the part of the FDA in approving an NDA for any of our current and future product candidates;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commercial success of any of our current and future product candidates, if approved by the FDA;</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ours;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news relating to our industry as a whole and news relating to trends in our markets;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results of clinical trials of any of our current and future product candidates or those of our competitors;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actual or anticipated variations in quarterly or annual operating results;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meet or exceed financial projections we provide to the public, if any;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introduction of competitive products or technologies;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U.S. equity markets;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data or security breaches;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developments concerning our sources of manufacturing supply, warehousing, and inventory control;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disputes or other developments relating to patents or other proprietary rights;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capital commitments;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investors’ general perception of our company and our business;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and expectations of additional financing efforts, including the issuance of debt, equity or convertible securities;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sales of our common stock, including sales by our directors and officers or significant stockholders;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the market valuations of companies similar to us;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or divestitures;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conditions or trends in our industry;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262"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firstLine="864"/>
        <w:spacing w:after="0" w:line="278"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8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2" w:lineRule="exact"/>
        <w:rPr>
          <w:sz w:val="20"/>
          <w:szCs w:val="20"/>
          <w:color w:val="auto"/>
        </w:rPr>
      </w:pPr>
    </w:p>
    <w:p>
      <w:pPr>
        <w:ind w:right="20" w:firstLine="864"/>
        <w:spacing w:after="0" w:line="27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may fluctuate significantly.</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expect our operating results to be subject to quarterly fluctuations. Our net loss and other operating results will be affected by numerous factors, including:</w:t>
      </w:r>
    </w:p>
    <w:p>
      <w:pPr>
        <w:spacing w:after="0" w:line="258" w:lineRule="exact"/>
        <w:rPr>
          <w:sz w:val="20"/>
          <w:szCs w:val="20"/>
          <w:color w:val="auto"/>
        </w:rPr>
      </w:pPr>
    </w:p>
    <w:p>
      <w:pPr>
        <w:ind w:left="880" w:right="320" w:hanging="440"/>
        <w:spacing w:after="0" w:line="293"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71" w:lineRule="exact"/>
        <w:rPr>
          <w:rFonts w:ascii="Arial" w:cs="Arial" w:eastAsia="Arial" w:hAnsi="Arial"/>
          <w:sz w:val="16"/>
          <w:szCs w:val="16"/>
          <w:color w:val="auto"/>
        </w:rPr>
      </w:pPr>
    </w:p>
    <w:p>
      <w:pPr>
        <w:ind w:left="880" w:right="80" w:hanging="440"/>
        <w:spacing w:after="0" w:line="278"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84" w:lineRule="exact"/>
        <w:rPr>
          <w:rFonts w:ascii="Arial" w:cs="Arial" w:eastAsia="Arial" w:hAnsi="Arial"/>
          <w:sz w:val="16"/>
          <w:szCs w:val="16"/>
          <w:color w:val="auto"/>
        </w:rPr>
      </w:pPr>
    </w:p>
    <w:p>
      <w:pPr>
        <w:ind w:left="880" w:right="500" w:hanging="440"/>
        <w:spacing w:after="0" w:line="204" w:lineRule="exact"/>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identify and enter into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arrangements capable of manufacturing any of our current or future product candidates in commercial quantities;</w:t>
      </w:r>
    </w:p>
    <w:p>
      <w:pPr>
        <w:spacing w:after="0" w:line="213" w:lineRule="exact"/>
        <w:rPr>
          <w:rFonts w:ascii="Arial" w:cs="Arial" w:eastAsia="Arial" w:hAnsi="Arial"/>
          <w:sz w:val="16"/>
          <w:szCs w:val="16"/>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273"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variations in the level of expenses related to our future development programs;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product liability or intellectual property infringement lawsuit in which we may become involved;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regulatory developments affecting our current and future product candidates, or the product candidates of our competitors; and</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any of our current or future product candidates receive regulatory approval, the level of underlying demand for such product candidate and wholesaler buying patterns.</w:t>
      </w:r>
    </w:p>
    <w:p>
      <w:pPr>
        <w:spacing w:after="0" w:line="172" w:lineRule="exact"/>
        <w:rPr>
          <w:sz w:val="20"/>
          <w:szCs w:val="20"/>
          <w:color w:val="auto"/>
        </w:rPr>
      </w:pPr>
    </w:p>
    <w:p>
      <w:pPr>
        <w:ind w:right="220" w:firstLine="864"/>
        <w:spacing w:after="0" w:line="305"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2" w:lineRule="exact"/>
        <w:rPr>
          <w:sz w:val="20"/>
          <w:szCs w:val="20"/>
          <w:color w:val="auto"/>
        </w:rPr>
      </w:pPr>
    </w:p>
    <w:p>
      <w:pPr>
        <w:ind w:right="80" w:firstLine="864"/>
        <w:spacing w:after="0" w:line="293"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firstLine="864"/>
        <w:spacing w:after="0" w:line="315"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172" w:lineRule="exact"/>
        <w:rPr>
          <w:sz w:val="20"/>
          <w:szCs w:val="20"/>
          <w:color w:val="auto"/>
        </w:rPr>
      </w:pPr>
    </w:p>
    <w:p>
      <w:pPr>
        <w:ind w:right="60" w:firstLine="864"/>
        <w:spacing w:after="0" w:line="271" w:lineRule="auto"/>
        <w:rPr>
          <w:sz w:val="20"/>
          <w:szCs w:val="20"/>
          <w:color w:val="auto"/>
        </w:rPr>
      </w:pPr>
      <w:r>
        <w:rPr>
          <w:rFonts w:ascii="Arial" w:cs="Arial" w:eastAsia="Arial" w:hAnsi="Arial"/>
          <w:sz w:val="16"/>
          <w:szCs w:val="16"/>
          <w:color w:val="auto"/>
        </w:rPr>
        <w:t>As of August 2, 2021,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0" w:lineRule="exact"/>
        <w:rPr>
          <w:sz w:val="20"/>
          <w:szCs w:val="20"/>
          <w:color w:val="auto"/>
        </w:rPr>
      </w:pPr>
    </w:p>
    <w:p>
      <w:pPr>
        <w:ind w:right="80" w:firstLine="864"/>
        <w:spacing w:after="0" w:line="291" w:lineRule="auto"/>
        <w:rPr>
          <w:sz w:val="20"/>
          <w:szCs w:val="20"/>
          <w:color w:val="auto"/>
        </w:rPr>
      </w:pPr>
      <w:r>
        <w:rPr>
          <w:rFonts w:ascii="Arial" w:cs="Arial" w:eastAsia="Arial" w:hAnsi="Arial"/>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35" w:lineRule="exact"/>
        <w:rPr>
          <w:sz w:val="20"/>
          <w:szCs w:val="20"/>
          <w:color w:val="auto"/>
        </w:rPr>
      </w:pPr>
    </w:p>
    <w:p>
      <w:pPr>
        <w:jc w:val="both"/>
        <w:ind w:right="40" w:firstLine="864"/>
        <w:spacing w:after="0" w:line="278"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4" w:lineRule="exact"/>
        <w:rPr>
          <w:sz w:val="20"/>
          <w:szCs w:val="20"/>
          <w:color w:val="auto"/>
        </w:rPr>
      </w:pPr>
    </w:p>
    <w:p>
      <w:pPr>
        <w:ind w:right="20" w:firstLine="864"/>
        <w:spacing w:after="0" w:line="271" w:lineRule="auto"/>
        <w:rPr>
          <w:sz w:val="20"/>
          <w:szCs w:val="20"/>
          <w:color w:val="auto"/>
        </w:rPr>
      </w:pPr>
      <w:r>
        <w:rPr>
          <w:rFonts w:ascii="Arial" w:cs="Arial" w:eastAsia="Arial" w:hAnsi="Arial"/>
          <w:sz w:val="16"/>
          <w:szCs w:val="16"/>
          <w:color w:val="auto"/>
        </w:rPr>
        <w:t>As of August 2, 2021, we have outstanding 37,681,948 shares of common stock and 5,020,267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29,693,124 are freely tradable. The remainder of the outstanding shares of common stock are held by our affiliates and may be considered “control securities” for purposes of Rule 144 under the Securities Act.</w:t>
      </w:r>
    </w:p>
    <w:p>
      <w:pPr>
        <w:spacing w:after="0" w:line="190" w:lineRule="exact"/>
        <w:rPr>
          <w:sz w:val="20"/>
          <w:szCs w:val="20"/>
          <w:color w:val="auto"/>
        </w:rPr>
      </w:pPr>
    </w:p>
    <w:p>
      <w:pPr>
        <w:ind w:right="40" w:firstLine="864"/>
        <w:spacing w:after="0" w:line="204" w:lineRule="exact"/>
        <w:rPr>
          <w:sz w:val="20"/>
          <w:szCs w:val="20"/>
          <w:color w:val="auto"/>
        </w:rPr>
      </w:pPr>
      <w:r>
        <w:rPr>
          <w:rFonts w:ascii="Arial" w:cs="Arial" w:eastAsia="Arial" w:hAnsi="Arial"/>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registering the issuance of an aggregate of 10,453,341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Arial" w:cs="Arial" w:eastAsia="Arial" w:hAnsi="Arial"/>
          <w:sz w:val="16"/>
          <w:szCs w:val="16"/>
          <w:color w:val="auto"/>
        </w:rPr>
        <w:t>up agreements described above and the restrictions of Rule 144 in the case of our affiliates.</w:t>
      </w:r>
    </w:p>
    <w:p>
      <w:pPr>
        <w:spacing w:after="0" w:line="2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72" w:lineRule="exact"/>
        <w:rPr>
          <w:sz w:val="20"/>
          <w:szCs w:val="20"/>
          <w:color w:val="auto"/>
        </w:rPr>
      </w:pPr>
    </w:p>
    <w:p>
      <w:pPr>
        <w:ind w:firstLine="864"/>
        <w:spacing w:after="0" w:line="310" w:lineRule="auto"/>
        <w:rPr>
          <w:sz w:val="20"/>
          <w:szCs w:val="20"/>
          <w:color w:val="auto"/>
        </w:rPr>
      </w:pPr>
      <w:r>
        <w:rPr>
          <w:rFonts w:ascii="Arial" w:cs="Arial" w:eastAsia="Arial" w:hAnsi="Arial"/>
          <w:sz w:val="14"/>
          <w:szCs w:val="14"/>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5" w:lineRule="exact"/>
        <w:rPr>
          <w:sz w:val="20"/>
          <w:szCs w:val="20"/>
          <w:color w:val="auto"/>
        </w:rPr>
      </w:pPr>
    </w:p>
    <w:p>
      <w:pPr>
        <w:ind w:right="60" w:firstLine="864"/>
        <w:spacing w:after="0" w:line="285" w:lineRule="auto"/>
        <w:rPr>
          <w:sz w:val="20"/>
          <w:szCs w:val="20"/>
          <w:color w:val="auto"/>
        </w:rPr>
      </w:pPr>
      <w:r>
        <w:rPr>
          <w:rFonts w:ascii="Arial" w:cs="Arial" w:eastAsia="Arial" w:hAnsi="Arial"/>
          <w:sz w:val="15"/>
          <w:szCs w:val="15"/>
          <w:color w:val="auto"/>
        </w:rPr>
        <w:t>Our net operating loss carryforwards and any future research and development tax credits may expire and not be used. As of December 31, 2020, we had U.S. federal net operating loss, NOL, carryforwards of approximately $249 million. Net operating loss carry forwards amounting to $60 million generated before the 2018 tax year will start expiring beginning 2032, if we have not used them prior to that time, and the net operating losses of approximately $189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3" w:lineRule="exact"/>
        <w:rPr>
          <w:sz w:val="20"/>
          <w:szCs w:val="20"/>
          <w:color w:val="auto"/>
        </w:rPr>
      </w:pPr>
    </w:p>
    <w:p>
      <w:pPr>
        <w:ind w:right="40" w:firstLine="864"/>
        <w:spacing w:after="0" w:line="289" w:lineRule="auto"/>
        <w:rPr>
          <w:sz w:val="20"/>
          <w:szCs w:val="20"/>
          <w:color w:val="auto"/>
        </w:rPr>
      </w:pPr>
      <w:r>
        <w:rPr>
          <w:rFonts w:ascii="Arial" w:cs="Arial" w:eastAsia="Arial" w:hAnsi="Arial"/>
          <w:sz w:val="15"/>
          <w:szCs w:val="15"/>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246" w:lineRule="exact"/>
        <w:rPr>
          <w:sz w:val="20"/>
          <w:szCs w:val="20"/>
          <w:color w:val="auto"/>
        </w:rPr>
      </w:pPr>
    </w:p>
    <w:p>
      <w:pPr>
        <w:ind w:right="100" w:firstLine="864"/>
        <w:spacing w:after="0" w:line="297" w:lineRule="auto"/>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2" w:lineRule="exact"/>
        <w:rPr>
          <w:sz w:val="20"/>
          <w:szCs w:val="20"/>
          <w:color w:val="auto"/>
        </w:rPr>
      </w:pPr>
    </w:p>
    <w:p>
      <w:pPr>
        <w:ind w:right="40" w:firstLine="864"/>
        <w:spacing w:after="0" w:line="291" w:lineRule="auto"/>
        <w:rPr>
          <w:sz w:val="20"/>
          <w:szCs w:val="20"/>
          <w:color w:val="auto"/>
        </w:rPr>
      </w:pPr>
      <w:r>
        <w:rPr>
          <w:rFonts w:ascii="Arial" w:cs="Arial" w:eastAsia="Arial" w:hAnsi="Arial"/>
          <w:sz w:val="15"/>
          <w:szCs w:val="15"/>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6" w:lineRule="exact"/>
        <w:rPr>
          <w:sz w:val="20"/>
          <w:szCs w:val="20"/>
          <w:color w:val="auto"/>
        </w:rPr>
      </w:pPr>
    </w:p>
    <w:p>
      <w:pPr>
        <w:ind w:firstLine="864"/>
        <w:spacing w:after="0" w:line="20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90" w:lineRule="exact"/>
        <w:rPr>
          <w:sz w:val="20"/>
          <w:szCs w:val="20"/>
          <w:color w:val="auto"/>
        </w:rPr>
      </w:pPr>
    </w:p>
    <w:p>
      <w:pPr>
        <w:ind w:firstLine="864"/>
        <w:spacing w:after="0" w:line="308"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1" w:lineRule="exact"/>
        <w:rPr>
          <w:sz w:val="20"/>
          <w:szCs w:val="20"/>
          <w:color w:val="auto"/>
        </w:rPr>
      </w:pPr>
    </w:p>
    <w:p>
      <w:pPr>
        <w:ind w:firstLine="777"/>
        <w:spacing w:after="0" w:line="273" w:lineRule="auto"/>
        <w:rPr>
          <w:sz w:val="20"/>
          <w:szCs w:val="20"/>
          <w:color w:val="auto"/>
        </w:rPr>
      </w:pPr>
      <w:r>
        <w:rPr>
          <w:rFonts w:ascii="Arial" w:cs="Arial" w:eastAsia="Arial" w:hAnsi="Arial"/>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40" w:type="dxa"/>
            <w:vAlign w:val="bottom"/>
            <w:gridSpan w:val="5"/>
          </w:tcPr>
          <w:p>
            <w:pPr>
              <w:ind w:left="3020"/>
              <w:spacing w:after="0"/>
              <w:rPr>
                <w:sz w:val="20"/>
                <w:szCs w:val="20"/>
                <w:color w:val="auto"/>
              </w:rPr>
            </w:pPr>
            <w:r>
              <w:rPr>
                <w:rFonts w:ascii="Arial" w:cs="Arial" w:eastAsia="Arial" w:hAnsi="Arial"/>
                <w:sz w:val="16"/>
                <w:szCs w:val="16"/>
                <w:b w:val="1"/>
                <w:bCs w:val="1"/>
                <w:color w:val="auto"/>
              </w:rPr>
              <w:t>INDEX OF EXHIBITS</w:t>
            </w:r>
          </w:p>
        </w:tc>
      </w:tr>
      <w:tr>
        <w:trPr>
          <w:trHeight w:val="366"/>
        </w:trPr>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Exhibit</w:t>
            </w:r>
          </w:p>
        </w:tc>
        <w:tc>
          <w:tcPr>
            <w:tcW w:w="66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w:t>
            </w:r>
          </w:p>
        </w:tc>
        <w:tc>
          <w:tcPr>
            <w:tcW w:w="660" w:type="dxa"/>
            <w:vAlign w:val="bottom"/>
          </w:tcPr>
          <w:p>
            <w:pPr>
              <w:spacing w:after="0"/>
              <w:rPr>
                <w:sz w:val="13"/>
                <w:szCs w:val="13"/>
                <w:color w:val="auto"/>
              </w:rPr>
            </w:pPr>
          </w:p>
        </w:tc>
        <w:tc>
          <w:tcPr>
            <w:tcW w:w="9440" w:type="dxa"/>
            <w:vAlign w:val="bottom"/>
            <w:gridSpan w:val="5"/>
          </w:tcPr>
          <w:p>
            <w:pPr>
              <w:ind w:left="4080"/>
              <w:spacing w:after="0"/>
              <w:rPr>
                <w:sz w:val="20"/>
                <w:szCs w:val="20"/>
                <w:color w:val="auto"/>
              </w:rPr>
            </w:pPr>
            <w:r>
              <w:rPr>
                <w:rFonts w:ascii="Arial" w:cs="Arial" w:eastAsia="Arial" w:hAnsi="Arial"/>
                <w:sz w:val="13"/>
                <w:szCs w:val="13"/>
                <w:b w:val="1"/>
                <w:bCs w:val="1"/>
                <w:color w:val="auto"/>
              </w:rPr>
              <w:t>Description</w:t>
            </w:r>
          </w:p>
        </w:tc>
      </w:tr>
      <w:tr>
        <w:trPr>
          <w:trHeight w:val="277"/>
        </w:trPr>
        <w:tc>
          <w:tcPr>
            <w:tcW w:w="1020" w:type="dxa"/>
            <w:vAlign w:val="bottom"/>
            <w:tcBorders>
              <w:top w:val="single" w:sz="8" w:color="auto"/>
            </w:tcBorders>
          </w:tcPr>
          <w:p>
            <w:pPr>
              <w:jc w:val="center"/>
              <w:ind w:right="322"/>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rFonts w:ascii="Arial" w:cs="Arial" w:eastAsia="Arial" w:hAnsi="Arial"/>
                <w:sz w:val="16"/>
                <w:szCs w:val="16"/>
                <w:color w:val="0000EE"/>
                <w:w w:val="93"/>
              </w:rPr>
            </w:pPr>
            <w:hyperlink w:anchor="page87">
              <w:r>
                <w:rPr>
                  <w:rFonts w:ascii="Arial" w:cs="Arial" w:eastAsia="Arial" w:hAnsi="Arial"/>
                  <w:sz w:val="16"/>
                  <w:szCs w:val="16"/>
                  <w:color w:val="0000EE"/>
                  <w:w w:val="93"/>
                </w:rPr>
                <w:t>Certification of Principal Executive Officer pursuant to Rule 13a-14(a)/15d-14(a), as adopted pursuant to Section 302 of the Sarbanes-Oxley Act of 2002.</w:t>
              </w:r>
            </w:hyperlink>
          </w:p>
        </w:tc>
      </w:tr>
      <w:tr>
        <w:trPr>
          <w:trHeight w:val="344"/>
        </w:trPr>
        <w:tc>
          <w:tcPr>
            <w:tcW w:w="1020" w:type="dxa"/>
            <w:vAlign w:val="bottom"/>
          </w:tcPr>
          <w:p>
            <w:pPr>
              <w:jc w:val="center"/>
              <w:ind w:right="322"/>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9960" w:type="dxa"/>
            <w:vAlign w:val="bottom"/>
            <w:tcBorders>
              <w:top w:val="single" w:sz="8" w:color="0000EE"/>
            </w:tcBorders>
            <w:gridSpan w:val="3"/>
          </w:tcPr>
          <w:p>
            <w:pPr>
              <w:spacing w:after="0"/>
              <w:rPr>
                <w:rFonts w:ascii="Arial" w:cs="Arial" w:eastAsia="Arial" w:hAnsi="Arial"/>
                <w:sz w:val="16"/>
                <w:szCs w:val="16"/>
                <w:color w:val="0000EE"/>
                <w:w w:val="92"/>
              </w:rPr>
            </w:pPr>
            <w:hyperlink w:anchor="page88">
              <w:r>
                <w:rPr>
                  <w:rFonts w:ascii="Arial" w:cs="Arial" w:eastAsia="Arial" w:hAnsi="Arial"/>
                  <w:sz w:val="16"/>
                  <w:szCs w:val="16"/>
                  <w:color w:val="0000EE"/>
                  <w:w w:val="92"/>
                </w:rPr>
                <w:t>Certification of Principal Financial Officer pursuant to Rule 13a-14(a)/15d-14(a), as adopted pursuant to Section 302 of the Sarbanes-Oxley Act of 2002.</w:t>
              </w:r>
            </w:hyperlink>
          </w:p>
        </w:tc>
        <w:tc>
          <w:tcPr>
            <w:tcW w:w="14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20" w:type="dxa"/>
            <w:vAlign w:val="bottom"/>
          </w:tcPr>
          <w:p>
            <w:pPr>
              <w:jc w:val="center"/>
              <w:ind w:right="322"/>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1006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Certification of Principal Executive Officer pursuant to 18 U.S.C. §1350, as adopted pursuant to Section 906 of the Sarbanes-Oxley Act of 2002 (furnished</w:t>
              </w:r>
            </w:hyperlink>
          </w:p>
        </w:tc>
        <w:tc>
          <w:tcPr>
            <w:tcW w:w="4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83" w:lineRule="exact"/>
              <w:rPr>
                <w:rFonts w:ascii="Arial" w:cs="Arial" w:eastAsia="Arial" w:hAnsi="Arial"/>
                <w:sz w:val="16"/>
                <w:szCs w:val="16"/>
                <w:color w:val="0000EE"/>
              </w:rPr>
            </w:pPr>
            <w:hyperlink w:anchor="page89">
              <w:r>
                <w:rPr>
                  <w:rFonts w:ascii="Arial" w:cs="Arial" w:eastAsia="Arial" w:hAnsi="Arial"/>
                  <w:sz w:val="16"/>
                  <w:szCs w:val="16"/>
                  <w:color w:val="0000EE"/>
                </w:rPr>
                <w:t>herewith).</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jc w:val="center"/>
              <w:ind w:right="322"/>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1002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90">
              <w:r>
                <w:rPr>
                  <w:rFonts w:ascii="Arial" w:cs="Arial" w:eastAsia="Arial" w:hAnsi="Arial"/>
                  <w:sz w:val="16"/>
                  <w:szCs w:val="16"/>
                  <w:color w:val="0000EE"/>
                  <w:w w:val="92"/>
                </w:rPr>
                <w:t>Certification of Principal Financial Officer pursuant to 18 U.S.C. §1350, as adopted pursuant to Section 906 of the Sarbanes-Oxley Act of 2002 (furnished</w:t>
              </w:r>
            </w:hyperlink>
          </w:p>
        </w:tc>
        <w:tc>
          <w:tcPr>
            <w:tcW w:w="8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83" w:lineRule="exact"/>
              <w:rPr>
                <w:rFonts w:ascii="Arial" w:cs="Arial" w:eastAsia="Arial" w:hAnsi="Arial"/>
                <w:sz w:val="16"/>
                <w:szCs w:val="16"/>
                <w:color w:val="0000EE"/>
              </w:rPr>
            </w:pPr>
            <w:hyperlink w:anchor="page90">
              <w:r>
                <w:rPr>
                  <w:rFonts w:ascii="Arial" w:cs="Arial" w:eastAsia="Arial" w:hAnsi="Arial"/>
                  <w:sz w:val="16"/>
                  <w:szCs w:val="16"/>
                  <w:color w:val="0000EE"/>
                </w:rPr>
                <w:t>herewith).</w:t>
              </w:r>
            </w:hyperlink>
          </w:p>
        </w:tc>
      </w:tr>
      <w:tr>
        <w:trPr>
          <w:trHeight w:val="20"/>
        </w:trPr>
        <w:tc>
          <w:tcPr>
            <w:tcW w:w="114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40" w:type="dxa"/>
            <w:vAlign w:val="bottom"/>
            <w:gridSpan w:val="5"/>
          </w:tcPr>
          <w:p>
            <w:pPr>
              <w:spacing w:after="0" w:line="20" w:lineRule="exact"/>
              <w:rPr>
                <w:sz w:val="1"/>
                <w:szCs w:val="1"/>
                <w:color w:val="auto"/>
              </w:rPr>
            </w:pPr>
          </w:p>
        </w:tc>
      </w:tr>
      <w:tr>
        <w:trPr>
          <w:trHeight w:val="335"/>
        </w:trPr>
        <w:tc>
          <w:tcPr>
            <w:tcW w:w="11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0100" w:type="dxa"/>
            <w:vAlign w:val="bottom"/>
            <w:gridSpan w:val="6"/>
          </w:tcPr>
          <w:p>
            <w:pPr>
              <w:spacing w:after="0"/>
              <w:rPr>
                <w:sz w:val="20"/>
                <w:szCs w:val="20"/>
                <w:color w:val="auto"/>
              </w:rPr>
            </w:pPr>
            <w:r>
              <w:rPr>
                <w:rFonts w:ascii="Arial" w:cs="Arial" w:eastAsia="Arial" w:hAnsi="Arial"/>
                <w:sz w:val="16"/>
                <w:szCs w:val="16"/>
                <w:color w:val="auto"/>
                <w:w w:val="95"/>
              </w:rPr>
              <w:t>Inline XBRL Instance Document (the instance document does not appear in the Interactive Data File because its XBRL tags are embedded within the</w:t>
            </w: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document)</w:t>
            </w:r>
          </w:p>
        </w:tc>
      </w:tr>
      <w:tr>
        <w:trPr>
          <w:trHeight w:val="324"/>
        </w:trPr>
        <w:tc>
          <w:tcPr>
            <w:tcW w:w="1140" w:type="dxa"/>
            <w:vAlign w:val="bottom"/>
            <w:gridSpan w:val="2"/>
          </w:tcPr>
          <w:p>
            <w:pPr>
              <w:jc w:val="center"/>
              <w:ind w:right="540"/>
              <w:spacing w:after="0"/>
              <w:rPr>
                <w:sz w:val="20"/>
                <w:szCs w:val="20"/>
                <w:color w:val="auto"/>
              </w:rPr>
            </w:pPr>
            <w:r>
              <w:rPr>
                <w:rFonts w:ascii="Arial" w:cs="Arial" w:eastAsia="Arial" w:hAnsi="Arial"/>
                <w:sz w:val="16"/>
                <w:szCs w:val="16"/>
                <w:color w:val="auto"/>
                <w:w w:val="92"/>
              </w:rPr>
              <w:t>101.SCH</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64"/>
        </w:trPr>
        <w:tc>
          <w:tcPr>
            <w:tcW w:w="1140" w:type="dxa"/>
            <w:vAlign w:val="bottom"/>
            <w:gridSpan w:val="2"/>
          </w:tcPr>
          <w:p>
            <w:pPr>
              <w:jc w:val="center"/>
              <w:ind w:right="520"/>
              <w:spacing w:after="0"/>
              <w:rPr>
                <w:sz w:val="20"/>
                <w:szCs w:val="20"/>
                <w:color w:val="auto"/>
              </w:rPr>
            </w:pPr>
            <w:r>
              <w:rPr>
                <w:rFonts w:ascii="Arial" w:cs="Arial" w:eastAsia="Arial" w:hAnsi="Arial"/>
                <w:sz w:val="16"/>
                <w:szCs w:val="16"/>
                <w:color w:val="auto"/>
                <w:w w:val="99"/>
              </w:rPr>
              <w:t>101.CAL</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Database Document</w:t>
            </w:r>
          </w:p>
        </w:tc>
      </w:tr>
      <w:tr>
        <w:trPr>
          <w:trHeight w:val="364"/>
        </w:trPr>
        <w:tc>
          <w:tcPr>
            <w:tcW w:w="1140" w:type="dxa"/>
            <w:vAlign w:val="bottom"/>
            <w:gridSpan w:val="2"/>
          </w:tcPr>
          <w:p>
            <w:pPr>
              <w:jc w:val="center"/>
              <w:ind w:right="540"/>
              <w:spacing w:after="0"/>
              <w:rPr>
                <w:sz w:val="20"/>
                <w:szCs w:val="20"/>
                <w:color w:val="auto"/>
              </w:rPr>
            </w:pPr>
            <w:r>
              <w:rPr>
                <w:rFonts w:ascii="Arial" w:cs="Arial" w:eastAsia="Arial" w:hAnsi="Arial"/>
                <w:sz w:val="16"/>
                <w:szCs w:val="16"/>
                <w:color w:val="auto"/>
                <w:w w:val="94"/>
              </w:rPr>
              <w:t>101.DEF</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65"/>
        </w:trPr>
        <w:tc>
          <w:tcPr>
            <w:tcW w:w="1140" w:type="dxa"/>
            <w:vAlign w:val="bottom"/>
            <w:gridSpan w:val="2"/>
          </w:tcPr>
          <w:p>
            <w:pPr>
              <w:jc w:val="center"/>
              <w:ind w:right="520"/>
              <w:spacing w:after="0"/>
              <w:rPr>
                <w:sz w:val="20"/>
                <w:szCs w:val="20"/>
                <w:color w:val="auto"/>
              </w:rPr>
            </w:pPr>
            <w:r>
              <w:rPr>
                <w:rFonts w:ascii="Arial" w:cs="Arial" w:eastAsia="Arial" w:hAnsi="Arial"/>
                <w:sz w:val="16"/>
                <w:szCs w:val="16"/>
                <w:color w:val="auto"/>
              </w:rPr>
              <w:t>101.LAB</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64"/>
        </w:trPr>
        <w:tc>
          <w:tcPr>
            <w:tcW w:w="1140" w:type="dxa"/>
            <w:vAlign w:val="bottom"/>
            <w:gridSpan w:val="2"/>
          </w:tcPr>
          <w:p>
            <w:pPr>
              <w:jc w:val="center"/>
              <w:ind w:right="560"/>
              <w:spacing w:after="0"/>
              <w:rPr>
                <w:sz w:val="20"/>
                <w:szCs w:val="20"/>
                <w:color w:val="auto"/>
              </w:rPr>
            </w:pPr>
            <w:r>
              <w:rPr>
                <w:rFonts w:ascii="Arial" w:cs="Arial" w:eastAsia="Arial" w:hAnsi="Arial"/>
                <w:sz w:val="16"/>
                <w:szCs w:val="16"/>
                <w:color w:val="auto"/>
                <w:w w:val="90"/>
              </w:rPr>
              <w:t>101.PRE</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364"/>
        </w:trPr>
        <w:tc>
          <w:tcPr>
            <w:tcW w:w="102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380" w:firstLine="777"/>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7680" w:type="dxa"/>
            <w:vAlign w:val="bottom"/>
            <w:gridSpan w:val="2"/>
          </w:tcPr>
          <w:p>
            <w:pPr>
              <w:ind w:left="2180"/>
              <w:spacing w:after="0"/>
              <w:rPr>
                <w:sz w:val="20"/>
                <w:szCs w:val="20"/>
                <w:color w:val="auto"/>
              </w:rPr>
            </w:pPr>
            <w:r>
              <w:rPr>
                <w:rFonts w:ascii="Arial" w:cs="Arial" w:eastAsia="Arial" w:hAnsi="Arial"/>
                <w:sz w:val="16"/>
                <w:szCs w:val="16"/>
                <w:color w:val="auto"/>
              </w:rPr>
              <w:t>AXSOME THERAPEUTICS, INC.</w:t>
            </w:r>
          </w:p>
        </w:tc>
      </w:tr>
      <w:tr>
        <w:trPr>
          <w:trHeight w:val="489"/>
        </w:trPr>
        <w:tc>
          <w:tcPr>
            <w:tcW w:w="3560" w:type="dxa"/>
            <w:vAlign w:val="bottom"/>
          </w:tcPr>
          <w:p>
            <w:pPr>
              <w:spacing w:after="0"/>
              <w:rPr>
                <w:sz w:val="20"/>
                <w:szCs w:val="20"/>
                <w:color w:val="auto"/>
              </w:rPr>
            </w:pPr>
            <w:r>
              <w:rPr>
                <w:rFonts w:ascii="Arial" w:cs="Arial" w:eastAsia="Arial" w:hAnsi="Arial"/>
                <w:sz w:val="16"/>
                <w:szCs w:val="16"/>
                <w:color w:val="auto"/>
              </w:rPr>
              <w:t>Date: August 9, 2021</w:t>
            </w:r>
          </w:p>
        </w:tc>
        <w:tc>
          <w:tcPr>
            <w:tcW w:w="2520" w:type="dxa"/>
            <w:vAlign w:val="bottom"/>
          </w:tcPr>
          <w:p>
            <w:pPr>
              <w:ind w:left="218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203"/>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33"/>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35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732"/>
        </w:trPr>
        <w:tc>
          <w:tcPr>
            <w:tcW w:w="3560" w:type="dxa"/>
            <w:vAlign w:val="bottom"/>
          </w:tcPr>
          <w:p>
            <w:pPr>
              <w:spacing w:after="0"/>
              <w:rPr>
                <w:sz w:val="20"/>
                <w:szCs w:val="20"/>
                <w:color w:val="auto"/>
              </w:rPr>
            </w:pPr>
            <w:r>
              <w:rPr>
                <w:rFonts w:ascii="Arial" w:cs="Arial" w:eastAsia="Arial" w:hAnsi="Arial"/>
                <w:sz w:val="16"/>
                <w:szCs w:val="16"/>
                <w:color w:val="auto"/>
              </w:rPr>
              <w:t>Date: August 9, 2021</w:t>
            </w:r>
          </w:p>
        </w:tc>
        <w:tc>
          <w:tcPr>
            <w:tcW w:w="2520" w:type="dxa"/>
            <w:vAlign w:val="bottom"/>
          </w:tcPr>
          <w:p>
            <w:pPr>
              <w:ind w:left="218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203"/>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Nick Pizzie</w:t>
            </w:r>
          </w:p>
        </w:tc>
      </w:tr>
    </w:tbl>
    <w:p>
      <w:pPr>
        <w:spacing w:after="0" w:line="2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13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Herriot Tabuteau, M.D., certify that:</w:t>
      </w:r>
    </w:p>
    <w:p>
      <w:pPr>
        <w:spacing w:after="0" w:line="235"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234"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firstLine="8"/>
        <w:spacing w:after="0" w:line="328" w:lineRule="auto"/>
        <w:tabs>
          <w:tab w:leader="none" w:pos="281"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5"/>
          <w:szCs w:val="15"/>
          <w:color w:val="auto"/>
        </w:rPr>
      </w:pPr>
    </w:p>
    <w:p>
      <w:pPr>
        <w:ind w:left="880" w:right="200" w:hanging="408"/>
        <w:spacing w:after="0" w:line="278" w:lineRule="auto"/>
        <w:tabs>
          <w:tab w:leader="none" w:pos="769"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880" w:right="440" w:hanging="408"/>
        <w:spacing w:after="0" w:line="293" w:lineRule="auto"/>
        <w:tabs>
          <w:tab w:leader="none" w:pos="76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right="100" w:firstLine="8"/>
        <w:spacing w:after="0" w:line="293" w:lineRule="auto"/>
        <w:tabs>
          <w:tab w:leader="none" w:pos="2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6"/>
          <w:szCs w:val="16"/>
          <w:color w:val="auto"/>
        </w:rPr>
      </w:pPr>
    </w:p>
    <w:p>
      <w:pPr>
        <w:ind w:left="880" w:right="640" w:hanging="408"/>
        <w:spacing w:after="0" w:line="293" w:lineRule="auto"/>
        <w:tabs>
          <w:tab w:leader="none" w:pos="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880" w:right="220" w:hanging="408"/>
        <w:spacing w:after="0" w:line="293" w:lineRule="auto"/>
        <w:tabs>
          <w:tab w:leader="none" w:pos="769"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August 9,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33"/>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74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Nick Pizzie, certify that:</w:t>
      </w:r>
    </w:p>
    <w:p>
      <w:pPr>
        <w:spacing w:after="0" w:line="235"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234"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firstLine="8"/>
        <w:spacing w:after="0" w:line="328" w:lineRule="auto"/>
        <w:tabs>
          <w:tab w:leader="none" w:pos="281"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5"/>
          <w:szCs w:val="15"/>
          <w:color w:val="auto"/>
        </w:rPr>
      </w:pPr>
    </w:p>
    <w:p>
      <w:pPr>
        <w:ind w:left="880" w:right="200" w:hanging="408"/>
        <w:spacing w:after="0" w:line="278" w:lineRule="auto"/>
        <w:tabs>
          <w:tab w:leader="none" w:pos="7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880" w:right="440" w:hanging="408"/>
        <w:spacing w:after="0" w:line="293" w:lineRule="auto"/>
        <w:tabs>
          <w:tab w:leader="none" w:pos="7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right="100" w:firstLine="8"/>
        <w:spacing w:after="0" w:line="293" w:lineRule="auto"/>
        <w:tabs>
          <w:tab w:leader="none" w:pos="2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6"/>
          <w:szCs w:val="16"/>
          <w:color w:val="auto"/>
        </w:rPr>
      </w:pPr>
    </w:p>
    <w:p>
      <w:pPr>
        <w:ind w:left="880" w:right="640" w:hanging="408"/>
        <w:spacing w:after="0" w:line="293" w:lineRule="auto"/>
        <w:tabs>
          <w:tab w:leader="none" w:pos="7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880" w:right="220" w:hanging="408"/>
        <w:spacing w:after="0" w:line="293" w:lineRule="auto"/>
        <w:tabs>
          <w:tab w:leader="none" w:pos="7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August 9,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Nick Pizzie</w:t>
            </w:r>
          </w:p>
        </w:tc>
      </w:tr>
      <w:tr>
        <w:trPr>
          <w:trHeight w:val="233"/>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74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EXECUTIVE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jc w:val="both"/>
        <w:ind w:right="20" w:firstLine="51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June 30, 2021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August 9,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189"/>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6"/>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73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FINANCIAL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ind w:right="20" w:firstLine="51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June 30, 2021 as filed with the Securities and Exchange Commission (the “Report”), I, Nick Pizzie, Chief Financial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August 9,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189"/>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6"/>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73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2021-08-09T16:30:36Z</dcterms:created>
  <dcterms:modified xsi:type="dcterms:W3CDTF">2021-08-09T16:30:36Z</dcterms:modified>
</cp:coreProperties>
</file>