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-621665</wp:posOffset>
            </wp:positionV>
            <wp:extent cx="57785" cy="635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3964940</wp:posOffset>
            </wp:positionH>
            <wp:positionV relativeFrom="paragraph">
              <wp:posOffset>-621665</wp:posOffset>
            </wp:positionV>
            <wp:extent cx="57785" cy="635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737870</wp:posOffset>
            </wp:positionV>
            <wp:extent cx="6994525" cy="51320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5132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Jacobson Mark L.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09/22/2025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29TH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" w:right="640" w:hanging="2"/>
        <w:spacing w:after="0" w:line="255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8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8"/>
            <w:col w:w="3342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1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115.96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(1)(2)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10,000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03/12/2019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03/12/2028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35,378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Necessary exercise of stock options set to expire due to attainment of the 10-year expiration date of such options.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Such transaction was pursuant to a pre-approved 10b5-1 plan which has now been completed.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Represents the subsequent sale of the underlying shares of the aforementioned exercise of stock options.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Represents the weighted average sale price of a series of open market transactions with sale prices ranging between $115.11 and $116.55.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Jacobson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-3241675</wp:posOffset>
            </wp:positionV>
            <wp:extent cx="29210" cy="20910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9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5812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2025-09-22T18:05:19Z</dcterms:created>
  <dcterms:modified xsi:type="dcterms:W3CDTF">2025-09-22T18:05:19Z</dcterms:modified>
</cp:coreProperties>
</file>