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AXSOME THERAPEUTICS,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05464T104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Erin O’Connor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Fairmount Funds Management LLC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200 Barr Harbor Drive, Suite 400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West Conshohocken, PA 19428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(267) 262-5300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16, 2022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left="120" w:right="12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1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05464T104</w:t>
      </w:r>
    </w:p>
    <w:p>
      <w:pPr>
        <w:spacing w:after="0" w:line="239" w:lineRule="exact"/>
        <w:rPr>
          <w:sz w:val="20"/>
          <w:szCs w:val="20"/>
          <w:color w:val="auto"/>
        </w:rPr>
      </w:pPr>
    </w:p>
    <w:p>
      <w:pPr>
        <w:ind w:left="1020" w:hanging="85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right="604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Fairmount Funds Management LLC</w:t>
      </w:r>
    </w:p>
    <w:p>
      <w:pPr>
        <w:spacing w:after="0" w:line="1" w:lineRule="exact"/>
        <w:rPr>
          <w:rFonts w:ascii="Arial" w:cs="Arial" w:eastAsia="Arial" w:hAnsi="Arial"/>
          <w:sz w:val="18"/>
          <w:szCs w:val="18"/>
          <w:color w:val="auto"/>
        </w:rPr>
      </w:pPr>
    </w:p>
    <w:p>
      <w:pPr>
        <w:ind w:left="1020" w:hanging="85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260" w:hanging="249"/>
        <w:spacing w:after="0" w:line="207" w:lineRule="exact"/>
        <w:tabs>
          <w:tab w:leader="none" w:pos="12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85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right="7600" w:hanging="855"/>
        <w:spacing w:after="0" w:line="38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560" w:hanging="671"/>
        <w:spacing w:after="0"/>
        <w:tabs>
          <w:tab w:leader="none" w:pos="2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-2085340</wp:posOffset>
            </wp:positionV>
            <wp:extent cx="7132320" cy="5563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563235"/>
                    </a:xfrm>
                    <a:prstGeom prst="rect">
                      <a:avLst/>
                    </a:prstGeom>
                    <a:noFill/>
                  </pic:spPr>
                </pic:pic>
              </a:graphicData>
            </a:graphic>
          </wp:anchor>
        </w:drawing>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5"/>
              </w:rPr>
              <w:t>Number of</w:t>
            </w:r>
          </w:p>
        </w:tc>
        <w:tc>
          <w:tcPr>
            <w:tcW w:w="60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Shares</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2,166,647</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30"/>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Owned by</w:t>
            </w:r>
          </w:p>
        </w:tc>
        <w:tc>
          <w:tcPr>
            <w:tcW w:w="60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4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87"/>
              </w:rPr>
              <w:t>Each</w:t>
            </w:r>
          </w:p>
        </w:tc>
        <w:tc>
          <w:tcPr>
            <w:tcW w:w="60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7.</w:t>
            </w:r>
          </w:p>
        </w:tc>
        <w:tc>
          <w:tcPr>
            <w:tcW w:w="894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2"/>
              </w:rPr>
              <w:t>Reporting</w:t>
            </w:r>
          </w:p>
        </w:tc>
        <w:tc>
          <w:tcPr>
            <w:tcW w:w="6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Person</w:t>
            </w:r>
          </w:p>
        </w:tc>
        <w:tc>
          <w:tcPr>
            <w:tcW w:w="600" w:type="dxa"/>
            <w:vAlign w:val="bottom"/>
          </w:tcPr>
          <w:p>
            <w:pPr>
              <w:spacing w:after="0"/>
              <w:rPr>
                <w:sz w:val="18"/>
                <w:szCs w:val="18"/>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9"/>
              </w:rPr>
              <w:t>With</w:t>
            </w:r>
          </w:p>
        </w:tc>
        <w:tc>
          <w:tcPr>
            <w:tcW w:w="6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560" w:right="6800" w:hanging="671"/>
        <w:spacing w:after="0" w:line="318" w:lineRule="auto"/>
        <w:tabs>
          <w:tab w:leader="none" w:pos="25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Dispositive Power 2,166,647</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020" w:right="5420" w:hanging="855"/>
        <w:spacing w:after="0" w:line="311"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2,166,647</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020" w:hanging="855"/>
        <w:spacing w:after="0" w:line="207" w:lineRule="exact"/>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1020" w:hanging="85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7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5.4%</w:t>
      </w:r>
      <w:r>
        <w:rPr>
          <w:rFonts w:ascii="Arial" w:cs="Arial" w:eastAsia="Arial" w:hAnsi="Arial"/>
          <w:sz w:val="29"/>
          <w:szCs w:val="29"/>
          <w:color w:val="auto"/>
          <w:vertAlign w:val="superscript"/>
        </w:rPr>
        <w:t>(2)</w:t>
      </w:r>
    </w:p>
    <w:p>
      <w:pPr>
        <w:ind w:left="1020" w:hanging="85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38" w:lineRule="exact"/>
        <w:rPr>
          <w:rFonts w:ascii="Arial" w:cs="Arial" w:eastAsia="Arial" w:hAnsi="Arial"/>
          <w:sz w:val="18"/>
          <w:szCs w:val="18"/>
          <w:color w:val="auto"/>
        </w:rPr>
      </w:pPr>
    </w:p>
    <w:p>
      <w:pPr>
        <w:jc w:val="both"/>
        <w:ind w:right="160" w:firstLine="8"/>
        <w:spacing w:after="0" w:line="263"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reported herein for the Reporting Person represent (i) 1,666,647 shares of the Issuer’s Common Stock held by Fairmount Healthcare Fund LP and Fairmount Healthcare Fund II LP (the “Funds”) and (ii) 500,000 shares of the Issuer’s Common Stock the Funds have the right to acquire through the exercise of exchange-listed call options.</w:t>
      </w:r>
    </w:p>
    <w:p>
      <w:pPr>
        <w:spacing w:after="0" w:line="183"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based on 40,304,124 shares of the Issuer’s Common Stock outstanding as of August 1, 2022, as disclosed on Form 10-Q filed by the Issuer with the Securities and Exchange Commission on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05464T104</w:t>
      </w:r>
    </w:p>
    <w:p>
      <w:pPr>
        <w:spacing w:after="0" w:line="239" w:lineRule="exact"/>
        <w:rPr>
          <w:sz w:val="20"/>
          <w:szCs w:val="20"/>
          <w:color w:val="auto"/>
        </w:rPr>
      </w:pPr>
    </w:p>
    <w:p>
      <w:pPr>
        <w:ind w:left="1020" w:hanging="85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right="604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Peter Harwin</w:t>
      </w:r>
    </w:p>
    <w:p>
      <w:pPr>
        <w:spacing w:after="0" w:line="1" w:lineRule="exact"/>
        <w:rPr>
          <w:rFonts w:ascii="Arial" w:cs="Arial" w:eastAsia="Arial" w:hAnsi="Arial"/>
          <w:sz w:val="18"/>
          <w:szCs w:val="18"/>
          <w:color w:val="auto"/>
        </w:rPr>
      </w:pPr>
    </w:p>
    <w:p>
      <w:pPr>
        <w:ind w:left="1020" w:hanging="85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0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85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hanging="85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5426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9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5"/>
              </w:rPr>
              <w:t>Number of</w:t>
            </w:r>
          </w:p>
        </w:tc>
        <w:tc>
          <w:tcPr>
            <w:tcW w:w="600" w:type="dxa"/>
            <w:vAlign w:val="bottom"/>
          </w:tcPr>
          <w:p>
            <w:pPr>
              <w:spacing w:after="0"/>
              <w:rPr>
                <w:sz w:val="24"/>
                <w:szCs w:val="24"/>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jc w:val="center"/>
              <w:ind w:right="270"/>
              <w:spacing w:after="0" w:line="201" w:lineRule="exact"/>
              <w:rPr>
                <w:sz w:val="20"/>
                <w:szCs w:val="20"/>
                <w:color w:val="auto"/>
              </w:rPr>
            </w:pPr>
            <w:r>
              <w:rPr>
                <w:rFonts w:ascii="Arial" w:cs="Arial" w:eastAsia="Arial" w:hAnsi="Arial"/>
                <w:sz w:val="18"/>
                <w:szCs w:val="18"/>
                <w:color w:val="auto"/>
                <w:w w:val="84"/>
              </w:rPr>
              <w:t>Shares</w:t>
            </w:r>
          </w:p>
        </w:tc>
        <w:tc>
          <w:tcPr>
            <w:tcW w:w="600" w:type="dxa"/>
            <w:vAlign w:val="bottom"/>
            <w:tcBorders>
              <w:bottom w:val="single" w:sz="8" w:color="auto"/>
            </w:tcBorders>
          </w:tcPr>
          <w:p>
            <w:pPr>
              <w:spacing w:after="0"/>
              <w:rPr>
                <w:sz w:val="4"/>
                <w:szCs w:val="4"/>
                <w:color w:val="auto"/>
              </w:rPr>
            </w:pPr>
          </w:p>
        </w:tc>
        <w:tc>
          <w:tcPr>
            <w:tcW w:w="8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60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Owned by</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 xml:space="preserve">2,166,647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87"/>
              </w:rPr>
              <w:t>Each</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2"/>
              </w:rPr>
              <w:t>Reporting</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Person</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600" w:type="dxa"/>
            <w:vAlign w:val="bottom"/>
            <w:tcBorders>
              <w:bottom w:val="single" w:sz="8" w:color="auto"/>
            </w:tcBorders>
          </w:tcPr>
          <w:p>
            <w:pPr>
              <w:spacing w:after="0"/>
              <w:rPr>
                <w:sz w:val="11"/>
                <w:szCs w:val="11"/>
                <w:color w:val="auto"/>
              </w:rPr>
            </w:pPr>
          </w:p>
        </w:tc>
        <w:tc>
          <w:tcPr>
            <w:tcW w:w="8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 xml:space="preserve">2,166,647 </w:t>
      </w:r>
      <w:r>
        <w:rPr>
          <w:rFonts w:ascii="Arial" w:cs="Arial" w:eastAsia="Arial" w:hAnsi="Arial"/>
          <w:sz w:val="29"/>
          <w:szCs w:val="29"/>
          <w:color w:val="auto"/>
          <w:vertAlign w:val="superscript"/>
        </w:rPr>
        <w:t>(1)</w:t>
      </w:r>
    </w:p>
    <w:p>
      <w:pPr>
        <w:ind w:left="16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2,166,647 </w:t>
      </w:r>
      <w:r>
        <w:rPr>
          <w:rFonts w:ascii="Arial" w:cs="Arial" w:eastAsia="Arial" w:hAnsi="Arial"/>
          <w:sz w:val="29"/>
          <w:szCs w:val="29"/>
          <w:color w:val="auto"/>
          <w:vertAlign w:val="superscript"/>
        </w:rPr>
        <w:t>(1)</w:t>
      </w: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5.4%</w:t>
      </w:r>
      <w:r>
        <w:rPr>
          <w:rFonts w:ascii="Arial" w:cs="Arial" w:eastAsia="Arial" w:hAnsi="Arial"/>
          <w:sz w:val="29"/>
          <w:szCs w:val="29"/>
          <w:color w:val="auto"/>
          <w:vertAlign w:val="superscript"/>
        </w:rPr>
        <w:t>(2)</w:t>
      </w:r>
    </w:p>
    <w:p>
      <w:pPr>
        <w:ind w:left="16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HC, IN</w:t>
      </w:r>
    </w:p>
    <w:p>
      <w:pPr>
        <w:spacing w:after="0" w:line="23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(1) The shares reported herein for the Reporting Person represent (i) 1,666,647 shares of the Issuer’s Common Stock held by Fairmount Healthcare Fund LP and Fairmount Healthcare Fund II LP (the “Funds”) and (ii) 500,000 shares of the Issuer’s Common Stock the Funds have the right to acquire through the exercise of exchange-listed call options.</w:t>
      </w:r>
    </w:p>
    <w:p>
      <w:pPr>
        <w:spacing w:after="0" w:line="184"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(2) Calculated based on 40,304,124 shares of the Issuer’s Common Stock outstanding as of August 1, 2022, as disclosed on Form 10-Q filed by the Issuer with the Securities and Exchange Commission on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05464T104</w:t>
      </w:r>
    </w:p>
    <w:p>
      <w:pPr>
        <w:spacing w:after="0" w:line="239" w:lineRule="exact"/>
        <w:rPr>
          <w:sz w:val="20"/>
          <w:szCs w:val="20"/>
          <w:color w:val="auto"/>
        </w:rPr>
      </w:pPr>
    </w:p>
    <w:p>
      <w:pPr>
        <w:ind w:left="1020" w:hanging="85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right="60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Tomas Kiselak</w:t>
      </w:r>
    </w:p>
    <w:p>
      <w:pPr>
        <w:ind w:left="1020" w:hanging="85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85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hanging="85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-1802130</wp:posOffset>
            </wp:positionV>
            <wp:extent cx="7132320" cy="5563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56323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Slovak Republic</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9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5"/>
              </w:rPr>
              <w:t>Number of</w:t>
            </w:r>
          </w:p>
        </w:tc>
        <w:tc>
          <w:tcPr>
            <w:tcW w:w="600" w:type="dxa"/>
            <w:vAlign w:val="bottom"/>
          </w:tcPr>
          <w:p>
            <w:pPr>
              <w:spacing w:after="0"/>
              <w:rPr>
                <w:sz w:val="24"/>
                <w:szCs w:val="24"/>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jc w:val="center"/>
              <w:ind w:right="270"/>
              <w:spacing w:after="0" w:line="201" w:lineRule="exact"/>
              <w:rPr>
                <w:sz w:val="20"/>
                <w:szCs w:val="20"/>
                <w:color w:val="auto"/>
              </w:rPr>
            </w:pPr>
            <w:r>
              <w:rPr>
                <w:rFonts w:ascii="Arial" w:cs="Arial" w:eastAsia="Arial" w:hAnsi="Arial"/>
                <w:sz w:val="18"/>
                <w:szCs w:val="18"/>
                <w:color w:val="auto"/>
                <w:w w:val="84"/>
              </w:rPr>
              <w:t>Shares</w:t>
            </w:r>
          </w:p>
        </w:tc>
        <w:tc>
          <w:tcPr>
            <w:tcW w:w="600" w:type="dxa"/>
            <w:vAlign w:val="bottom"/>
            <w:tcBorders>
              <w:bottom w:val="single" w:sz="8" w:color="auto"/>
            </w:tcBorders>
          </w:tcPr>
          <w:p>
            <w:pPr>
              <w:spacing w:after="0"/>
              <w:rPr>
                <w:sz w:val="4"/>
                <w:szCs w:val="4"/>
                <w:color w:val="auto"/>
              </w:rPr>
            </w:pPr>
          </w:p>
        </w:tc>
        <w:tc>
          <w:tcPr>
            <w:tcW w:w="8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60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Owned by</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 xml:space="preserve">2,166,647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87"/>
              </w:rPr>
              <w:t>Each</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2"/>
              </w:rPr>
              <w:t>Reporting</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Person</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600" w:type="dxa"/>
            <w:vAlign w:val="bottom"/>
            <w:tcBorders>
              <w:bottom w:val="single" w:sz="8" w:color="auto"/>
            </w:tcBorders>
          </w:tcPr>
          <w:p>
            <w:pPr>
              <w:spacing w:after="0"/>
              <w:rPr>
                <w:sz w:val="11"/>
                <w:szCs w:val="11"/>
                <w:color w:val="auto"/>
              </w:rPr>
            </w:pPr>
          </w:p>
        </w:tc>
        <w:tc>
          <w:tcPr>
            <w:tcW w:w="8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 xml:space="preserve">2,166,647 </w:t>
      </w:r>
      <w:r>
        <w:rPr>
          <w:rFonts w:ascii="Arial" w:cs="Arial" w:eastAsia="Arial" w:hAnsi="Arial"/>
          <w:sz w:val="29"/>
          <w:szCs w:val="29"/>
          <w:color w:val="auto"/>
          <w:vertAlign w:val="superscript"/>
        </w:rPr>
        <w:t>(1)</w:t>
      </w:r>
    </w:p>
    <w:p>
      <w:pPr>
        <w:ind w:left="16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2,166,647 </w:t>
      </w:r>
      <w:r>
        <w:rPr>
          <w:rFonts w:ascii="Arial" w:cs="Arial" w:eastAsia="Arial" w:hAnsi="Arial"/>
          <w:sz w:val="29"/>
          <w:szCs w:val="29"/>
          <w:color w:val="auto"/>
          <w:vertAlign w:val="superscript"/>
        </w:rPr>
        <w:t>(1)</w:t>
      </w: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5.4%</w:t>
      </w:r>
      <w:r>
        <w:rPr>
          <w:rFonts w:ascii="Arial" w:cs="Arial" w:eastAsia="Arial" w:hAnsi="Arial"/>
          <w:sz w:val="29"/>
          <w:szCs w:val="29"/>
          <w:color w:val="auto"/>
          <w:vertAlign w:val="superscript"/>
        </w:rPr>
        <w:t>(2)</w:t>
      </w:r>
    </w:p>
    <w:p>
      <w:pPr>
        <w:ind w:left="16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HC, IN</w:t>
      </w:r>
    </w:p>
    <w:p>
      <w:pPr>
        <w:spacing w:after="0" w:line="23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(1) The shares reported herein for the Reporting Person represent (i) 1,666,647 shares of the Issuer’s Common Stock held by Fairmount Healthcare Fund LP and Fairmount Healthcare Fund II LP (the “Funds”) and (ii) 500,000 shares of the Issuer’s Common Stock the Funds have the right to acquire through the exercise of exchange-listed call options.</w:t>
      </w:r>
    </w:p>
    <w:p>
      <w:pPr>
        <w:spacing w:after="0" w:line="184"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(2) Calculated based on 40,304,124 shares of the Issuer’s Common Stock outstanding as of August 1, 2022, as disclosed on Form 10-Q filed by the Issuer with the Securities and Exchange Commission on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05464T104</w:t>
      </w:r>
    </w:p>
    <w:p>
      <w:pPr>
        <w:spacing w:after="0" w:line="239" w:lineRule="exact"/>
        <w:rPr>
          <w:sz w:val="20"/>
          <w:szCs w:val="20"/>
          <w:color w:val="auto"/>
        </w:rPr>
      </w:pPr>
    </w:p>
    <w:p>
      <w:pPr>
        <w:ind w:left="1020" w:hanging="85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right="604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Fairmount Healthcare Fund II L.P.</w:t>
      </w:r>
    </w:p>
    <w:p>
      <w:pPr>
        <w:spacing w:after="0" w:line="1" w:lineRule="exact"/>
        <w:rPr>
          <w:rFonts w:ascii="Arial" w:cs="Arial" w:eastAsia="Arial" w:hAnsi="Arial"/>
          <w:sz w:val="18"/>
          <w:szCs w:val="18"/>
          <w:color w:val="auto"/>
        </w:rPr>
      </w:pPr>
    </w:p>
    <w:p>
      <w:pPr>
        <w:ind w:left="1020" w:hanging="85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0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20" w:hanging="85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hanging="85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5426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89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5"/>
              </w:rPr>
              <w:t>Number of</w:t>
            </w:r>
          </w:p>
        </w:tc>
        <w:tc>
          <w:tcPr>
            <w:tcW w:w="600" w:type="dxa"/>
            <w:vAlign w:val="bottom"/>
          </w:tcPr>
          <w:p>
            <w:pPr>
              <w:spacing w:after="0"/>
              <w:rPr>
                <w:sz w:val="24"/>
                <w:szCs w:val="24"/>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jc w:val="center"/>
              <w:ind w:right="270"/>
              <w:spacing w:after="0" w:line="201" w:lineRule="exact"/>
              <w:rPr>
                <w:sz w:val="20"/>
                <w:szCs w:val="20"/>
                <w:color w:val="auto"/>
              </w:rPr>
            </w:pPr>
            <w:r>
              <w:rPr>
                <w:rFonts w:ascii="Arial" w:cs="Arial" w:eastAsia="Arial" w:hAnsi="Arial"/>
                <w:sz w:val="18"/>
                <w:szCs w:val="18"/>
                <w:color w:val="auto"/>
                <w:w w:val="84"/>
              </w:rPr>
              <w:t>Shares</w:t>
            </w:r>
          </w:p>
        </w:tc>
        <w:tc>
          <w:tcPr>
            <w:tcW w:w="600" w:type="dxa"/>
            <w:vAlign w:val="bottom"/>
            <w:tcBorders>
              <w:bottom w:val="single" w:sz="8" w:color="auto"/>
            </w:tcBorders>
          </w:tcPr>
          <w:p>
            <w:pPr>
              <w:spacing w:after="0"/>
              <w:rPr>
                <w:sz w:val="4"/>
                <w:szCs w:val="4"/>
                <w:color w:val="auto"/>
              </w:rPr>
            </w:pPr>
          </w:p>
        </w:tc>
        <w:tc>
          <w:tcPr>
            <w:tcW w:w="8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60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Owned by</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2,094,704</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87"/>
              </w:rPr>
              <w:t>Each</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2"/>
              </w:rPr>
              <w:t>Reporting</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70"/>
              <w:spacing w:after="0"/>
              <w:rPr>
                <w:sz w:val="20"/>
                <w:szCs w:val="20"/>
                <w:color w:val="auto"/>
              </w:rPr>
            </w:pPr>
            <w:r>
              <w:rPr>
                <w:rFonts w:ascii="Arial" w:cs="Arial" w:eastAsia="Arial" w:hAnsi="Arial"/>
                <w:sz w:val="18"/>
                <w:szCs w:val="18"/>
                <w:color w:val="auto"/>
                <w:w w:val="84"/>
              </w:rPr>
              <w:t>Person</w:t>
            </w:r>
          </w:p>
        </w:tc>
        <w:tc>
          <w:tcPr>
            <w:tcW w:w="600" w:type="dxa"/>
            <w:vAlign w:val="bottom"/>
          </w:tcPr>
          <w:p>
            <w:pPr>
              <w:spacing w:after="0"/>
              <w:rPr>
                <w:sz w:val="18"/>
                <w:szCs w:val="18"/>
                <w:color w:val="auto"/>
              </w:rPr>
            </w:pP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2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600" w:type="dxa"/>
            <w:vAlign w:val="bottom"/>
            <w:tcBorders>
              <w:bottom w:val="single" w:sz="8" w:color="auto"/>
            </w:tcBorders>
          </w:tcPr>
          <w:p>
            <w:pPr>
              <w:spacing w:after="0"/>
              <w:rPr>
                <w:sz w:val="11"/>
                <w:szCs w:val="11"/>
                <w:color w:val="auto"/>
              </w:rPr>
            </w:pPr>
          </w:p>
        </w:tc>
        <w:tc>
          <w:tcPr>
            <w:tcW w:w="8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40" w:type="dxa"/>
            <w:vAlign w:val="bottom"/>
            <w:vMerge w:val="continue"/>
          </w:tcPr>
          <w:p>
            <w:pPr>
              <w:spacing w:after="0"/>
              <w:rPr>
                <w:sz w:val="6"/>
                <w:szCs w:val="6"/>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 xml:space="preserve">2,094,704 </w:t>
      </w:r>
      <w:r>
        <w:rPr>
          <w:rFonts w:ascii="Arial" w:cs="Arial" w:eastAsia="Arial" w:hAnsi="Arial"/>
          <w:sz w:val="29"/>
          <w:szCs w:val="29"/>
          <w:color w:val="auto"/>
          <w:vertAlign w:val="superscript"/>
        </w:rPr>
        <w:t>(1)</w:t>
      </w:r>
    </w:p>
    <w:p>
      <w:pPr>
        <w:ind w:left="16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2,094,704 </w:t>
      </w:r>
      <w:r>
        <w:rPr>
          <w:rFonts w:ascii="Arial" w:cs="Arial" w:eastAsia="Arial" w:hAnsi="Arial"/>
          <w:sz w:val="29"/>
          <w:szCs w:val="29"/>
          <w:color w:val="auto"/>
          <w:vertAlign w:val="superscript"/>
        </w:rPr>
        <w:t>(1)</w:t>
      </w: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(2)</w:t>
      </w:r>
    </w:p>
    <w:p>
      <w:pPr>
        <w:ind w:left="16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PN</w:t>
      </w:r>
    </w:p>
    <w:p>
      <w:pPr>
        <w:spacing w:after="0" w:line="23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(1) The shares reported herein for the Reporting Person represent (i) 1,611,004 directly owned shares of the Issuer’s Common Stock and (ii) 483,700 shares of the Issuer’s Common Stock the Reporting Person has the right to acquire through the exercise of exchange-listed call options.</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(2) Calculated based on 40,304,124 shares of the Issuer’s Common Stock outstanding as of August 1, 2022, as disclosed on Form 10-Q filed by the Issuer with the Securities and Exchange Commission on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joint statement on Schedule 13G is being filed by the Reporting Persons (as defined herein) to report the Reporting Persons’ beneficial ownership of the Common Stock of Axsome Therapeutics, Inc. As of September 16, 2022, the Reporting Persons collectively had aggregate beneficial ownership of approximately 5.4% of the Common Stock as a result of their purchases in the open market of exchange-listed call options that gave the Reporting Persons the right to acquire Common Stock. All of the call options acquired by the Reporting Persons were out of the money for the duration of the period during which they were 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Axsome Therapeutics, Inc.</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22 Cortlandt Street, 16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New York, New York 10007.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3" w:lineRule="exact"/>
        <w:rPr>
          <w:sz w:val="20"/>
          <w:szCs w:val="20"/>
          <w:color w:val="auto"/>
        </w:rPr>
      </w:pPr>
    </w:p>
    <w:p>
      <w:pPr>
        <w:jc w:val="both"/>
        <w:ind w:left="66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Name of Person(s) Filing: </w:t>
      </w:r>
      <w:r>
        <w:rPr>
          <w:rFonts w:ascii="Arial" w:cs="Arial" w:eastAsia="Arial" w:hAnsi="Arial"/>
          <w:sz w:val="18"/>
          <w:szCs w:val="18"/>
          <w:color w:val="auto"/>
        </w:rPr>
        <w:t>This joint statement on Schedule 13G is being filed by Fairmount Funds Management LLC (“Fairmount”), Peter</w:t>
      </w:r>
      <w:r>
        <w:rPr>
          <w:rFonts w:ascii="Arial" w:cs="Arial" w:eastAsia="Arial" w:hAnsi="Arial"/>
          <w:sz w:val="18"/>
          <w:szCs w:val="18"/>
          <w:b w:val="1"/>
          <w:bCs w:val="1"/>
          <w:color w:val="auto"/>
        </w:rPr>
        <w:t xml:space="preserve"> </w:t>
      </w:r>
      <w:r>
        <w:rPr>
          <w:rFonts w:ascii="Arial" w:cs="Arial" w:eastAsia="Arial" w:hAnsi="Arial"/>
          <w:sz w:val="18"/>
          <w:szCs w:val="18"/>
          <w:color w:val="auto"/>
        </w:rPr>
        <w:t>Harwin, Tomas Kiselak, and Fairmount Healthcare Fund II L.P. (“Fund II”). Fairmount, Mr. Harwin, Mr. Kiselak, and Fund II are collectively referred to herein as the “Reporting Persons.”</w:t>
      </w:r>
    </w:p>
    <w:p>
      <w:pPr>
        <w:spacing w:after="0" w:line="179" w:lineRule="exact"/>
        <w:rPr>
          <w:rFonts w:ascii="Arial" w:cs="Arial" w:eastAsia="Arial" w:hAnsi="Arial"/>
          <w:sz w:val="18"/>
          <w:szCs w:val="18"/>
          <w:color w:val="auto"/>
        </w:rPr>
      </w:pPr>
    </w:p>
    <w:p>
      <w:pPr>
        <w:ind w:left="660"/>
        <w:spacing w:after="0" w:line="268" w:lineRule="auto"/>
        <w:rPr>
          <w:rFonts w:ascii="Arial" w:cs="Arial" w:eastAsia="Arial" w:hAnsi="Arial"/>
          <w:sz w:val="18"/>
          <w:szCs w:val="18"/>
          <w:color w:val="auto"/>
        </w:rPr>
      </w:pPr>
      <w:r>
        <w:rPr>
          <w:rFonts w:ascii="Arial" w:cs="Arial" w:eastAsia="Arial" w:hAnsi="Arial"/>
          <w:sz w:val="17"/>
          <w:szCs w:val="17"/>
          <w:color w:val="auto"/>
        </w:rPr>
        <w:t>The Common Stock reported herein includes Common Stock beneficially owned directly by Fairmount Healthcare Fund L.P. (the “Fund”) and Common Stock beneficially owned directly by Fund II. Fairmount Healthcare Fund GP LLC is the general partner of the Fund. Fairmount Healthcare Fund II GP LLC is the general partner of Fund II. The controlling persons of Fairmount are Mr. Harwin and Mr. Kiselak. Fairmount serves as investment adviser for the Fund and Fund II (collectively, the “Funds”) and may be deemed a beneficial owner, for purposes of Section 13(d) of the Securities Exchange Act of 1934 (the “Act”), of any securities of the Issuer held by the Funds. The Funds have delegated to Fairmount the sole power to vote and the sole power to dispose of all securities held in the Funds’ portfolios, including the shares of the Issuer’s Common Stock reported herein. Because the Funds have divested voting and investment power over the reported securities they hold and cannot revoke such delegation on less than 61 days’ notice, the Funds disclaim beneficial ownership of the securities they hold for purposes of Section 13(d) of the Act and therefore disclaim any obligation to report ownership of the reported securities under Section 13(d) of the Act. As managing members of Fairmount, Mr. Harwin and Mr. Kiselak may be deemed beneficial owners, for purposes of Section 13(d) of the Act, of any securities of the Issuer beneficially owned by Fairmount. Fairmount, Mr. Harwin, and Mr. Kiselak disclaim beneficial ownership of the securities reported in this Schedule 13G Statement (the “Statement”) other than for the purpose of determining their obligations under Section 13(d) of the Act, and the filing of the Statement shall not be deemed an admission that either Fairmount, Mr. Harwin, or Mr. Kiselak is the beneficial owner of such securities for any other purpose.</w:t>
      </w:r>
    </w:p>
    <w:p>
      <w:pPr>
        <w:spacing w:after="0" w:line="180"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Fairmount Funds Management LLC, 200</w:t>
      </w:r>
      <w:r>
        <w:rPr>
          <w:rFonts w:ascii="Arial" w:cs="Arial" w:eastAsia="Arial" w:hAnsi="Arial"/>
          <w:sz w:val="18"/>
          <w:szCs w:val="18"/>
          <w:b w:val="1"/>
          <w:bCs w:val="1"/>
          <w:color w:val="auto"/>
        </w:rPr>
        <w:t xml:space="preserve"> </w:t>
      </w:r>
      <w:r>
        <w:rPr>
          <w:rFonts w:ascii="Arial" w:cs="Arial" w:eastAsia="Arial" w:hAnsi="Arial"/>
          <w:sz w:val="18"/>
          <w:szCs w:val="18"/>
          <w:color w:val="auto"/>
        </w:rPr>
        <w:t>Barr Harbor Drive, Suite 400, West Conshohocken, PA 19428.</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Fairmount is a Delaware limited liability company. Mr. Harwin is a United States citizen. Mr. Kiselak is a Slovak Republic citizen.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stock, Par Value $0.0001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05464T104</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2" w:lineRule="exact"/>
        <w:rPr>
          <w:sz w:val="20"/>
          <w:szCs w:val="20"/>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680" w:right="100" w:hanging="672"/>
        <w:spacing w:after="0" w:line="239" w:lineRule="exact"/>
        <w:tabs>
          <w:tab w:leader="none" w:pos="342"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680" w:right="220" w:hanging="672"/>
        <w:spacing w:after="0" w:line="239" w:lineRule="exact"/>
        <w:tabs>
          <w:tab w:leader="none" w:pos="342"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 _______________.</w:t>
      </w:r>
    </w:p>
    <w:p>
      <w:pPr>
        <w:sectPr>
          <w:pgSz w:w="11900" w:h="16838" w:orient="portrait"/>
          <w:cols w:equalWidth="0" w:num="1">
            <w:col w:w="11220"/>
          </w:cols>
          <w:pgMar w:left="320" w:top="904" w:right="359" w:bottom="0" w:gutter="0" w:footer="0" w:header="0"/>
        </w:sectPr>
      </w:pPr>
    </w:p>
    <w:bookmarkStart w:id="6" w:name="page7"/>
    <w:bookmarkEnd w:id="6"/>
    <w:p>
      <w:pPr>
        <w:spacing w:after="0" w:line="239" w:lineRule="exact"/>
        <w:tabs>
          <w:tab w:leader="none" w:pos="34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 as of September 16,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September 16, 2022, the Fund held (i) 55,643 shares of Common Stock and (ii) exchange listed call options with the right to acquire 16,300 shares of Common Stock. Fund II held (i) 1,611,004 shares of Common Stock and (ii) exchange listed call options with the right to acquire 483,700 shares of Common Stock.</w:t>
      </w:r>
    </w:p>
    <w:p>
      <w:pPr>
        <w:spacing w:after="0" w:line="18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80" w:right="60" w:hanging="768"/>
        <w:spacing w:after="0" w:line="282" w:lineRule="auto"/>
        <w:tabs>
          <w:tab w:leader="none" w:pos="76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FAIRMOUNT FUNDS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2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/s/Tomas Kiselak</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186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2840" w:type="dxa"/>
            <w:vAlign w:val="bottom"/>
          </w:tcPr>
          <w:p>
            <w:pPr>
              <w:ind w:left="50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Managing Member</w:t>
            </w:r>
          </w:p>
        </w:tc>
        <w:tc>
          <w:tcPr>
            <w:tcW w:w="2840" w:type="dxa"/>
            <w:vAlign w:val="bottom"/>
          </w:tcPr>
          <w:p>
            <w:pPr>
              <w:ind w:left="500"/>
              <w:spacing w:after="0"/>
              <w:rPr>
                <w:sz w:val="20"/>
                <w:szCs w:val="20"/>
                <w:color w:val="auto"/>
              </w:rPr>
            </w:pPr>
            <w:r>
              <w:rPr>
                <w:rFonts w:ascii="Arial" w:cs="Arial" w:eastAsia="Arial" w:hAnsi="Arial"/>
                <w:sz w:val="18"/>
                <w:szCs w:val="18"/>
                <w:color w:val="auto"/>
              </w:rPr>
              <w:t>Managing Member</w:t>
            </w:r>
          </w:p>
        </w:tc>
      </w:tr>
      <w:tr>
        <w:trPr>
          <w:trHeight w:val="648"/>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PETER HARWIN</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Harwin</w:t>
            </w:r>
          </w:p>
        </w:tc>
        <w:tc>
          <w:tcPr>
            <w:tcW w:w="2840" w:type="dxa"/>
            <w:vAlign w:val="bottom"/>
            <w:tcBorders>
              <w:bottom w:val="single" w:sz="8" w:color="auto"/>
            </w:tcBorders>
          </w:tcPr>
          <w:p>
            <w:pPr>
              <w:spacing w:after="0"/>
              <w:rPr>
                <w:sz w:val="24"/>
                <w:szCs w:val="24"/>
                <w:color w:val="auto"/>
              </w:rPr>
            </w:pPr>
          </w:p>
        </w:tc>
      </w:tr>
      <w:tr>
        <w:trPr>
          <w:trHeight w:val="642"/>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TOMAS KISELAK</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/s/Tomas Kiselak</w:t>
            </w:r>
          </w:p>
        </w:tc>
        <w:tc>
          <w:tcPr>
            <w:tcW w:w="28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FAIRMOUNT HEALTHCARE FUND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 Fairmount Healthcare Fund II GP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640"/>
              <w:spacing w:after="0"/>
              <w:rPr>
                <w:sz w:val="20"/>
                <w:szCs w:val="20"/>
                <w:color w:val="auto"/>
              </w:rPr>
            </w:pPr>
            <w:r>
              <w:rPr>
                <w:rFonts w:ascii="Arial" w:cs="Arial" w:eastAsia="Arial" w:hAnsi="Arial"/>
                <w:sz w:val="18"/>
                <w:szCs w:val="18"/>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29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/s/Tomas Kiselak</w:t>
            </w:r>
          </w:p>
        </w:tc>
      </w:tr>
      <w:tr>
        <w:trPr>
          <w:trHeight w:val="195"/>
        </w:trPr>
        <w:tc>
          <w:tcPr>
            <w:tcW w:w="654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2940" w:type="dxa"/>
            <w:vAlign w:val="bottom"/>
          </w:tcPr>
          <w:p>
            <w:pPr>
              <w:ind w:left="60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540" w:type="dxa"/>
            <w:vAlign w:val="bottom"/>
          </w:tcPr>
          <w:p>
            <w:pPr>
              <w:ind w:left="5640"/>
              <w:spacing w:after="0"/>
              <w:rPr>
                <w:sz w:val="20"/>
                <w:szCs w:val="20"/>
                <w:color w:val="auto"/>
              </w:rPr>
            </w:pPr>
            <w:r>
              <w:rPr>
                <w:rFonts w:ascii="Arial" w:cs="Arial" w:eastAsia="Arial" w:hAnsi="Arial"/>
                <w:sz w:val="18"/>
                <w:szCs w:val="18"/>
                <w:color w:val="auto"/>
              </w:rPr>
              <w:t>Title:</w:t>
            </w:r>
          </w:p>
        </w:tc>
        <w:tc>
          <w:tcPr>
            <w:tcW w:w="1760" w:type="dxa"/>
            <w:vAlign w:val="bottom"/>
          </w:tcPr>
          <w:p>
            <w:pPr>
              <w:spacing w:after="0"/>
              <w:rPr>
                <w:sz w:val="20"/>
                <w:szCs w:val="20"/>
                <w:color w:val="auto"/>
              </w:rPr>
            </w:pPr>
            <w:r>
              <w:rPr>
                <w:rFonts w:ascii="Arial" w:cs="Arial" w:eastAsia="Arial" w:hAnsi="Arial"/>
                <w:sz w:val="18"/>
                <w:szCs w:val="18"/>
                <w:color w:val="auto"/>
              </w:rPr>
              <w:t>Member</w:t>
            </w:r>
          </w:p>
        </w:tc>
        <w:tc>
          <w:tcPr>
            <w:tcW w:w="2940" w:type="dxa"/>
            <w:vAlign w:val="bottom"/>
          </w:tcPr>
          <w:p>
            <w:pPr>
              <w:ind w:left="600"/>
              <w:spacing w:after="0"/>
              <w:rPr>
                <w:sz w:val="20"/>
                <w:szCs w:val="20"/>
                <w:color w:val="auto"/>
              </w:rPr>
            </w:pPr>
            <w:r>
              <w:rPr>
                <w:rFonts w:ascii="Arial" w:cs="Arial" w:eastAsia="Arial" w:hAnsi="Arial"/>
                <w:sz w:val="18"/>
                <w:szCs w:val="18"/>
                <w:color w:val="auto"/>
              </w:rPr>
              <w:t>Member</w:t>
            </w:r>
          </w:p>
        </w:tc>
      </w:tr>
      <w:tr>
        <w:trPr>
          <w:trHeight w:val="891"/>
        </w:trPr>
        <w:tc>
          <w:tcPr>
            <w:tcW w:w="6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320" w:firstLine="310"/>
        <w:spacing w:after="0" w:line="277" w:lineRule="auto"/>
        <w:rPr>
          <w:sz w:val="20"/>
          <w:szCs w:val="20"/>
          <w:color w:val="auto"/>
        </w:rPr>
      </w:pPr>
      <w:r>
        <w:rPr>
          <w:rFonts w:ascii="Arial" w:cs="Arial" w:eastAsia="Arial" w:hAnsi="Arial"/>
          <w:sz w:val="18"/>
          <w:szCs w:val="18"/>
          <w:color w:val="auto"/>
        </w:rPr>
        <w:t>In accordance with Rule 13d-1(k)(1) under the Securities Exchange Act of 1934, as amended, the undersigned and each other person executing this joint filing agreement (this “Agreement”) agree as follows:</w:t>
      </w:r>
    </w:p>
    <w:p>
      <w:pPr>
        <w:spacing w:after="0" w:line="170" w:lineRule="exact"/>
        <w:rPr>
          <w:sz w:val="20"/>
          <w:szCs w:val="20"/>
          <w:color w:val="auto"/>
        </w:rPr>
      </w:pPr>
    </w:p>
    <w:p>
      <w:pPr>
        <w:ind w:right="80" w:firstLine="318"/>
        <w:spacing w:after="0" w:line="277" w:lineRule="auto"/>
        <w:tabs>
          <w:tab w:leader="none" w:pos="5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and each other person executing this Agreement are individually eligible to use the Schedule 13G to which this Exhibit is attached and such Schedule 13G is filed on behalf of the undersigned and each other person executing this Agreement; and</w:t>
      </w:r>
    </w:p>
    <w:p>
      <w:pPr>
        <w:spacing w:after="0" w:line="170" w:lineRule="exact"/>
        <w:rPr>
          <w:rFonts w:ascii="Arial" w:cs="Arial" w:eastAsia="Arial" w:hAnsi="Arial"/>
          <w:sz w:val="18"/>
          <w:szCs w:val="18"/>
          <w:color w:val="auto"/>
        </w:rPr>
      </w:pPr>
    </w:p>
    <w:p>
      <w:pPr>
        <w:ind w:right="160" w:firstLine="318"/>
        <w:spacing w:after="0" w:line="279" w:lineRule="auto"/>
        <w:tabs>
          <w:tab w:leader="none" w:pos="5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undersigned and each other person executing this Agreement are responsible for the timely filing of such Schedule 13G and any amendments thereto, and for the completeness and accuracy of the information concerning such person contained therein; but none of the undersigned or any other person executing this Agreement is responsible for the completeness or accuracy of the information statement concerning any other persons making the filing, unless such person knows or has reason to believe that such information is inaccurate.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of which, taken together, shall constitute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FAIRMOUNT FUNDS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2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/s/Tomas Kiselak</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186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2840" w:type="dxa"/>
            <w:vAlign w:val="bottom"/>
          </w:tcPr>
          <w:p>
            <w:pPr>
              <w:ind w:left="50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Managing Member</w:t>
            </w:r>
          </w:p>
        </w:tc>
        <w:tc>
          <w:tcPr>
            <w:tcW w:w="2840" w:type="dxa"/>
            <w:vAlign w:val="bottom"/>
          </w:tcPr>
          <w:p>
            <w:pPr>
              <w:ind w:left="500"/>
              <w:spacing w:after="0"/>
              <w:rPr>
                <w:sz w:val="20"/>
                <w:szCs w:val="20"/>
                <w:color w:val="auto"/>
              </w:rPr>
            </w:pPr>
            <w:r>
              <w:rPr>
                <w:rFonts w:ascii="Arial" w:cs="Arial" w:eastAsia="Arial" w:hAnsi="Arial"/>
                <w:sz w:val="18"/>
                <w:szCs w:val="18"/>
                <w:color w:val="auto"/>
              </w:rPr>
              <w:t>Managing Member</w:t>
            </w:r>
          </w:p>
        </w:tc>
      </w:tr>
      <w:tr>
        <w:trPr>
          <w:trHeight w:val="648"/>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PETER HARWIN</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Harwin</w:t>
            </w:r>
          </w:p>
        </w:tc>
        <w:tc>
          <w:tcPr>
            <w:tcW w:w="2840" w:type="dxa"/>
            <w:vAlign w:val="bottom"/>
            <w:tcBorders>
              <w:bottom w:val="single" w:sz="8" w:color="auto"/>
            </w:tcBorders>
          </w:tcPr>
          <w:p>
            <w:pPr>
              <w:spacing w:after="0"/>
              <w:rPr>
                <w:sz w:val="24"/>
                <w:szCs w:val="24"/>
                <w:color w:val="auto"/>
              </w:rPr>
            </w:pPr>
          </w:p>
        </w:tc>
      </w:tr>
      <w:tr>
        <w:trPr>
          <w:trHeight w:val="642"/>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TOMAS KISELAK</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/s/Tomas Kiselak</w:t>
            </w:r>
          </w:p>
        </w:tc>
        <w:tc>
          <w:tcPr>
            <w:tcW w:w="28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FAIRMOUNT HEALTHCARE FUND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 Fairmount Healthcare Fund II GP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640"/>
              <w:spacing w:after="0"/>
              <w:rPr>
                <w:sz w:val="20"/>
                <w:szCs w:val="20"/>
                <w:color w:val="auto"/>
              </w:rPr>
            </w:pPr>
            <w:r>
              <w:rPr>
                <w:rFonts w:ascii="Arial" w:cs="Arial" w:eastAsia="Arial" w:hAnsi="Arial"/>
                <w:sz w:val="18"/>
                <w:szCs w:val="18"/>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29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/s/Tomas Kiselak</w:t>
            </w:r>
          </w:p>
        </w:tc>
      </w:tr>
      <w:tr>
        <w:trPr>
          <w:trHeight w:val="195"/>
        </w:trPr>
        <w:tc>
          <w:tcPr>
            <w:tcW w:w="654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2940" w:type="dxa"/>
            <w:vAlign w:val="bottom"/>
          </w:tcPr>
          <w:p>
            <w:pPr>
              <w:ind w:left="60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540" w:type="dxa"/>
            <w:vAlign w:val="bottom"/>
          </w:tcPr>
          <w:p>
            <w:pPr>
              <w:ind w:left="5640"/>
              <w:spacing w:after="0"/>
              <w:rPr>
                <w:sz w:val="20"/>
                <w:szCs w:val="20"/>
                <w:color w:val="auto"/>
              </w:rPr>
            </w:pPr>
            <w:r>
              <w:rPr>
                <w:rFonts w:ascii="Arial" w:cs="Arial" w:eastAsia="Arial" w:hAnsi="Arial"/>
                <w:sz w:val="18"/>
                <w:szCs w:val="18"/>
                <w:color w:val="auto"/>
              </w:rPr>
              <w:t>Title:</w:t>
            </w:r>
          </w:p>
        </w:tc>
        <w:tc>
          <w:tcPr>
            <w:tcW w:w="1760" w:type="dxa"/>
            <w:vAlign w:val="bottom"/>
          </w:tcPr>
          <w:p>
            <w:pPr>
              <w:spacing w:after="0"/>
              <w:rPr>
                <w:sz w:val="20"/>
                <w:szCs w:val="20"/>
                <w:color w:val="auto"/>
              </w:rPr>
            </w:pPr>
            <w:r>
              <w:rPr>
                <w:rFonts w:ascii="Arial" w:cs="Arial" w:eastAsia="Arial" w:hAnsi="Arial"/>
                <w:sz w:val="18"/>
                <w:szCs w:val="18"/>
                <w:color w:val="auto"/>
              </w:rPr>
              <w:t>Member</w:t>
            </w:r>
          </w:p>
        </w:tc>
        <w:tc>
          <w:tcPr>
            <w:tcW w:w="2940" w:type="dxa"/>
            <w:vAlign w:val="bottom"/>
          </w:tcPr>
          <w:p>
            <w:pPr>
              <w:ind w:left="600"/>
              <w:spacing w:after="0"/>
              <w:rPr>
                <w:sz w:val="20"/>
                <w:szCs w:val="20"/>
                <w:color w:val="auto"/>
              </w:rPr>
            </w:pPr>
            <w:r>
              <w:rPr>
                <w:rFonts w:ascii="Arial" w:cs="Arial" w:eastAsia="Arial" w:hAnsi="Arial"/>
                <w:sz w:val="18"/>
                <w:szCs w:val="18"/>
                <w:color w:val="auto"/>
              </w:rPr>
              <w:t>Member</w:t>
            </w:r>
          </w:p>
        </w:tc>
      </w:tr>
      <w:tr>
        <w:trPr>
          <w:trHeight w:val="675"/>
        </w:trPr>
        <w:tc>
          <w:tcPr>
            <w:tcW w:w="6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4DB127F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5">
    <w:nsid w:val="216231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6">
    <w:nsid w:val="1F16E9E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lvl w:ilvl="1">
      <w:lvlJc w:val="left"/>
      <w:lvlText w:val="(%2)"/>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2022-10-26T05:21:20Z</dcterms:created>
  <dcterms:modified xsi:type="dcterms:W3CDTF">2022-10-26T05:21:20Z</dcterms:modified>
</cp:coreProperties>
</file>